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left"/>
        <w:textAlignment w:val="auto"/>
        <w:rPr>
          <w:rFonts w:hint="default" w:ascii="Times New Roman" w:hAnsi="Times New Roman" w:eastAsia="宋体"/>
          <w:b/>
          <w:bCs/>
          <w:sz w:val="22"/>
          <w:szCs w:val="22"/>
          <w:lang w:val="en-US" w:eastAsia="zh-CN"/>
        </w:rPr>
      </w:pPr>
      <w:r>
        <w:rPr>
          <w:rFonts w:hint="eastAsia" w:ascii="Times New Roman" w:hAnsi="Times New Roman" w:eastAsia="宋体"/>
          <w:b/>
          <w:bCs/>
          <w:sz w:val="22"/>
          <w:szCs w:val="2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rPr>
          <w:rFonts w:hint="default" w:ascii="Times New Roman" w:hAnsi="Times New Roman" w:eastAsia="宋体"/>
          <w:b/>
          <w:bCs/>
          <w:sz w:val="24"/>
          <w:lang w:val="en-US" w:eastAsia="zh-CN"/>
        </w:rPr>
      </w:pPr>
      <w:r>
        <w:rPr>
          <w:rFonts w:hint="eastAsia" w:ascii="Times New Roman" w:hAnsi="Times New Roman" w:eastAsia="宋体"/>
          <w:b/>
          <w:bCs/>
          <w:sz w:val="24"/>
          <w:lang w:val="en-US" w:eastAsia="zh-CN"/>
        </w:rPr>
        <w:t>工</w:t>
      </w:r>
      <w:r>
        <w:rPr>
          <w:rFonts w:hint="default" w:ascii="Times New Roman" w:hAnsi="Times New Roman" w:eastAsia="宋体"/>
          <w:b/>
          <w:bCs/>
          <w:sz w:val="24"/>
          <w:lang w:val="en-US" w:eastAsia="zh-CN"/>
        </w:rPr>
        <w:t>学院201</w:t>
      </w:r>
      <w:r>
        <w:rPr>
          <w:rFonts w:hint="eastAsia" w:ascii="Times New Roman" w:hAnsi="Times New Roman" w:eastAsia="宋体"/>
          <w:b/>
          <w:bCs/>
          <w:sz w:val="24"/>
          <w:lang w:val="en-US" w:eastAsia="zh-CN"/>
        </w:rPr>
        <w:t>8</w:t>
      </w:r>
      <w:r>
        <w:rPr>
          <w:rFonts w:hint="default" w:ascii="Times New Roman" w:hAnsi="Times New Roman" w:eastAsia="宋体"/>
          <w:b/>
          <w:bCs/>
          <w:sz w:val="24"/>
          <w:lang w:val="en-US" w:eastAsia="zh-CN"/>
        </w:rPr>
        <w:t>级本科生</w:t>
      </w:r>
      <w:r>
        <w:rPr>
          <w:rFonts w:hint="eastAsia" w:ascii="Times New Roman" w:hAnsi="Times New Roman" w:eastAsia="宋体"/>
          <w:b/>
          <w:bCs/>
          <w:sz w:val="24"/>
          <w:lang w:val="en-US" w:eastAsia="zh-CN"/>
        </w:rPr>
        <w:t>推荐免试研究生</w:t>
      </w:r>
      <w:r>
        <w:rPr>
          <w:rFonts w:hint="default" w:ascii="Times New Roman" w:hAnsi="Times New Roman" w:eastAsia="宋体"/>
          <w:b/>
          <w:bCs/>
          <w:sz w:val="24"/>
          <w:lang w:val="en-US" w:eastAsia="zh-CN"/>
        </w:rPr>
        <w:t>综合评价和学术专长审核</w:t>
      </w:r>
      <w:r>
        <w:rPr>
          <w:rFonts w:hint="eastAsia" w:ascii="Times New Roman" w:hAnsi="Times New Roman" w:eastAsia="宋体"/>
          <w:b/>
          <w:bCs/>
          <w:sz w:val="24"/>
          <w:lang w:val="en-US" w:eastAsia="zh-CN"/>
        </w:rPr>
        <w:t>实施细则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bookmarkStart w:id="0" w:name="_GoBack"/>
      <w:bookmarkEnd w:id="0"/>
      <w:r>
        <w:rPr>
          <w:rFonts w:hint="default" w:ascii="Times New Roman" w:hAnsi="Times New Roman" w:eastAsia="宋体"/>
          <w:sz w:val="24"/>
          <w:lang w:val="en-US" w:eastAsia="zh-CN"/>
        </w:rPr>
        <w:t>综合评价和学术专长</w:t>
      </w:r>
      <w:r>
        <w:rPr>
          <w:rFonts w:hint="eastAsia" w:ascii="Times New Roman" w:hAnsi="Times New Roman" w:eastAsia="宋体"/>
          <w:sz w:val="24"/>
          <w:lang w:val="en-US" w:eastAsia="zh-CN"/>
        </w:rPr>
        <w:t>成绩=（科研成果分值+竞赛获奖分值+参军服兵役分值+志愿服务分值+国际组织实习分值）</w:t>
      </w:r>
      <w:r>
        <w:rPr>
          <w:rFonts w:hint="default" w:ascii="Arial" w:hAnsi="Arial" w:eastAsia="宋体" w:cs="Arial"/>
          <w:sz w:val="24"/>
          <w:lang w:val="en-US" w:eastAsia="zh-CN"/>
        </w:rPr>
        <w:t>×</w:t>
      </w:r>
      <w:r>
        <w:rPr>
          <w:rFonts w:hint="eastAsia" w:ascii="Times New Roman" w:hAnsi="Times New Roman" w:eastAsia="宋体"/>
          <w:sz w:val="24"/>
          <w:lang w:val="en-US" w:eastAsia="zh-CN"/>
        </w:rPr>
        <w:t>10%</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highlight w:val="none"/>
          <w:lang w:val="en-US" w:eastAsia="zh-CN"/>
        </w:rPr>
      </w:pPr>
      <w:r>
        <w:rPr>
          <w:rFonts w:hint="default" w:ascii="Times New Roman" w:hAnsi="Times New Roman" w:eastAsia="宋体"/>
          <w:sz w:val="24"/>
          <w:lang w:val="en-US" w:eastAsia="zh-CN"/>
        </w:rPr>
        <w:t>科研成果</w:t>
      </w:r>
      <w:r>
        <w:rPr>
          <w:rFonts w:hint="eastAsia" w:ascii="Times New Roman" w:hAnsi="Times New Roman" w:eastAsia="宋体"/>
          <w:sz w:val="24"/>
          <w:lang w:val="en-US" w:eastAsia="zh-CN"/>
        </w:rPr>
        <w:t>（满分35分）</w:t>
      </w:r>
      <w:r>
        <w:rPr>
          <w:rFonts w:hint="default" w:ascii="Times New Roman" w:hAnsi="Times New Roman" w:eastAsia="宋体"/>
          <w:sz w:val="24"/>
          <w:lang w:val="en-US" w:eastAsia="zh-CN"/>
        </w:rPr>
        <w:t>：学生本科阶段在核心期刊上以独立作者或第一作者发表的与学业相关的科研论文</w:t>
      </w:r>
      <w:r>
        <w:rPr>
          <w:rFonts w:hint="eastAsia" w:ascii="Times New Roman" w:hAnsi="Times New Roman" w:eastAsia="宋体"/>
          <w:sz w:val="24"/>
          <w:highlight w:val="none"/>
          <w:lang w:val="en-US" w:eastAsia="zh-CN"/>
        </w:rPr>
        <w:t>、专利</w:t>
      </w:r>
      <w:r>
        <w:rPr>
          <w:rFonts w:hint="default" w:ascii="Times New Roman" w:hAnsi="Times New Roman" w:eastAsia="宋体"/>
          <w:sz w:val="24"/>
          <w:highlight w:val="none"/>
          <w:lang w:val="en-US" w:eastAsia="zh-CN"/>
        </w:rPr>
        <w:t>，且论文署名单位必须为“中国石油大学（北京）克拉玛依校区”</w:t>
      </w:r>
      <w:r>
        <w:rPr>
          <w:rFonts w:hint="eastAsia" w:ascii="Times New Roman" w:hAnsi="Times New Roman" w:eastAsia="宋体"/>
          <w:sz w:val="24"/>
          <w:highlight w:val="none"/>
          <w:lang w:val="en-US" w:eastAsia="zh-CN"/>
        </w:rPr>
        <w:t>，专利需附有效专利证书，专利权人：中国石油大学（北京）。</w:t>
      </w:r>
    </w:p>
    <w:tbl>
      <w:tblPr>
        <w:tblStyle w:val="4"/>
        <w:tblW w:w="5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2"/>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2" w:type="dxa"/>
          </w:tcPr>
          <w:p>
            <w:pPr>
              <w:numPr>
                <w:ilvl w:val="0"/>
                <w:numId w:val="0"/>
              </w:numPr>
              <w:rPr>
                <w:rFonts w:hint="default" w:ascii="Times New Roman" w:hAnsi="Times New Roman" w:eastAsia="宋体"/>
                <w:sz w:val="24"/>
                <w:highlight w:val="none"/>
                <w:vertAlign w:val="baseline"/>
                <w:lang w:val="en-US" w:eastAsia="zh-CN"/>
              </w:rPr>
            </w:pPr>
            <w:r>
              <w:rPr>
                <w:rFonts w:hint="default" w:ascii="Times New Roman" w:hAnsi="Times New Roman" w:eastAsia="宋体"/>
                <w:sz w:val="24"/>
                <w:highlight w:val="none"/>
                <w:lang w:val="en-US" w:eastAsia="zh-CN"/>
              </w:rPr>
              <w:t>SCI JCR 1 区文章</w:t>
            </w:r>
          </w:p>
        </w:tc>
        <w:tc>
          <w:tcPr>
            <w:tcW w:w="965" w:type="dxa"/>
          </w:tcPr>
          <w:p>
            <w:pPr>
              <w:numPr>
                <w:ilvl w:val="0"/>
                <w:numId w:val="0"/>
              </w:numPr>
              <w:jc w:val="center"/>
              <w:rPr>
                <w:rFonts w:hint="default" w:ascii="Times New Roman" w:hAnsi="Times New Roman" w:eastAsia="宋体"/>
                <w:sz w:val="24"/>
                <w:highlight w:val="none"/>
                <w:vertAlign w:val="baseline"/>
                <w:lang w:val="en-US" w:eastAsia="zh-CN"/>
              </w:rPr>
            </w:pPr>
            <w:r>
              <w:rPr>
                <w:rFonts w:hint="eastAsia" w:ascii="Times New Roman" w:hAnsi="Times New Roman" w:eastAsia="宋体"/>
                <w:sz w:val="24"/>
                <w:highlight w:val="none"/>
                <w:lang w:val="en-US" w:eastAsia="zh-CN"/>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2" w:type="dxa"/>
          </w:tcPr>
          <w:p>
            <w:pPr>
              <w:numPr>
                <w:ilvl w:val="0"/>
                <w:numId w:val="0"/>
              </w:numPr>
              <w:rPr>
                <w:rFonts w:hint="default" w:ascii="Times New Roman" w:hAnsi="Times New Roman" w:eastAsia="宋体"/>
                <w:sz w:val="24"/>
                <w:highlight w:val="none"/>
                <w:vertAlign w:val="baseline"/>
                <w:lang w:val="en-US" w:eastAsia="zh-CN"/>
              </w:rPr>
            </w:pPr>
            <w:r>
              <w:rPr>
                <w:rFonts w:hint="default" w:ascii="Times New Roman" w:hAnsi="Times New Roman" w:eastAsia="宋体"/>
                <w:sz w:val="24"/>
                <w:highlight w:val="none"/>
                <w:lang w:val="en-US" w:eastAsia="zh-CN"/>
              </w:rPr>
              <w:t>SCI JCR 2 区文章</w:t>
            </w:r>
          </w:p>
        </w:tc>
        <w:tc>
          <w:tcPr>
            <w:tcW w:w="965" w:type="dxa"/>
          </w:tcPr>
          <w:p>
            <w:pPr>
              <w:numPr>
                <w:ilvl w:val="0"/>
                <w:numId w:val="0"/>
              </w:numPr>
              <w:jc w:val="center"/>
              <w:rPr>
                <w:rFonts w:hint="default" w:ascii="Times New Roman" w:hAnsi="Times New Roman" w:eastAsia="宋体"/>
                <w:sz w:val="24"/>
                <w:highlight w:val="none"/>
                <w:vertAlign w:val="baseline"/>
                <w:lang w:val="en-US" w:eastAsia="zh-CN"/>
              </w:rPr>
            </w:pPr>
            <w:r>
              <w:rPr>
                <w:rFonts w:hint="eastAsia" w:ascii="Times New Roman" w:hAnsi="Times New Roman" w:eastAsia="宋体"/>
                <w:sz w:val="24"/>
                <w:highlight w:val="none"/>
                <w:vertAlign w:val="baseli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2" w:type="dxa"/>
          </w:tcPr>
          <w:p>
            <w:pPr>
              <w:numPr>
                <w:ilvl w:val="0"/>
                <w:numId w:val="0"/>
              </w:numPr>
              <w:rPr>
                <w:rFonts w:hint="default" w:ascii="Times New Roman" w:hAnsi="Times New Roman" w:eastAsia="宋体"/>
                <w:sz w:val="24"/>
                <w:highlight w:val="none"/>
                <w:vertAlign w:val="baseline"/>
                <w:lang w:val="en-US" w:eastAsia="zh-CN"/>
              </w:rPr>
            </w:pPr>
            <w:r>
              <w:rPr>
                <w:rFonts w:hint="default" w:ascii="Times New Roman" w:hAnsi="Times New Roman" w:eastAsia="宋体"/>
                <w:sz w:val="24"/>
                <w:highlight w:val="none"/>
                <w:lang w:val="en-US" w:eastAsia="zh-CN"/>
              </w:rPr>
              <w:t>SCI JCR 3 区文章</w:t>
            </w:r>
          </w:p>
        </w:tc>
        <w:tc>
          <w:tcPr>
            <w:tcW w:w="965" w:type="dxa"/>
          </w:tcPr>
          <w:p>
            <w:pPr>
              <w:numPr>
                <w:ilvl w:val="0"/>
                <w:numId w:val="0"/>
              </w:numPr>
              <w:jc w:val="center"/>
              <w:rPr>
                <w:rFonts w:hint="default" w:ascii="Times New Roman" w:hAnsi="Times New Roman" w:eastAsia="宋体"/>
                <w:sz w:val="24"/>
                <w:highlight w:val="none"/>
                <w:vertAlign w:val="baseline"/>
                <w:lang w:val="en-US" w:eastAsia="zh-CN"/>
              </w:rPr>
            </w:pPr>
            <w:r>
              <w:rPr>
                <w:rFonts w:hint="eastAsia" w:ascii="Times New Roman" w:hAnsi="Times New Roman" w:eastAsia="宋体"/>
                <w:sz w:val="24"/>
                <w:highlight w:val="none"/>
                <w:vertAlign w:val="baseli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2" w:type="dxa"/>
          </w:tcPr>
          <w:p>
            <w:pPr>
              <w:numPr>
                <w:ilvl w:val="0"/>
                <w:numId w:val="0"/>
              </w:numPr>
              <w:rPr>
                <w:rFonts w:hint="default" w:ascii="Times New Roman" w:hAnsi="Times New Roman" w:eastAsia="宋体"/>
                <w:sz w:val="24"/>
                <w:highlight w:val="none"/>
                <w:vertAlign w:val="baseline"/>
                <w:lang w:val="en-US" w:eastAsia="zh-CN"/>
              </w:rPr>
            </w:pPr>
            <w:r>
              <w:rPr>
                <w:rFonts w:hint="default" w:ascii="Times New Roman" w:hAnsi="Times New Roman" w:eastAsia="宋体"/>
                <w:sz w:val="24"/>
                <w:highlight w:val="none"/>
                <w:lang w:val="en-US" w:eastAsia="zh-CN"/>
              </w:rPr>
              <w:t>SCI JCR 4 区文章</w:t>
            </w:r>
          </w:p>
        </w:tc>
        <w:tc>
          <w:tcPr>
            <w:tcW w:w="965" w:type="dxa"/>
          </w:tcPr>
          <w:p>
            <w:pPr>
              <w:numPr>
                <w:ilvl w:val="0"/>
                <w:numId w:val="0"/>
              </w:numPr>
              <w:jc w:val="center"/>
              <w:rPr>
                <w:rFonts w:hint="default" w:ascii="Times New Roman" w:hAnsi="Times New Roman" w:eastAsia="宋体"/>
                <w:sz w:val="24"/>
                <w:highlight w:val="none"/>
                <w:vertAlign w:val="baseline"/>
                <w:lang w:val="en-US" w:eastAsia="zh-CN"/>
              </w:rPr>
            </w:pPr>
            <w:r>
              <w:rPr>
                <w:rFonts w:hint="eastAsia" w:ascii="Times New Roman" w:hAnsi="Times New Roman" w:eastAsia="宋体"/>
                <w:sz w:val="24"/>
                <w:highlight w:val="none"/>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2" w:type="dxa"/>
          </w:tcPr>
          <w:p>
            <w:pPr>
              <w:numPr>
                <w:ilvl w:val="0"/>
                <w:numId w:val="0"/>
              </w:numPr>
              <w:rPr>
                <w:rFonts w:hint="default" w:ascii="Times New Roman" w:hAnsi="Times New Roman" w:eastAsia="宋体"/>
                <w:sz w:val="24"/>
                <w:highlight w:val="none"/>
                <w:vertAlign w:val="baseline"/>
                <w:lang w:val="en-US" w:eastAsia="zh-CN"/>
              </w:rPr>
            </w:pPr>
            <w:r>
              <w:rPr>
                <w:rFonts w:hint="default" w:ascii="Times New Roman" w:hAnsi="Times New Roman" w:eastAsia="宋体"/>
                <w:sz w:val="24"/>
                <w:highlight w:val="none"/>
                <w:lang w:val="en-US" w:eastAsia="zh-CN"/>
              </w:rPr>
              <w:t>EI文章</w:t>
            </w:r>
          </w:p>
        </w:tc>
        <w:tc>
          <w:tcPr>
            <w:tcW w:w="965" w:type="dxa"/>
          </w:tcPr>
          <w:p>
            <w:pPr>
              <w:numPr>
                <w:ilvl w:val="0"/>
                <w:numId w:val="0"/>
              </w:numPr>
              <w:jc w:val="center"/>
              <w:rPr>
                <w:rFonts w:hint="default" w:ascii="Times New Roman" w:hAnsi="Times New Roman" w:eastAsia="宋体"/>
                <w:sz w:val="24"/>
                <w:highlight w:val="none"/>
                <w:vertAlign w:val="baseline"/>
                <w:lang w:val="en-US" w:eastAsia="zh-CN"/>
              </w:rPr>
            </w:pPr>
            <w:r>
              <w:rPr>
                <w:rFonts w:hint="eastAsia" w:ascii="Times New Roman" w:hAnsi="Times New Roman" w:eastAsia="宋体"/>
                <w:sz w:val="24"/>
                <w:highlight w:val="none"/>
                <w:vertAlign w:val="baseli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2" w:type="dxa"/>
          </w:tcPr>
          <w:p>
            <w:pPr>
              <w:numPr>
                <w:ilvl w:val="0"/>
                <w:numId w:val="0"/>
              </w:numPr>
              <w:rPr>
                <w:rFonts w:hint="default" w:ascii="Times New Roman" w:hAnsi="Times New Roman" w:eastAsia="宋体"/>
                <w:sz w:val="24"/>
                <w:highlight w:val="none"/>
                <w:vertAlign w:val="baseline"/>
                <w:lang w:val="en-US" w:eastAsia="zh-CN"/>
              </w:rPr>
            </w:pPr>
            <w:r>
              <w:rPr>
                <w:rFonts w:hint="default" w:ascii="Times New Roman" w:hAnsi="Times New Roman" w:eastAsia="宋体"/>
                <w:sz w:val="24"/>
                <w:highlight w:val="none"/>
                <w:lang w:val="en-US" w:eastAsia="zh-CN"/>
              </w:rPr>
              <w:t>在中文核心期刊及同等级期刊发表</w:t>
            </w:r>
          </w:p>
        </w:tc>
        <w:tc>
          <w:tcPr>
            <w:tcW w:w="965" w:type="dxa"/>
          </w:tcPr>
          <w:p>
            <w:pPr>
              <w:numPr>
                <w:ilvl w:val="0"/>
                <w:numId w:val="0"/>
              </w:numPr>
              <w:jc w:val="center"/>
              <w:rPr>
                <w:rFonts w:hint="default" w:ascii="Times New Roman" w:hAnsi="Times New Roman" w:eastAsia="宋体"/>
                <w:sz w:val="24"/>
                <w:highlight w:val="none"/>
                <w:vertAlign w:val="baseline"/>
                <w:lang w:val="en-US" w:eastAsia="zh-CN"/>
              </w:rPr>
            </w:pPr>
            <w:r>
              <w:rPr>
                <w:rFonts w:hint="eastAsia" w:ascii="Times New Roman" w:hAnsi="Times New Roman" w:eastAsia="宋体"/>
                <w:sz w:val="24"/>
                <w:highlight w:val="none"/>
                <w:vertAlign w:val="baseli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2" w:type="dxa"/>
          </w:tcPr>
          <w:p>
            <w:pPr>
              <w:numPr>
                <w:ilvl w:val="0"/>
                <w:numId w:val="0"/>
              </w:numPr>
              <w:rPr>
                <w:rFonts w:hint="default" w:ascii="Times New Roman" w:hAnsi="Times New Roman" w:eastAsia="宋体"/>
                <w:sz w:val="24"/>
                <w:highlight w:val="none"/>
                <w:vertAlign w:val="baseline"/>
                <w:lang w:val="en-US" w:eastAsia="zh-CN"/>
              </w:rPr>
            </w:pPr>
            <w:r>
              <w:rPr>
                <w:rFonts w:hint="default" w:ascii="Times New Roman" w:hAnsi="Times New Roman" w:eastAsia="宋体"/>
                <w:sz w:val="24"/>
                <w:highlight w:val="none"/>
                <w:lang w:val="en-US" w:eastAsia="zh-CN"/>
              </w:rPr>
              <w:t>其他公开出版的刊物上（有正式刊号）发表</w:t>
            </w:r>
          </w:p>
        </w:tc>
        <w:tc>
          <w:tcPr>
            <w:tcW w:w="965" w:type="dxa"/>
          </w:tcPr>
          <w:p>
            <w:pPr>
              <w:numPr>
                <w:ilvl w:val="0"/>
                <w:numId w:val="0"/>
              </w:numPr>
              <w:jc w:val="center"/>
              <w:rPr>
                <w:rFonts w:hint="default" w:ascii="Times New Roman" w:hAnsi="Times New Roman" w:eastAsia="宋体"/>
                <w:sz w:val="24"/>
                <w:highlight w:val="none"/>
                <w:vertAlign w:val="baseline"/>
                <w:lang w:val="en-US" w:eastAsia="zh-CN"/>
              </w:rPr>
            </w:pPr>
            <w:r>
              <w:rPr>
                <w:rFonts w:hint="eastAsia" w:ascii="Times New Roman" w:hAnsi="Times New Roman" w:eastAsia="宋体"/>
                <w:sz w:val="24"/>
                <w:highlight w:val="none"/>
                <w:vertAlign w:val="baseli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2" w:type="dxa"/>
          </w:tcPr>
          <w:p>
            <w:pPr>
              <w:numPr>
                <w:ilvl w:val="0"/>
                <w:numId w:val="0"/>
              </w:numPr>
              <w:rPr>
                <w:rFonts w:hint="default" w:ascii="Times New Roman" w:hAnsi="Times New Roman" w:eastAsia="宋体"/>
                <w:sz w:val="24"/>
                <w:highlight w:val="none"/>
                <w:lang w:val="en-US" w:eastAsia="zh-CN"/>
              </w:rPr>
            </w:pPr>
            <w:r>
              <w:rPr>
                <w:rFonts w:hint="default" w:ascii="Times New Roman" w:hAnsi="Times New Roman" w:eastAsia="宋体"/>
                <w:sz w:val="24"/>
                <w:highlight w:val="none"/>
                <w:lang w:val="en-US" w:eastAsia="zh-CN"/>
              </w:rPr>
              <w:t>获</w:t>
            </w:r>
            <w:r>
              <w:rPr>
                <w:rFonts w:hint="eastAsia" w:ascii="Times New Roman" w:hAnsi="Times New Roman" w:eastAsia="宋体"/>
                <w:sz w:val="24"/>
                <w:highlight w:val="none"/>
                <w:lang w:val="en-US" w:eastAsia="zh-CN"/>
              </w:rPr>
              <w:t>国家</w:t>
            </w:r>
            <w:r>
              <w:rPr>
                <w:rFonts w:hint="default" w:ascii="Times New Roman" w:hAnsi="Times New Roman" w:eastAsia="宋体"/>
                <w:sz w:val="24"/>
                <w:highlight w:val="none"/>
                <w:lang w:val="en-US" w:eastAsia="zh-CN"/>
              </w:rPr>
              <w:t>发明专利授权1项及以上</w:t>
            </w:r>
          </w:p>
        </w:tc>
        <w:tc>
          <w:tcPr>
            <w:tcW w:w="965" w:type="dxa"/>
          </w:tcPr>
          <w:p>
            <w:pPr>
              <w:numPr>
                <w:ilvl w:val="0"/>
                <w:numId w:val="0"/>
              </w:numPr>
              <w:jc w:val="center"/>
              <w:rPr>
                <w:rFonts w:hint="default" w:ascii="Times New Roman" w:hAnsi="Times New Roman" w:eastAsia="宋体"/>
                <w:sz w:val="24"/>
                <w:highlight w:val="none"/>
                <w:vertAlign w:val="baseline"/>
                <w:lang w:val="en-US" w:eastAsia="zh-CN"/>
              </w:rPr>
            </w:pPr>
            <w:r>
              <w:rPr>
                <w:rFonts w:hint="eastAsia" w:ascii="Times New Roman" w:hAnsi="Times New Roman" w:eastAsia="宋体"/>
                <w:sz w:val="24"/>
                <w:highlight w:val="none"/>
                <w:vertAlign w:val="baseline"/>
                <w:lang w:val="en-US" w:eastAsia="zh-CN"/>
              </w:rPr>
              <w:t>20分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科研成果</w:t>
      </w:r>
      <w:r>
        <w:rPr>
          <w:rFonts w:hint="default" w:ascii="Times New Roman" w:hAnsi="Times New Roman" w:eastAsia="宋体"/>
          <w:sz w:val="24"/>
          <w:lang w:val="en-US" w:eastAsia="zh-CN"/>
        </w:rPr>
        <w:t>只取最高级别，而且只能计算一次，</w:t>
      </w:r>
      <w:r>
        <w:rPr>
          <w:rFonts w:hint="eastAsia" w:ascii="Times New Roman" w:hAnsi="Times New Roman" w:eastAsia="宋体"/>
          <w:sz w:val="24"/>
          <w:lang w:val="en-US" w:eastAsia="zh-CN"/>
        </w:rPr>
        <w:t>不可累加。</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竞赛获奖</w:t>
      </w:r>
      <w:r>
        <w:rPr>
          <w:rFonts w:hint="eastAsia" w:ascii="Times New Roman" w:hAnsi="Times New Roman" w:eastAsia="宋体"/>
          <w:sz w:val="24"/>
          <w:lang w:val="en-US" w:eastAsia="zh-CN"/>
        </w:rPr>
        <w:t>（满分35分）</w:t>
      </w:r>
      <w:r>
        <w:rPr>
          <w:rFonts w:hint="default" w:ascii="Times New Roman" w:hAnsi="Times New Roman" w:eastAsia="宋体"/>
          <w:sz w:val="24"/>
          <w:lang w:val="en-US" w:eastAsia="zh-CN"/>
        </w:rPr>
        <w:t>：作为主力成员参加</w:t>
      </w:r>
      <w:r>
        <w:rPr>
          <w:rFonts w:hint="eastAsia" w:ascii="Times New Roman" w:hAnsi="Times New Roman" w:eastAsia="宋体"/>
          <w:sz w:val="24"/>
          <w:lang w:val="en-US" w:eastAsia="zh-CN"/>
        </w:rPr>
        <w:t>本人本科专业所在学科的</w:t>
      </w:r>
      <w:r>
        <w:rPr>
          <w:rFonts w:hint="default" w:ascii="Times New Roman" w:hAnsi="Times New Roman" w:eastAsia="宋体"/>
          <w:sz w:val="24"/>
          <w:lang w:val="en-US" w:eastAsia="zh-CN"/>
        </w:rPr>
        <w:t>国内权威科研竞赛（全国赛）并获得三等奖以上奖励（国际赛事参照执行，但不得低于国内赛事相关要求），且如果奖励证书上有署名单位则署名单位必须为“中国石油大学（北京）克拉玛依校区”。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一等奖：</w:t>
      </w:r>
      <w:r>
        <w:rPr>
          <w:rFonts w:hint="eastAsia" w:ascii="Times New Roman" w:hAnsi="Times New Roman" w:eastAsia="宋体"/>
          <w:sz w:val="24"/>
          <w:lang w:val="en-US" w:eastAsia="zh-CN"/>
        </w:rPr>
        <w:t>35</w:t>
      </w:r>
      <w:r>
        <w:rPr>
          <w:rFonts w:hint="default" w:ascii="Times New Roman" w:hAnsi="Times New Roman" w:eastAsia="宋体"/>
          <w:sz w:val="24"/>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二等奖：</w:t>
      </w:r>
      <w:r>
        <w:rPr>
          <w:rFonts w:hint="eastAsia" w:ascii="Times New Roman" w:hAnsi="Times New Roman" w:eastAsia="宋体"/>
          <w:sz w:val="24"/>
          <w:lang w:val="en-US" w:eastAsia="zh-CN"/>
        </w:rPr>
        <w:t>20</w:t>
      </w:r>
      <w:r>
        <w:rPr>
          <w:rFonts w:hint="default" w:ascii="Times New Roman" w:hAnsi="Times New Roman" w:eastAsia="宋体"/>
          <w:sz w:val="24"/>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三等奖：</w:t>
      </w:r>
      <w:r>
        <w:rPr>
          <w:rFonts w:hint="eastAsia" w:ascii="Times New Roman" w:hAnsi="Times New Roman" w:eastAsia="宋体"/>
          <w:sz w:val="24"/>
          <w:lang w:val="en-US" w:eastAsia="zh-CN"/>
        </w:rPr>
        <w:t>10</w:t>
      </w:r>
      <w:r>
        <w:rPr>
          <w:rFonts w:hint="default" w:ascii="Times New Roman" w:hAnsi="Times New Roman" w:eastAsia="宋体"/>
          <w:sz w:val="24"/>
          <w:lang w:val="en-US" w:eastAsia="zh-CN"/>
        </w:rPr>
        <w:t>分</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default" w:ascii="Times New Roman" w:hAnsi="Times New Roman" w:eastAsia="宋体"/>
          <w:sz w:val="24"/>
          <w:lang w:val="en-US" w:eastAsia="zh-CN"/>
        </w:rPr>
        <w:t>竞赛获奖只取最高级别，而且只能计算一次，不重复计算，每一类型单独计算，且不能突破该项的上限分值。对于团队项目，团队项目队长分享按所得奖励分的1/2，队员分享剩下1/2的奖励分；没有队长的平均分配。</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入伍服兵役（满分10分）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参加志愿活动</w:t>
      </w:r>
      <w:r>
        <w:rPr>
          <w:rFonts w:hint="eastAsia" w:ascii="Times New Roman" w:hAnsi="Times New Roman" w:eastAsia="宋体"/>
          <w:sz w:val="24"/>
          <w:lang w:val="en-US" w:eastAsia="zh-CN"/>
        </w:rPr>
        <w:t>（满分10分）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（1）</w:t>
      </w:r>
      <w:r>
        <w:rPr>
          <w:rFonts w:hint="default" w:ascii="Times New Roman" w:hAnsi="Times New Roman" w:eastAsia="宋体"/>
          <w:sz w:val="24"/>
          <w:lang w:val="en-US" w:eastAsia="zh-CN"/>
        </w:rPr>
        <w:t>国家级志愿活动 计</w:t>
      </w:r>
      <w:r>
        <w:rPr>
          <w:rFonts w:hint="eastAsia" w:ascii="Times New Roman" w:hAnsi="Times New Roman" w:eastAsia="宋体"/>
          <w:sz w:val="24"/>
          <w:lang w:val="en-US" w:eastAsia="zh-CN"/>
        </w:rPr>
        <w:t>10</w:t>
      </w:r>
      <w:r>
        <w:rPr>
          <w:rFonts w:hint="default" w:ascii="Times New Roman" w:hAnsi="Times New Roman" w:eastAsia="宋体"/>
          <w:sz w:val="24"/>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（2）</w:t>
      </w:r>
      <w:r>
        <w:rPr>
          <w:rFonts w:hint="default" w:ascii="Times New Roman" w:hAnsi="Times New Roman" w:eastAsia="宋体"/>
          <w:sz w:val="24"/>
          <w:lang w:val="en-US" w:eastAsia="zh-CN"/>
        </w:rPr>
        <w:t>区域性志愿活动 计</w:t>
      </w:r>
      <w:r>
        <w:rPr>
          <w:rFonts w:hint="eastAsia" w:ascii="Times New Roman" w:hAnsi="Times New Roman" w:eastAsia="宋体"/>
          <w:sz w:val="24"/>
          <w:lang w:val="en-US" w:eastAsia="zh-CN"/>
        </w:rPr>
        <w:t>6</w:t>
      </w:r>
      <w:r>
        <w:rPr>
          <w:rFonts w:hint="default" w:ascii="Times New Roman" w:hAnsi="Times New Roman" w:eastAsia="宋体"/>
          <w:sz w:val="24"/>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（3）</w:t>
      </w:r>
      <w:r>
        <w:rPr>
          <w:rFonts w:hint="default" w:ascii="Times New Roman" w:hAnsi="Times New Roman" w:eastAsia="宋体"/>
          <w:sz w:val="24"/>
          <w:lang w:val="en-US" w:eastAsia="zh-CN"/>
        </w:rPr>
        <w:t>校级志愿活动 计2分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只取最高级别，而且只能计算一次，不重复计算，每一类型单独计算，且不能突破该项的上限分值。</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sz w:val="24"/>
          <w:lang w:val="en-US" w:eastAsia="zh-CN"/>
        </w:rPr>
      </w:pPr>
      <w:r>
        <w:rPr>
          <w:rFonts w:hint="default" w:ascii="Times New Roman" w:hAnsi="Times New Roman" w:eastAsia="宋体"/>
          <w:sz w:val="24"/>
          <w:lang w:val="en-US" w:eastAsia="zh-CN"/>
        </w:rPr>
        <w:t>国际组织实习</w:t>
      </w:r>
      <w:r>
        <w:rPr>
          <w:rFonts w:hint="eastAsia" w:ascii="Times New Roman" w:hAnsi="Times New Roman" w:eastAsia="宋体"/>
          <w:sz w:val="24"/>
          <w:lang w:val="en-US" w:eastAsia="zh-CN"/>
        </w:rPr>
        <w:t>（满分10分）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只能计算一次，不重复计算，每一类型单独计算，且不能突破该项的上限分值。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学生与直系亲属或学历、职称、职务明显高于本人者合作的科研成果、竞赛奖项等仅作为参考，不纳入学生本人推免遴选综合评价成绩计算体系。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1925A8"/>
    <w:multiLevelType w:val="singleLevel"/>
    <w:tmpl w:val="3C1925A8"/>
    <w:lvl w:ilvl="0" w:tentative="0">
      <w:start w:val="1"/>
      <w:numFmt w:val="decimal"/>
      <w:suff w:val="nothing"/>
      <w:lvlText w:val="%1、"/>
      <w:lvlJc w:val="left"/>
    </w:lvl>
  </w:abstractNum>
  <w:abstractNum w:abstractNumId="1">
    <w:nsid w:val="7091D434"/>
    <w:multiLevelType w:val="singleLevel"/>
    <w:tmpl w:val="7091D43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135FF"/>
    <w:rsid w:val="0B6A391E"/>
    <w:rsid w:val="168129B6"/>
    <w:rsid w:val="20E91751"/>
    <w:rsid w:val="29E95528"/>
    <w:rsid w:val="3215061D"/>
    <w:rsid w:val="37E135FF"/>
    <w:rsid w:val="3AEA3B48"/>
    <w:rsid w:val="4B1C5EE6"/>
    <w:rsid w:val="4B764EF1"/>
    <w:rsid w:val="4F917C46"/>
    <w:rsid w:val="4FBD153E"/>
    <w:rsid w:val="516B45AB"/>
    <w:rsid w:val="52833AA9"/>
    <w:rsid w:val="607237EB"/>
    <w:rsid w:val="6292604F"/>
    <w:rsid w:val="66E5055C"/>
    <w:rsid w:val="7DBC5881"/>
    <w:rsid w:val="7DFD3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2021-09-06T01:43:00Z</dcterms:created>
  <dc:creator>Administrator</dc:creator>
  <cp:lastModifiedBy>三行情书。</cp:lastModifiedBy>
  <dcterms:modified xsi:type="dcterms:W3CDTF">2021-09-08T12:03:43Z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62D49794684442829B267EC1118D7901</vt:lpwstr>
  </property>
</Properties>
</file>