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方正小标宋简体" w:cs="Times New Roman"/>
          <w:color w:val="000000"/>
          <w:sz w:val="32"/>
          <w:szCs w:val="30"/>
        </w:rPr>
      </w:pPr>
      <w:r>
        <w:rPr>
          <w:rFonts w:ascii="Times New Roman" w:hAnsi="Times New Roman" w:eastAsia="仿宋" w:cs="Times New Roman"/>
          <w:bCs/>
          <w:color w:val="000000"/>
          <w:kern w:val="0"/>
          <w:sz w:val="32"/>
          <w:szCs w:val="30"/>
        </w:rPr>
        <w:t>附件2：</w:t>
      </w:r>
    </w:p>
    <w:p>
      <w:pPr>
        <w:snapToGrid w:val="0"/>
        <w:spacing w:line="360" w:lineRule="auto"/>
        <w:jc w:val="center"/>
        <w:rPr>
          <w:rFonts w:ascii="Times New Roman" w:hAnsi="Times New Roman" w:eastAsia="方正小标宋简体" w:cs="Times New Roman"/>
          <w:color w:val="000000"/>
          <w:sz w:val="32"/>
          <w:szCs w:val="30"/>
        </w:rPr>
      </w:pPr>
      <w:bookmarkStart w:id="0" w:name="_GoBack"/>
      <w:r>
        <w:rPr>
          <w:rFonts w:ascii="Times New Roman" w:hAnsi="Times New Roman" w:cs="Times New Roman"/>
          <w:b/>
          <w:bCs/>
          <w:color w:val="000000"/>
          <w:sz w:val="32"/>
          <w:szCs w:val="30"/>
        </w:rPr>
        <w:t>工学院2022年综合评价和学术专长赋分办法</w:t>
      </w:r>
    </w:p>
    <w:bookmarkEnd w:id="0"/>
    <w:p>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根据教育部相关文件精神，为综合评价学生各方面的表现，引导学生全面发展，校区将学生参军入伍服兵役、到国际组织实习、科研成果、竞赛获奖等方面纳入推免生综合评价和学术专长考核体系，计入推免生综合成绩，具体赋分办法如下。</w:t>
      </w:r>
    </w:p>
    <w:p>
      <w:pPr>
        <w:spacing w:line="360" w:lineRule="auto"/>
        <w:ind w:firstLine="560" w:firstLineChars="200"/>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一、参军入伍服兵役</w:t>
      </w:r>
    </w:p>
    <w:p>
      <w:pPr>
        <w:spacing w:line="360" w:lineRule="auto"/>
        <w:ind w:firstLine="560" w:firstLineChars="200"/>
        <w:rPr>
          <w:rFonts w:hint="eastAsia" w:ascii="Times New Roman" w:hAnsi="Times New Roman" w:eastAsia="仿宋" w:cs="Times New Roman"/>
          <w:color w:val="000000"/>
          <w:sz w:val="28"/>
          <w:szCs w:val="28"/>
        </w:rPr>
      </w:pPr>
      <w:r>
        <w:rPr>
          <w:rFonts w:ascii="Times New Roman" w:hAnsi="Times New Roman" w:eastAsia="仿宋" w:cs="Times New Roman"/>
          <w:color w:val="000000"/>
          <w:sz w:val="28"/>
          <w:szCs w:val="28"/>
        </w:rPr>
        <w:t>学生本科阶段应征入伍，服役期间表现良好，未受任何处分，圆满履行兵役义务者，经学生工作与安全保卫部认定后方可赋分，</w:t>
      </w:r>
      <w:r>
        <w:rPr>
          <w:rFonts w:hint="eastAsia" w:ascii="Times New Roman" w:hAnsi="Times New Roman" w:eastAsia="仿宋" w:cs="Times New Roman"/>
          <w:color w:val="000000"/>
          <w:sz w:val="28"/>
          <w:szCs w:val="28"/>
        </w:rPr>
        <w:t>单项上限2分，按标准记最高分1项，分数不累加，立功受奖需要正式证书证明。</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具体赋分方式如下：</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A档：立功受奖2分；B档（非A档）1.2分。</w:t>
      </w:r>
    </w:p>
    <w:p>
      <w:pPr>
        <w:spacing w:line="360" w:lineRule="auto"/>
        <w:ind w:firstLine="560" w:firstLineChars="200"/>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二、国际组织实习</w:t>
      </w:r>
    </w:p>
    <w:p>
      <w:pPr>
        <w:spacing w:line="360" w:lineRule="auto"/>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　　</w:t>
      </w:r>
      <w:r>
        <w:rPr>
          <w:rFonts w:ascii="Times New Roman" w:hAnsi="Times New Roman" w:eastAsia="仿宋" w:cs="Times New Roman"/>
          <w:color w:val="000000"/>
          <w:sz w:val="28"/>
          <w:szCs w:val="28"/>
        </w:rPr>
        <w:t>学生本科期间赴政府间国际组织实习（以人力资源和社会保障部主办的国际组织人才信息服务网和全国高等学校学生信息咨询与就业指导中心主办的高校毕业生到国际组织实习任职信息服务平台信息为准），申请</w:t>
      </w:r>
      <w:r>
        <w:rPr>
          <w:rFonts w:hint="eastAsia" w:ascii="Times New Roman" w:hAnsi="Times New Roman" w:eastAsia="仿宋" w:cs="Times New Roman"/>
          <w:color w:val="000000"/>
          <w:sz w:val="28"/>
          <w:szCs w:val="28"/>
        </w:rPr>
        <w:t>本研一体化</w:t>
      </w:r>
      <w:r>
        <w:rPr>
          <w:rFonts w:ascii="Times New Roman" w:hAnsi="Times New Roman" w:eastAsia="仿宋" w:cs="Times New Roman"/>
          <w:color w:val="000000"/>
          <w:sz w:val="28"/>
          <w:szCs w:val="28"/>
        </w:rPr>
        <w:t>资格时已完成不少于30天的实习工作，只能计算一次，不重复计算，每一类型单独计算，且不能突破该项的上限分值，</w:t>
      </w:r>
      <w:r>
        <w:rPr>
          <w:rFonts w:hint="eastAsia" w:ascii="Times New Roman" w:hAnsi="Times New Roman" w:eastAsia="仿宋" w:cs="Times New Roman"/>
          <w:color w:val="000000"/>
          <w:sz w:val="28"/>
          <w:szCs w:val="28"/>
        </w:rPr>
        <w:t>实习记录需要国际组织书面证明。</w:t>
      </w:r>
      <w:r>
        <w:rPr>
          <w:rFonts w:ascii="Times New Roman" w:hAnsi="Times New Roman" w:eastAsia="仿宋" w:cs="Times New Roman"/>
          <w:color w:val="000000"/>
          <w:sz w:val="28"/>
          <w:szCs w:val="28"/>
        </w:rPr>
        <w:t>上限为1分。</w:t>
      </w:r>
    </w:p>
    <w:p>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具体赋分方式如下：</w:t>
      </w:r>
    </w:p>
    <w:p>
      <w:pPr>
        <w:spacing w:line="360" w:lineRule="auto"/>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　　A档（联合国、世界贸易组织、世界银行等全球综合性或专门性组织）：1分；</w:t>
      </w:r>
    </w:p>
    <w:p>
      <w:pPr>
        <w:spacing w:line="360" w:lineRule="auto"/>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　　B档（在包括各类国际学术组织以及其在华分支机构等学科专业领域国际组织实习）：0.6分；</w:t>
      </w:r>
    </w:p>
    <w:p>
      <w:pPr>
        <w:spacing w:line="360" w:lineRule="auto"/>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　　C档（在一般性国际组织实习）：0.4分。</w:t>
      </w:r>
    </w:p>
    <w:p>
      <w:pPr>
        <w:spacing w:line="360" w:lineRule="auto"/>
        <w:ind w:firstLine="560" w:firstLineChars="200"/>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三、科研成果</w:t>
      </w:r>
    </w:p>
    <w:p>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学生本科阶段在核心期刊上以独立作者或第一作者发表的与学业相关的科研论文，且论文署名单位为“中国石油大学（北京）克拉玛依校区”，按照下表进行赋分，上限为3分。</w:t>
      </w:r>
    </w:p>
    <w:p>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具体赋分方式如下：</w:t>
      </w:r>
    </w:p>
    <w:tbl>
      <w:tblPr>
        <w:tblStyle w:val="4"/>
        <w:tblW w:w="5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jc w:val="center"/>
              <w:rPr>
                <w:rFonts w:ascii="Times New Roman" w:hAnsi="Times New Roman" w:cs="Times New Roman"/>
                <w:b/>
                <w:bCs/>
                <w:sz w:val="24"/>
              </w:rPr>
            </w:pPr>
            <w:r>
              <w:rPr>
                <w:rFonts w:ascii="Times New Roman" w:hAnsi="Times New Roman" w:cs="Times New Roman"/>
                <w:b/>
                <w:bCs/>
                <w:sz w:val="24"/>
              </w:rPr>
              <w:t>成果类别</w:t>
            </w:r>
          </w:p>
        </w:tc>
        <w:tc>
          <w:tcPr>
            <w:tcW w:w="1418" w:type="dxa"/>
          </w:tcPr>
          <w:p>
            <w:pPr>
              <w:jc w:val="center"/>
              <w:rPr>
                <w:rFonts w:ascii="Times New Roman" w:hAnsi="Times New Roman" w:cs="Times New Roman"/>
                <w:b/>
                <w:bCs/>
                <w:sz w:val="24"/>
              </w:rPr>
            </w:pPr>
            <w:r>
              <w:rPr>
                <w:rFonts w:ascii="Times New Roman" w:hAnsi="Times New Roman" w:cs="Times New Roman"/>
                <w:b/>
                <w:bCs/>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rPr>
                <w:rFonts w:ascii="Times New Roman" w:hAnsi="Times New Roman" w:cs="Times New Roman"/>
                <w:sz w:val="24"/>
              </w:rPr>
            </w:pPr>
            <w:r>
              <w:rPr>
                <w:rFonts w:ascii="Times New Roman" w:hAnsi="Times New Roman" w:cs="Times New Roman"/>
                <w:sz w:val="24"/>
              </w:rPr>
              <w:t>SCI JCR 1 区论文</w:t>
            </w:r>
          </w:p>
        </w:tc>
        <w:tc>
          <w:tcPr>
            <w:tcW w:w="1418" w:type="dxa"/>
          </w:tcPr>
          <w:p>
            <w:pPr>
              <w:jc w:val="center"/>
              <w:rPr>
                <w:rFonts w:ascii="Times New Roman" w:hAnsi="Times New Roman" w:cs="Times New Roman"/>
                <w:sz w:val="24"/>
              </w:rPr>
            </w:pPr>
            <w:r>
              <w:rPr>
                <w:rFonts w:ascii="Times New Roman" w:hAnsi="Times New Roman" w:cs="Times New Roman"/>
                <w:sz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rPr>
                <w:rFonts w:ascii="Times New Roman" w:hAnsi="Times New Roman" w:cs="Times New Roman"/>
                <w:sz w:val="24"/>
              </w:rPr>
            </w:pPr>
            <w:r>
              <w:rPr>
                <w:rFonts w:ascii="Times New Roman" w:hAnsi="Times New Roman" w:cs="Times New Roman"/>
                <w:sz w:val="24"/>
              </w:rPr>
              <w:t>SCI JCR 2 区论文</w:t>
            </w:r>
          </w:p>
        </w:tc>
        <w:tc>
          <w:tcPr>
            <w:tcW w:w="1418" w:type="dxa"/>
          </w:tcPr>
          <w:p>
            <w:pPr>
              <w:jc w:val="center"/>
              <w:rPr>
                <w:rFonts w:ascii="Times New Roman" w:hAnsi="Times New Roman" w:cs="Times New Roman"/>
                <w:sz w:val="24"/>
              </w:rPr>
            </w:pPr>
            <w:r>
              <w:rPr>
                <w:rFonts w:ascii="Times New Roman" w:hAnsi="Times New Roman" w:cs="Times New Roman"/>
                <w:sz w:val="24"/>
              </w:rPr>
              <w:t>1.7分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rPr>
                <w:rFonts w:ascii="Times New Roman" w:hAnsi="Times New Roman" w:cs="Times New Roman"/>
                <w:sz w:val="24"/>
              </w:rPr>
            </w:pPr>
            <w:r>
              <w:rPr>
                <w:rFonts w:ascii="Times New Roman" w:hAnsi="Times New Roman" w:cs="Times New Roman"/>
                <w:sz w:val="24"/>
              </w:rPr>
              <w:t>SCI JCR 3 区论文</w:t>
            </w:r>
          </w:p>
        </w:tc>
        <w:tc>
          <w:tcPr>
            <w:tcW w:w="1418" w:type="dxa"/>
          </w:tcPr>
          <w:p>
            <w:pPr>
              <w:jc w:val="center"/>
              <w:rPr>
                <w:rFonts w:ascii="Times New Roman" w:hAnsi="Times New Roman" w:cs="Times New Roman"/>
                <w:sz w:val="24"/>
              </w:rPr>
            </w:pPr>
            <w:r>
              <w:rPr>
                <w:rFonts w:ascii="Times New Roman" w:hAnsi="Times New Roman" w:cs="Times New Roman"/>
                <w:sz w:val="24"/>
              </w:rPr>
              <w:t>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rPr>
                <w:rFonts w:ascii="Times New Roman" w:hAnsi="Times New Roman" w:cs="Times New Roman"/>
                <w:sz w:val="24"/>
              </w:rPr>
            </w:pPr>
            <w:r>
              <w:rPr>
                <w:rFonts w:ascii="Times New Roman" w:hAnsi="Times New Roman" w:cs="Times New Roman"/>
                <w:sz w:val="24"/>
              </w:rPr>
              <w:t>SCI JCR 4 区论文</w:t>
            </w:r>
          </w:p>
        </w:tc>
        <w:tc>
          <w:tcPr>
            <w:tcW w:w="1418" w:type="dxa"/>
          </w:tcPr>
          <w:p>
            <w:pPr>
              <w:jc w:val="center"/>
              <w:rPr>
                <w:rFonts w:ascii="Times New Roman" w:hAnsi="Times New Roman" w:cs="Times New Roman"/>
                <w:sz w:val="24"/>
              </w:rPr>
            </w:pPr>
            <w:r>
              <w:rPr>
                <w:rFonts w:ascii="Times New Roman" w:hAnsi="Times New Roman" w:cs="Times New Roman"/>
                <w:sz w:val="24"/>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rPr>
                <w:rFonts w:ascii="Times New Roman" w:hAnsi="Times New Roman" w:cs="Times New Roman"/>
                <w:sz w:val="24"/>
              </w:rPr>
            </w:pPr>
            <w:r>
              <w:rPr>
                <w:rFonts w:ascii="Times New Roman" w:hAnsi="Times New Roman" w:cs="Times New Roman"/>
                <w:sz w:val="24"/>
              </w:rPr>
              <w:t>EI论文</w:t>
            </w:r>
          </w:p>
        </w:tc>
        <w:tc>
          <w:tcPr>
            <w:tcW w:w="1418" w:type="dxa"/>
          </w:tcPr>
          <w:p>
            <w:pPr>
              <w:jc w:val="center"/>
              <w:rPr>
                <w:rFonts w:ascii="Times New Roman" w:hAnsi="Times New Roman" w:cs="Times New Roman"/>
                <w:sz w:val="24"/>
              </w:rPr>
            </w:pPr>
            <w:r>
              <w:rPr>
                <w:rFonts w:ascii="Times New Roman" w:hAnsi="Times New Roman" w:cs="Times New Roman"/>
                <w:sz w:val="24"/>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pPr>
              <w:rPr>
                <w:rFonts w:ascii="Times New Roman" w:hAnsi="Times New Roman" w:cs="Times New Roman"/>
                <w:sz w:val="24"/>
              </w:rPr>
            </w:pPr>
            <w:r>
              <w:rPr>
                <w:rFonts w:ascii="Times New Roman" w:hAnsi="Times New Roman" w:cs="Times New Roman"/>
                <w:sz w:val="24"/>
              </w:rPr>
              <w:t>在中文核心期刊及同等级期刊发表</w:t>
            </w:r>
          </w:p>
        </w:tc>
        <w:tc>
          <w:tcPr>
            <w:tcW w:w="1418" w:type="dxa"/>
          </w:tcPr>
          <w:p>
            <w:pPr>
              <w:jc w:val="center"/>
              <w:rPr>
                <w:rFonts w:ascii="Times New Roman" w:hAnsi="Times New Roman" w:cs="Times New Roman"/>
                <w:sz w:val="24"/>
              </w:rPr>
            </w:pPr>
            <w:r>
              <w:rPr>
                <w:rFonts w:ascii="Times New Roman" w:hAnsi="Times New Roman" w:cs="Times New Roman"/>
                <w:sz w:val="24"/>
              </w:rPr>
              <w:t>0.5分</w:t>
            </w:r>
          </w:p>
        </w:tc>
      </w:tr>
    </w:tbl>
    <w:p>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科研成果只取最高级别，而且只能计算一次，不可累加。</w:t>
      </w:r>
    </w:p>
    <w:p>
      <w:pPr>
        <w:spacing w:line="360" w:lineRule="auto"/>
        <w:ind w:firstLine="560" w:firstLineChars="200"/>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四、竞赛获奖</w:t>
      </w:r>
    </w:p>
    <w:p>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学生本科阶段作为唯一队员或主力队员参加与学业相关的纳入校区竞赛认定范围的国内权威科研竞赛（全国赛）或国际赛事（不得低于国内赛事相关要求），获得三等奖或以上奖励，按照如下标准赋分，上限为4分。</w:t>
      </w:r>
    </w:p>
    <w:tbl>
      <w:tblPr>
        <w:tblStyle w:val="3"/>
        <w:tblW w:w="835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701"/>
        <w:gridCol w:w="1701"/>
        <w:gridCol w:w="184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gridSpan w:val="2"/>
            <w:shd w:val="clear" w:color="auto" w:fill="auto"/>
            <w:vAlign w:val="center"/>
          </w:tcPr>
          <w:p>
            <w:pPr>
              <w:spacing w:line="360" w:lineRule="auto"/>
              <w:jc w:val="center"/>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等级</w:t>
            </w:r>
          </w:p>
        </w:tc>
        <w:tc>
          <w:tcPr>
            <w:tcW w:w="1701" w:type="dxa"/>
            <w:shd w:val="clear" w:color="auto" w:fill="auto"/>
            <w:vAlign w:val="center"/>
          </w:tcPr>
          <w:p>
            <w:pPr>
              <w:spacing w:line="360" w:lineRule="auto"/>
              <w:jc w:val="center"/>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A类</w:t>
            </w:r>
          </w:p>
        </w:tc>
        <w:tc>
          <w:tcPr>
            <w:tcW w:w="1843" w:type="dxa"/>
            <w:shd w:val="clear" w:color="auto" w:fill="auto"/>
            <w:vAlign w:val="center"/>
          </w:tcPr>
          <w:p>
            <w:pPr>
              <w:spacing w:line="360" w:lineRule="auto"/>
              <w:jc w:val="center"/>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B类</w:t>
            </w:r>
          </w:p>
        </w:tc>
        <w:tc>
          <w:tcPr>
            <w:tcW w:w="1701" w:type="dxa"/>
            <w:shd w:val="clear" w:color="auto" w:fill="auto"/>
            <w:vAlign w:val="center"/>
          </w:tcPr>
          <w:p>
            <w:pPr>
              <w:spacing w:line="360" w:lineRule="auto"/>
              <w:jc w:val="center"/>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C类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shd w:val="clear" w:color="auto" w:fill="auto"/>
            <w:vAlign w:val="center"/>
          </w:tcPr>
          <w:p>
            <w:pPr>
              <w:spacing w:line="360" w:lineRule="auto"/>
              <w:jc w:val="center"/>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国家（国际）级竞赛</w:t>
            </w:r>
          </w:p>
        </w:tc>
        <w:tc>
          <w:tcPr>
            <w:tcW w:w="1701" w:type="dxa"/>
            <w:shd w:val="clear" w:color="auto" w:fill="auto"/>
            <w:vAlign w:val="center"/>
          </w:tcPr>
          <w:p>
            <w:pPr>
              <w:spacing w:line="360" w:lineRule="auto"/>
              <w:jc w:val="center"/>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一等奖</w:t>
            </w:r>
          </w:p>
        </w:tc>
        <w:tc>
          <w:tcPr>
            <w:tcW w:w="1701" w:type="dxa"/>
            <w:shd w:val="clear" w:color="auto" w:fill="auto"/>
            <w:vAlign w:val="center"/>
          </w:tcPr>
          <w:p>
            <w:pPr>
              <w:spacing w:line="360" w:lineRule="auto"/>
              <w:jc w:val="center"/>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4.0分</w:t>
            </w:r>
          </w:p>
        </w:tc>
        <w:tc>
          <w:tcPr>
            <w:tcW w:w="1843" w:type="dxa"/>
            <w:shd w:val="clear" w:color="auto" w:fill="auto"/>
            <w:vAlign w:val="center"/>
          </w:tcPr>
          <w:p>
            <w:pPr>
              <w:spacing w:line="360" w:lineRule="auto"/>
              <w:jc w:val="center"/>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2.0分</w:t>
            </w:r>
          </w:p>
        </w:tc>
        <w:tc>
          <w:tcPr>
            <w:tcW w:w="1701" w:type="dxa"/>
            <w:shd w:val="clear" w:color="auto" w:fill="auto"/>
            <w:vAlign w:val="center"/>
          </w:tcPr>
          <w:p>
            <w:pPr>
              <w:spacing w:line="360" w:lineRule="auto"/>
              <w:jc w:val="center"/>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shd w:val="clear" w:color="auto" w:fill="auto"/>
            <w:vAlign w:val="center"/>
          </w:tcPr>
          <w:p>
            <w:pPr>
              <w:spacing w:line="360" w:lineRule="auto"/>
              <w:jc w:val="center"/>
              <w:rPr>
                <w:rFonts w:ascii="Times New Roman" w:hAnsi="Times New Roman" w:eastAsia="仿宋" w:cs="Times New Roman"/>
                <w:color w:val="000000"/>
                <w:sz w:val="28"/>
                <w:szCs w:val="28"/>
              </w:rPr>
            </w:pPr>
          </w:p>
        </w:tc>
        <w:tc>
          <w:tcPr>
            <w:tcW w:w="1701" w:type="dxa"/>
            <w:shd w:val="clear" w:color="auto" w:fill="auto"/>
            <w:vAlign w:val="center"/>
          </w:tcPr>
          <w:p>
            <w:pPr>
              <w:spacing w:line="360" w:lineRule="auto"/>
              <w:jc w:val="center"/>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二等奖</w:t>
            </w:r>
          </w:p>
        </w:tc>
        <w:tc>
          <w:tcPr>
            <w:tcW w:w="1701" w:type="dxa"/>
            <w:shd w:val="clear" w:color="auto" w:fill="auto"/>
            <w:vAlign w:val="center"/>
          </w:tcPr>
          <w:p>
            <w:pPr>
              <w:spacing w:line="360" w:lineRule="auto"/>
              <w:jc w:val="center"/>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3.0分</w:t>
            </w:r>
          </w:p>
        </w:tc>
        <w:tc>
          <w:tcPr>
            <w:tcW w:w="1843" w:type="dxa"/>
            <w:shd w:val="clear" w:color="auto" w:fill="auto"/>
            <w:vAlign w:val="center"/>
          </w:tcPr>
          <w:p>
            <w:pPr>
              <w:spacing w:line="360" w:lineRule="auto"/>
              <w:jc w:val="center"/>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1.0分</w:t>
            </w:r>
          </w:p>
        </w:tc>
        <w:tc>
          <w:tcPr>
            <w:tcW w:w="1701" w:type="dxa"/>
            <w:shd w:val="clear" w:color="auto" w:fill="auto"/>
            <w:vAlign w:val="center"/>
          </w:tcPr>
          <w:p>
            <w:pPr>
              <w:spacing w:line="360" w:lineRule="auto"/>
              <w:jc w:val="center"/>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shd w:val="clear" w:color="auto" w:fill="auto"/>
            <w:vAlign w:val="center"/>
          </w:tcPr>
          <w:p>
            <w:pPr>
              <w:spacing w:line="360" w:lineRule="auto"/>
              <w:jc w:val="center"/>
              <w:rPr>
                <w:rFonts w:ascii="Times New Roman" w:hAnsi="Times New Roman" w:eastAsia="仿宋" w:cs="Times New Roman"/>
                <w:color w:val="000000"/>
                <w:sz w:val="28"/>
                <w:szCs w:val="28"/>
              </w:rPr>
            </w:pPr>
          </w:p>
        </w:tc>
        <w:tc>
          <w:tcPr>
            <w:tcW w:w="1701" w:type="dxa"/>
            <w:shd w:val="clear" w:color="auto" w:fill="auto"/>
            <w:vAlign w:val="center"/>
          </w:tcPr>
          <w:p>
            <w:pPr>
              <w:spacing w:line="360" w:lineRule="auto"/>
              <w:jc w:val="center"/>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三等级</w:t>
            </w:r>
          </w:p>
        </w:tc>
        <w:tc>
          <w:tcPr>
            <w:tcW w:w="1701" w:type="dxa"/>
            <w:shd w:val="clear" w:color="auto" w:fill="auto"/>
            <w:vAlign w:val="center"/>
          </w:tcPr>
          <w:p>
            <w:pPr>
              <w:spacing w:line="360" w:lineRule="auto"/>
              <w:jc w:val="center"/>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2.0分</w:t>
            </w:r>
          </w:p>
        </w:tc>
        <w:tc>
          <w:tcPr>
            <w:tcW w:w="1843" w:type="dxa"/>
            <w:shd w:val="clear" w:color="auto" w:fill="auto"/>
            <w:vAlign w:val="center"/>
          </w:tcPr>
          <w:p>
            <w:pPr>
              <w:spacing w:line="360" w:lineRule="auto"/>
              <w:jc w:val="center"/>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0.5分</w:t>
            </w:r>
          </w:p>
        </w:tc>
        <w:tc>
          <w:tcPr>
            <w:tcW w:w="1701" w:type="dxa"/>
            <w:shd w:val="clear" w:color="auto" w:fill="auto"/>
            <w:vAlign w:val="center"/>
          </w:tcPr>
          <w:p>
            <w:pPr>
              <w:spacing w:line="360" w:lineRule="auto"/>
              <w:jc w:val="center"/>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0.2分</w:t>
            </w:r>
          </w:p>
        </w:tc>
      </w:tr>
    </w:tbl>
    <w:p>
      <w:pPr>
        <w:spacing w:line="360" w:lineRule="auto"/>
        <w:jc w:val="left"/>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注：</w:t>
      </w:r>
    </w:p>
    <w:p>
      <w:pPr>
        <w:spacing w:line="360" w:lineRule="auto"/>
        <w:ind w:firstLine="560" w:firstLineChars="200"/>
        <w:rPr>
          <w:rFonts w:ascii="Times New Roman" w:hAnsi="Times New Roman" w:eastAsia="仿宋" w:cs="Times New Roman"/>
          <w:color w:val="000000"/>
          <w:sz w:val="28"/>
          <w:szCs w:val="28"/>
        </w:rPr>
      </w:pPr>
      <w:r>
        <w:rPr>
          <w:rFonts w:hint="eastAsia" w:ascii="宋体" w:hAnsi="宋体"/>
          <w:color w:val="000000"/>
          <w:sz w:val="28"/>
          <w:szCs w:val="28"/>
        </w:rPr>
        <w:t>①</w:t>
      </w:r>
      <w:r>
        <w:rPr>
          <w:rFonts w:ascii="Times New Roman" w:hAnsi="Times New Roman" w:eastAsia="仿宋" w:cs="Times New Roman"/>
          <w:color w:val="000000"/>
          <w:sz w:val="28"/>
          <w:szCs w:val="28"/>
        </w:rPr>
        <w:t>每项赛事只取最终比赛设置奖项的前三项按以上标准赋分；</w:t>
      </w:r>
    </w:p>
    <w:p>
      <w:pPr>
        <w:spacing w:line="360" w:lineRule="auto"/>
        <w:ind w:firstLine="560" w:firstLineChars="200"/>
        <w:rPr>
          <w:rFonts w:ascii="Times New Roman" w:hAnsi="Times New Roman" w:eastAsia="仿宋" w:cs="Times New Roman"/>
          <w:color w:val="000000"/>
          <w:sz w:val="28"/>
          <w:szCs w:val="28"/>
        </w:rPr>
      </w:pPr>
      <w:r>
        <w:rPr>
          <w:rFonts w:hint="eastAsia" w:ascii="宋体" w:hAnsi="宋体"/>
          <w:color w:val="000000"/>
          <w:sz w:val="28"/>
          <w:szCs w:val="28"/>
        </w:rPr>
        <w:t>②</w:t>
      </w:r>
      <w:r>
        <w:rPr>
          <w:rFonts w:ascii="Times New Roman" w:hAnsi="Times New Roman" w:eastAsia="仿宋" w:cs="Times New Roman"/>
          <w:color w:val="000000"/>
          <w:sz w:val="28"/>
          <w:szCs w:val="28"/>
        </w:rPr>
        <w:t>团队比赛获奖项目，负责人（队长）按最高2/3的比例赋分，其他队员根据实际参与程度按照最高1/2的比例赋分。</w:t>
      </w:r>
    </w:p>
    <w:p>
      <w:pPr>
        <w:spacing w:line="216" w:lineRule="auto"/>
        <w:jc w:val="right"/>
        <w:rPr>
          <w:rFonts w:ascii="Times New Roman" w:hAnsi="Times New Roman" w:eastAsia="仿宋" w:cs="Times New Roman"/>
          <w:color w:val="000000"/>
          <w:sz w:val="28"/>
          <w:szCs w:val="28"/>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Arial Narrow" w:hAnsi="Arial Narrow"/>
      </w:rPr>
    </w:pPr>
    <w:r>
      <w:rPr>
        <w:rFonts w:ascii="Arial Narrow" w:hAnsi="Arial Narrow"/>
      </w:rPr>
      <w:fldChar w:fldCharType="begin"/>
    </w:r>
    <w:r>
      <w:rPr>
        <w:rFonts w:ascii="Arial Narrow" w:hAnsi="Arial Narrow"/>
      </w:rPr>
      <w:instrText xml:space="preserve">PAGE   \* MERGEFORMAT</w:instrText>
    </w:r>
    <w:r>
      <w:rPr>
        <w:rFonts w:ascii="Arial Narrow" w:hAnsi="Arial Narrow"/>
      </w:rPr>
      <w:fldChar w:fldCharType="separate"/>
    </w:r>
    <w:r>
      <w:rPr>
        <w:rFonts w:ascii="Arial Narrow" w:hAnsi="Arial Narrow"/>
        <w:lang w:val="zh-CN"/>
      </w:rPr>
      <w:t>3</w:t>
    </w:r>
    <w:r>
      <w:rPr>
        <w:rFonts w:ascii="Arial Narrow" w:hAnsi="Arial Narrow"/>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4ZTYzZTQwNGI1ZDQ3YzY5OGIxNzI0MDZkMjZjMDEifQ=="/>
  </w:docVars>
  <w:rsids>
    <w:rsidRoot w:val="470078B9"/>
    <w:rsid w:val="47007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2022-06-04T08:03:00Z</dcterms:created>
  <dc:creator>WPS_1474690437</dc:creator>
  <cp:lastModifiedBy>WPS_1474690437</cp:lastModifiedBy>
  <dcterms:modified xsi:type="dcterms:W3CDTF">2022-06-04T08:03:21Z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4F53883C9F824FB3B7C6C78F9150C122</vt:lpwstr>
  </property>
</Properties>
</file>