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jc w:val="center"/>
        <w:rPr>
          <w:rFonts w:ascii="黑体" w:hAnsi="黑体" w:eastAsia="黑体" w:cs="Calibri"/>
          <w:sz w:val="36"/>
          <w:szCs w:val="28"/>
        </w:rPr>
      </w:pPr>
      <w:r>
        <w:rPr>
          <w:rFonts w:hint="eastAsia" w:ascii="黑体" w:hAnsi="黑体" w:eastAsia="黑体" w:cs="Calibri"/>
          <w:sz w:val="36"/>
          <w:szCs w:val="28"/>
        </w:rPr>
        <w:t>2024年度大学生创新创业训练项目</w:t>
      </w:r>
    </w:p>
    <w:p>
      <w:pPr>
        <w:pStyle w:val="4"/>
        <w:spacing w:before="0" w:beforeAutospacing="0" w:after="0" w:afterAutospacing="0"/>
        <w:jc w:val="center"/>
        <w:rPr>
          <w:rFonts w:ascii="黑体" w:hAnsi="黑体" w:eastAsia="黑体" w:cs="Calibri"/>
          <w:sz w:val="36"/>
          <w:szCs w:val="28"/>
        </w:rPr>
      </w:pPr>
      <w:r>
        <w:rPr>
          <w:rFonts w:ascii="黑体" w:hAnsi="黑体" w:eastAsia="黑体" w:cs="Calibri"/>
          <w:sz w:val="36"/>
          <w:szCs w:val="28"/>
        </w:rPr>
        <w:t>经费</w:t>
      </w:r>
      <w:r>
        <w:rPr>
          <w:rFonts w:hint="eastAsia" w:ascii="黑体" w:hAnsi="黑体" w:eastAsia="黑体" w:cs="Calibri"/>
          <w:sz w:val="36"/>
          <w:szCs w:val="28"/>
        </w:rPr>
        <w:t>使用规定及</w:t>
      </w:r>
      <w:r>
        <w:rPr>
          <w:rFonts w:ascii="黑体" w:hAnsi="黑体" w:eastAsia="黑体" w:cs="Calibri"/>
          <w:sz w:val="36"/>
          <w:szCs w:val="28"/>
        </w:rPr>
        <w:t>报销</w:t>
      </w:r>
      <w:r>
        <w:rPr>
          <w:rFonts w:hint="eastAsia" w:ascii="黑体" w:hAnsi="黑体" w:eastAsia="黑体" w:cs="Calibri"/>
          <w:sz w:val="36"/>
          <w:szCs w:val="28"/>
        </w:rPr>
        <w:t>说明</w:t>
      </w:r>
    </w:p>
    <w:p>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一、基本信息</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1、</w:t>
      </w:r>
      <w:r>
        <w:rPr>
          <w:rFonts w:ascii="仿宋" w:hAnsi="仿宋" w:eastAsia="仿宋" w:cs="Calibri"/>
          <w:b/>
          <w:sz w:val="28"/>
          <w:szCs w:val="28"/>
        </w:rPr>
        <w:t>经费卡：JX030041 创新创业工作经费</w:t>
      </w:r>
    </w:p>
    <w:p>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2</w:t>
      </w:r>
      <w:r>
        <w:rPr>
          <w:rFonts w:hint="eastAsia" w:ascii="仿宋" w:hAnsi="仿宋" w:eastAsia="仿宋" w:cs="Calibri"/>
          <w:b/>
          <w:sz w:val="28"/>
          <w:szCs w:val="28"/>
        </w:rPr>
        <w:t>、</w:t>
      </w:r>
      <w:r>
        <w:rPr>
          <w:rFonts w:ascii="仿宋" w:hAnsi="仿宋" w:eastAsia="仿宋" w:cs="Calibri"/>
          <w:b/>
          <w:sz w:val="28"/>
          <w:szCs w:val="28"/>
        </w:rPr>
        <w:t>开票信息：</w:t>
      </w:r>
    </w:p>
    <w:p>
      <w:pPr>
        <w:widowControl/>
        <w:ind w:left="720" w:firstLine="120"/>
        <w:jc w:val="left"/>
        <w:textAlignment w:val="center"/>
        <w:rPr>
          <w:rFonts w:ascii="仿宋" w:hAnsi="仿宋" w:eastAsia="仿宋" w:cs="Calibri"/>
          <w:sz w:val="28"/>
          <w:szCs w:val="28"/>
        </w:rPr>
      </w:pPr>
      <w:r>
        <w:rPr>
          <w:rFonts w:ascii="仿宋" w:hAnsi="仿宋" w:eastAsia="仿宋" w:cs="Calibri"/>
          <w:sz w:val="28"/>
          <w:szCs w:val="28"/>
        </w:rPr>
        <w:t>https://www.cupk.edu.cn/cwb/c/2021-08-29/509319.shtml</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 xml:space="preserve">中国石油大学（北京）克拉玛依校区 </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税号：12650200MB1836539X</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地址：克拉玛依市安定路355号大学城</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开户银行：昆仑银行股份有限公司克拉玛依幸福路支行</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开户行行号：313882000088</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银行账户：88202100172070000017</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管理员电话：6633073</w:t>
      </w:r>
    </w:p>
    <w:p>
      <w:pPr>
        <w:widowControl/>
        <w:numPr>
          <w:ilvl w:val="0"/>
          <w:numId w:val="1"/>
        </w:numPr>
        <w:jc w:val="left"/>
        <w:textAlignment w:val="center"/>
        <w:rPr>
          <w:rFonts w:ascii="仿宋" w:hAnsi="仿宋" w:eastAsia="仿宋" w:cs="Calibri"/>
          <w:sz w:val="28"/>
          <w:szCs w:val="28"/>
        </w:rPr>
      </w:pPr>
      <w:r>
        <w:rPr>
          <w:rFonts w:ascii="仿宋" w:hAnsi="仿宋" w:eastAsia="仿宋" w:cs="Calibri"/>
          <w:sz w:val="28"/>
          <w:szCs w:val="28"/>
        </w:rPr>
        <w:t>发票必须是正规机打发票（手写发票或收据不予报销）或电子发票，</w:t>
      </w:r>
      <w:r>
        <w:rPr>
          <w:rFonts w:hint="eastAsia" w:ascii="仿宋" w:hAnsi="仿宋" w:eastAsia="仿宋" w:cs="Calibri"/>
          <w:color w:val="FF0000"/>
          <w:sz w:val="28"/>
          <w:szCs w:val="28"/>
        </w:rPr>
        <w:t>必须是</w:t>
      </w:r>
      <w:r>
        <w:rPr>
          <w:rFonts w:ascii="仿宋" w:hAnsi="仿宋" w:eastAsia="仿宋" w:cs="Calibri"/>
          <w:color w:val="FF0000"/>
          <w:sz w:val="28"/>
          <w:szCs w:val="28"/>
        </w:rPr>
        <w:t>普通</w:t>
      </w:r>
      <w:r>
        <w:rPr>
          <w:rFonts w:hint="eastAsia" w:ascii="仿宋" w:hAnsi="仿宋" w:eastAsia="仿宋" w:cs="Calibri"/>
          <w:color w:val="FF0000"/>
          <w:sz w:val="28"/>
          <w:szCs w:val="28"/>
        </w:rPr>
        <w:t>发票</w:t>
      </w:r>
      <w:r>
        <w:rPr>
          <w:rFonts w:ascii="仿宋" w:hAnsi="仿宋" w:eastAsia="仿宋" w:cs="Calibri"/>
          <w:color w:val="FF0000"/>
          <w:sz w:val="28"/>
          <w:szCs w:val="28"/>
        </w:rPr>
        <w:t>，专用发票</w:t>
      </w:r>
      <w:r>
        <w:rPr>
          <w:rFonts w:hint="eastAsia" w:ascii="仿宋" w:hAnsi="仿宋" w:eastAsia="仿宋" w:cs="Calibri"/>
          <w:color w:val="FF0000"/>
          <w:sz w:val="28"/>
          <w:szCs w:val="28"/>
        </w:rPr>
        <w:t>无法</w:t>
      </w:r>
      <w:r>
        <w:rPr>
          <w:rFonts w:ascii="仿宋" w:hAnsi="仿宋" w:eastAsia="仿宋" w:cs="Calibri"/>
          <w:color w:val="FF0000"/>
          <w:sz w:val="28"/>
          <w:szCs w:val="28"/>
        </w:rPr>
        <w:t>报销，</w:t>
      </w:r>
      <w:r>
        <w:rPr>
          <w:rFonts w:ascii="仿宋" w:hAnsi="仿宋" w:eastAsia="仿宋" w:cs="Calibri"/>
          <w:sz w:val="28"/>
          <w:szCs w:val="28"/>
        </w:rPr>
        <w:t>票据应当及时报销，原则上当年度原始票据当年度报销。</w:t>
      </w:r>
    </w:p>
    <w:p>
      <w:pPr>
        <w:widowControl/>
        <w:numPr>
          <w:ilvl w:val="0"/>
          <w:numId w:val="1"/>
        </w:numPr>
        <w:jc w:val="left"/>
        <w:textAlignment w:val="center"/>
        <w:rPr>
          <w:rFonts w:ascii="仿宋" w:hAnsi="仿宋" w:eastAsia="仿宋" w:cs="Calibri"/>
          <w:sz w:val="28"/>
          <w:szCs w:val="28"/>
        </w:rPr>
      </w:pPr>
      <w:r>
        <w:rPr>
          <w:rFonts w:ascii="仿宋" w:hAnsi="仿宋" w:eastAsia="仿宋" w:cs="Calibri"/>
          <w:sz w:val="28"/>
          <w:szCs w:val="28"/>
        </w:rPr>
        <w:t>重复打印报销经查实，将严肃处理；发票抬头填写“中国石油大学（北京）克拉玛依校区”，不可为个人，所需相关信息如下（税号等信息不符的不予报销）：</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3、</w:t>
      </w:r>
      <w:r>
        <w:rPr>
          <w:rFonts w:ascii="仿宋" w:hAnsi="仿宋" w:eastAsia="仿宋" w:cs="Calibri"/>
          <w:b/>
          <w:sz w:val="28"/>
          <w:szCs w:val="28"/>
        </w:rPr>
        <w:t>报销时间</w:t>
      </w:r>
    </w:p>
    <w:p>
      <w:pPr>
        <w:widowControl/>
        <w:numPr>
          <w:ilvl w:val="0"/>
          <w:numId w:val="1"/>
        </w:numPr>
        <w:jc w:val="left"/>
        <w:textAlignment w:val="center"/>
        <w:rPr>
          <w:rFonts w:ascii="仿宋" w:hAnsi="仿宋" w:eastAsia="仿宋" w:cs="Calibri"/>
          <w:sz w:val="28"/>
          <w:szCs w:val="28"/>
        </w:rPr>
      </w:pPr>
      <w:r>
        <w:rPr>
          <w:rFonts w:ascii="仿宋" w:hAnsi="仿宋" w:eastAsia="仿宋" w:cs="Calibri"/>
          <w:sz w:val="28"/>
          <w:szCs w:val="28"/>
        </w:rPr>
        <w:t>根据新《政府会计制度》对会计核算权责发生制的工作要求，本年度11月30日前发生的发票（办公费、印刷费、差旅费、材料费、会议费、培训费、公务接待费、委托业务费等）请在12月15日前办理完报销审批手续，第二年将不再报销在此期间发生的票据；本年度12月1日至12月31日期间发生的发票请在次年3月31日前完成报销审批手续。</w:t>
      </w:r>
      <w:r>
        <w:rPr>
          <w:rFonts w:hint="eastAsia" w:ascii="仿宋" w:hAnsi="仿宋" w:eastAsia="仿宋" w:cs="Calibri"/>
          <w:sz w:val="28"/>
          <w:szCs w:val="28"/>
        </w:rPr>
        <w:t>在中期或结题时，</w:t>
      </w:r>
      <w:r>
        <w:rPr>
          <w:rFonts w:ascii="仿宋" w:hAnsi="仿宋" w:eastAsia="仿宋" w:cs="Calibri"/>
          <w:sz w:val="28"/>
          <w:szCs w:val="28"/>
        </w:rPr>
        <w:t>请大家及时清理</w:t>
      </w:r>
      <w:r>
        <w:rPr>
          <w:rFonts w:hint="eastAsia" w:ascii="仿宋" w:hAnsi="仿宋" w:eastAsia="仿宋" w:cs="Calibri"/>
          <w:sz w:val="28"/>
          <w:szCs w:val="28"/>
        </w:rPr>
        <w:t>本年度产生的</w:t>
      </w:r>
      <w:r>
        <w:rPr>
          <w:rFonts w:ascii="仿宋" w:hAnsi="仿宋" w:eastAsia="仿宋" w:cs="Calibri"/>
          <w:sz w:val="28"/>
          <w:szCs w:val="28"/>
        </w:rPr>
        <w:t>各类票据，及时办理报销审批手续，避免发生不必要的损失。</w:t>
      </w:r>
    </w:p>
    <w:p>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二、业务分类</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1</w:t>
      </w:r>
      <w:r>
        <w:rPr>
          <w:rFonts w:ascii="仿宋" w:hAnsi="仿宋" w:eastAsia="仿宋" w:cs="Calibri"/>
          <w:b/>
          <w:sz w:val="28"/>
          <w:szCs w:val="28"/>
        </w:rPr>
        <w:t>.日常报销</w:t>
      </w:r>
    </w:p>
    <w:p>
      <w:pPr>
        <w:pStyle w:val="4"/>
        <w:spacing w:before="0" w:beforeAutospacing="0" w:after="0" w:afterAutospacing="0"/>
        <w:ind w:left="540"/>
        <w:rPr>
          <w:rFonts w:ascii="仿宋" w:hAnsi="仿宋" w:eastAsia="仿宋" w:cs="Calibri"/>
          <w:sz w:val="28"/>
          <w:szCs w:val="28"/>
        </w:rPr>
      </w:pPr>
      <w:r>
        <w:rPr>
          <w:rFonts w:ascii="仿宋" w:hAnsi="仿宋" w:eastAsia="仿宋" w:cs="Calibri"/>
          <w:sz w:val="28"/>
          <w:szCs w:val="28"/>
        </w:rPr>
        <w:t>不得开支劳务费、餐饮费、充值卡费，不得开支生活用品。</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印刷出版资料费</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出版发表费</w:t>
      </w:r>
      <w:r>
        <w:rPr>
          <w:rFonts w:hint="eastAsia" w:ascii="仿宋" w:hAnsi="仿宋" w:eastAsia="仿宋" w:cs="Calibri"/>
          <w:sz w:val="28"/>
          <w:szCs w:val="28"/>
        </w:rPr>
        <w:t>：</w:t>
      </w:r>
      <w:r>
        <w:rPr>
          <w:rFonts w:ascii="仿宋" w:hAnsi="仿宋" w:eastAsia="仿宋" w:cs="Calibri"/>
          <w:sz w:val="28"/>
          <w:szCs w:val="28"/>
        </w:rPr>
        <w:t>论</w:t>
      </w:r>
      <w:r>
        <w:rPr>
          <w:rFonts w:ascii="仿宋" w:hAnsi="仿宋" w:eastAsia="仿宋" w:cs="Calibri"/>
          <w:color w:val="000000"/>
          <w:sz w:val="28"/>
          <w:szCs w:val="28"/>
        </w:rPr>
        <w:t>文发表等业务发生的费用。</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（1）报销版面费时需附论文录用通知。</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图书文献费</w:t>
      </w:r>
      <w:r>
        <w:rPr>
          <w:rFonts w:hint="eastAsia" w:ascii="仿宋" w:hAnsi="仿宋" w:eastAsia="仿宋" w:cs="Calibri"/>
          <w:sz w:val="28"/>
          <w:szCs w:val="28"/>
        </w:rPr>
        <w:t>：</w:t>
      </w:r>
      <w:r>
        <w:rPr>
          <w:rFonts w:ascii="仿宋" w:hAnsi="仿宋" w:eastAsia="仿宋" w:cs="Calibri"/>
          <w:sz w:val="28"/>
          <w:szCs w:val="28"/>
        </w:rPr>
        <w:t>购</w:t>
      </w:r>
      <w:r>
        <w:rPr>
          <w:rFonts w:ascii="仿宋" w:hAnsi="仿宋" w:eastAsia="仿宋" w:cs="Calibri"/>
          <w:color w:val="000000"/>
          <w:sz w:val="28"/>
          <w:szCs w:val="28"/>
        </w:rPr>
        <w:t>买图书文献资料发生的费用。</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资料印刷费</w:t>
      </w:r>
      <w:r>
        <w:rPr>
          <w:rFonts w:hint="eastAsia" w:ascii="仿宋" w:hAnsi="仿宋" w:eastAsia="仿宋" w:cs="Calibri"/>
          <w:sz w:val="28"/>
          <w:szCs w:val="28"/>
        </w:rPr>
        <w:t>：</w:t>
      </w:r>
      <w:r>
        <w:rPr>
          <w:rFonts w:ascii="仿宋" w:hAnsi="仿宋" w:eastAsia="仿宋" w:cs="Calibri"/>
          <w:sz w:val="28"/>
          <w:szCs w:val="28"/>
        </w:rPr>
        <w:t>文献</w:t>
      </w:r>
      <w:r>
        <w:rPr>
          <w:rFonts w:ascii="仿宋" w:hAnsi="仿宋" w:eastAsia="仿宋" w:cs="Calibri"/>
          <w:color w:val="000000"/>
          <w:sz w:val="28"/>
          <w:szCs w:val="28"/>
        </w:rPr>
        <w:t>资料印刷发生的费用。</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（1）金额</w:t>
      </w:r>
      <w:r>
        <w:rPr>
          <w:rFonts w:hint="eastAsia" w:ascii="仿宋" w:hAnsi="仿宋" w:eastAsia="仿宋" w:cs="微软雅黑"/>
          <w:color w:val="FF0000"/>
          <w:sz w:val="28"/>
          <w:szCs w:val="28"/>
        </w:rPr>
        <w:t>≧</w:t>
      </w:r>
      <w:r>
        <w:rPr>
          <w:rFonts w:ascii="仿宋" w:hAnsi="仿宋" w:eastAsia="仿宋" w:cs="Calibri"/>
          <w:color w:val="FF0000"/>
          <w:sz w:val="28"/>
          <w:szCs w:val="28"/>
        </w:rPr>
        <w:t>1千元，请附明细或协议。</w:t>
      </w:r>
    </w:p>
    <w:p>
      <w:pPr>
        <w:pStyle w:val="4"/>
        <w:spacing w:before="60" w:beforeAutospacing="0" w:after="60" w:afterAutospacing="0"/>
        <w:ind w:left="525" w:leftChars="250"/>
        <w:rPr>
          <w:rFonts w:ascii="仿宋" w:hAnsi="仿宋" w:eastAsia="仿宋" w:cs="Calibri"/>
          <w:sz w:val="28"/>
          <w:szCs w:val="28"/>
        </w:rPr>
      </w:pPr>
      <w:r>
        <w:rPr>
          <w:rFonts w:ascii="仿宋" w:hAnsi="仿宋" w:eastAsia="仿宋" w:cs="Calibri"/>
          <w:sz w:val="28"/>
          <w:szCs w:val="28"/>
          <w:shd w:val="clear" w:color="auto" w:fill="FFFF00"/>
        </w:rPr>
        <w:t>办公用品和印刷品各不能超过总金额的百分之二十。</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专利费</w:t>
      </w:r>
      <w:r>
        <w:rPr>
          <w:rFonts w:hint="eastAsia" w:ascii="仿宋" w:hAnsi="仿宋" w:eastAsia="仿宋" w:cs="Calibri"/>
          <w:sz w:val="28"/>
          <w:szCs w:val="28"/>
        </w:rPr>
        <w:t>：</w:t>
      </w:r>
      <w:r>
        <w:rPr>
          <w:rFonts w:ascii="仿宋" w:hAnsi="仿宋" w:eastAsia="仿宋" w:cs="Calibri"/>
          <w:sz w:val="28"/>
          <w:szCs w:val="28"/>
        </w:rPr>
        <w:t>专利</w:t>
      </w:r>
      <w:r>
        <w:rPr>
          <w:rFonts w:ascii="仿宋" w:hAnsi="仿宋" w:eastAsia="仿宋" w:cs="Calibri"/>
          <w:color w:val="000000"/>
          <w:sz w:val="28"/>
          <w:szCs w:val="28"/>
        </w:rPr>
        <w:t>申请、专利维持、专利代理等知识产权事务方面发生的费用。</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（1)金额≤1千元，不办理借款。</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办公费</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日常办公用品费</w:t>
      </w:r>
      <w:r>
        <w:rPr>
          <w:rFonts w:hint="eastAsia" w:ascii="仿宋" w:hAnsi="仿宋" w:eastAsia="仿宋" w:cs="Calibri"/>
          <w:sz w:val="28"/>
          <w:szCs w:val="28"/>
        </w:rPr>
        <w:t>：</w:t>
      </w:r>
      <w:r>
        <w:rPr>
          <w:rFonts w:ascii="仿宋" w:hAnsi="仿宋" w:eastAsia="仿宋" w:cs="Calibri"/>
          <w:sz w:val="28"/>
          <w:szCs w:val="28"/>
        </w:rPr>
        <w:t>日常</w:t>
      </w:r>
      <w:r>
        <w:rPr>
          <w:rFonts w:ascii="仿宋" w:hAnsi="仿宋" w:eastAsia="仿宋" w:cs="Calibri"/>
          <w:color w:val="000000"/>
          <w:sz w:val="28"/>
          <w:szCs w:val="28"/>
        </w:rPr>
        <w:t>办公用耗材。</w:t>
      </w:r>
    </w:p>
    <w:p>
      <w:pPr>
        <w:pStyle w:val="4"/>
        <w:spacing w:before="60" w:beforeAutospacing="0" w:after="60" w:afterAutospacing="0"/>
        <w:ind w:left="525" w:leftChars="250"/>
        <w:rPr>
          <w:rFonts w:ascii="仿宋" w:hAnsi="仿宋" w:eastAsia="仿宋" w:cs="Calibri"/>
          <w:color w:val="FF0000"/>
          <w:sz w:val="28"/>
          <w:szCs w:val="28"/>
        </w:rPr>
      </w:pPr>
      <w:r>
        <w:rPr>
          <w:rFonts w:ascii="仿宋" w:hAnsi="仿宋" w:eastAsia="仿宋" w:cs="Calibri"/>
          <w:color w:val="FF0000"/>
          <w:sz w:val="28"/>
          <w:szCs w:val="28"/>
        </w:rPr>
        <w:t>（1）购买硒鼓、墨盒、墨粉、色带、打印纸、笔等日常办公耗材。</w:t>
      </w:r>
    </w:p>
    <w:p>
      <w:pPr>
        <w:pStyle w:val="4"/>
        <w:spacing w:before="60" w:beforeAutospacing="0" w:after="60" w:afterAutospacing="0"/>
        <w:ind w:left="525" w:leftChars="250"/>
        <w:rPr>
          <w:rFonts w:ascii="仿宋" w:hAnsi="仿宋" w:eastAsia="仿宋" w:cs="Calibri"/>
          <w:color w:val="FF0000"/>
          <w:sz w:val="28"/>
          <w:szCs w:val="28"/>
        </w:rPr>
      </w:pPr>
      <w:r>
        <w:rPr>
          <w:rFonts w:ascii="仿宋" w:hAnsi="仿宋" w:eastAsia="仿宋" w:cs="Calibri"/>
          <w:color w:val="FF0000"/>
          <w:sz w:val="28"/>
          <w:szCs w:val="28"/>
        </w:rPr>
        <w:t>（2）发票内容为办公用品、配件、耗材、书籍、试剂、加工费等统称的，必须有加盖收款单位发票专用章的发票明细清单。</w:t>
      </w:r>
    </w:p>
    <w:p>
      <w:pPr>
        <w:pStyle w:val="4"/>
        <w:spacing w:before="0" w:beforeAutospacing="0" w:after="0" w:afterAutospacing="0"/>
        <w:ind w:left="525" w:leftChars="250"/>
        <w:rPr>
          <w:rFonts w:ascii="仿宋" w:hAnsi="仿宋" w:eastAsia="仿宋" w:cs="Calibri"/>
          <w:sz w:val="28"/>
          <w:szCs w:val="28"/>
        </w:rPr>
      </w:pPr>
      <w:r>
        <w:rPr>
          <w:rFonts w:ascii="仿宋" w:hAnsi="仿宋" w:eastAsia="仿宋" w:cs="Calibri"/>
          <w:sz w:val="28"/>
          <w:szCs w:val="28"/>
          <w:shd w:val="clear" w:color="auto" w:fill="FFFF00"/>
        </w:rPr>
        <w:t>办公用品必须在京东自营或者全通购买，其他必需品如在其他店铺购买需附店铺资质。办公用品和印刷品各不能超过总金额的百分之二十。</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邮电费</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邮寄费</w:t>
      </w:r>
      <w:r>
        <w:rPr>
          <w:rFonts w:hint="eastAsia" w:ascii="仿宋" w:hAnsi="仿宋" w:eastAsia="仿宋" w:cs="Calibri"/>
          <w:color w:val="000000"/>
          <w:sz w:val="28"/>
          <w:szCs w:val="28"/>
        </w:rPr>
        <w:t>：</w:t>
      </w:r>
      <w:r>
        <w:rPr>
          <w:rFonts w:ascii="仿宋" w:hAnsi="仿宋" w:eastAsia="仿宋" w:cs="Calibri"/>
          <w:color w:val="000000"/>
          <w:sz w:val="28"/>
          <w:szCs w:val="28"/>
        </w:rPr>
        <w:t>支付的邮寄、快递等费用，以及不归入资产价值的各种运费。</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（1）单张发票金额</w:t>
      </w:r>
      <w:r>
        <w:rPr>
          <w:rFonts w:hint="eastAsia" w:ascii="仿宋" w:hAnsi="仿宋" w:eastAsia="仿宋" w:cs="微软雅黑"/>
          <w:color w:val="FF0000"/>
          <w:sz w:val="28"/>
          <w:szCs w:val="28"/>
        </w:rPr>
        <w:t>≧</w:t>
      </w:r>
      <w:r>
        <w:rPr>
          <w:rFonts w:ascii="仿宋" w:hAnsi="仿宋" w:eastAsia="仿宋" w:cs="Calibri"/>
          <w:color w:val="FF0000"/>
          <w:sz w:val="28"/>
          <w:szCs w:val="28"/>
        </w:rPr>
        <w:t>1千元，请附运单。</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材料费</w:t>
      </w:r>
    </w:p>
    <w:p>
      <w:pPr>
        <w:pStyle w:val="4"/>
        <w:spacing w:before="0" w:beforeAutospacing="0" w:after="0" w:afterAutospacing="0"/>
        <w:ind w:left="525" w:leftChars="250"/>
        <w:rPr>
          <w:rFonts w:ascii="仿宋" w:hAnsi="仿宋" w:eastAsia="仿宋" w:cs="Calibri"/>
          <w:sz w:val="28"/>
          <w:szCs w:val="28"/>
        </w:rPr>
      </w:pPr>
      <w:r>
        <w:rPr>
          <w:rFonts w:ascii="仿宋" w:hAnsi="仿宋" w:eastAsia="仿宋" w:cs="Calibri"/>
          <w:sz w:val="28"/>
          <w:szCs w:val="28"/>
        </w:rPr>
        <w:t>（业务范围：未达到固定资产标准（单价&lt;1000元）的低值易耗材料费用）</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实验材料费</w:t>
      </w:r>
      <w:r>
        <w:rPr>
          <w:rFonts w:hint="eastAsia" w:ascii="仿宋" w:hAnsi="仿宋" w:eastAsia="仿宋" w:cs="Calibri"/>
          <w:color w:val="000000"/>
          <w:sz w:val="28"/>
          <w:szCs w:val="28"/>
        </w:rPr>
        <w:t>：</w:t>
      </w:r>
      <w:r>
        <w:rPr>
          <w:rFonts w:ascii="仿宋" w:hAnsi="仿宋" w:eastAsia="仿宋" w:cs="Calibri"/>
          <w:color w:val="000000"/>
          <w:sz w:val="28"/>
          <w:szCs w:val="28"/>
        </w:rPr>
        <w:t>购买用于教学或科研实验的各种器皿、器件、材料、气体、试剂、制剂等发生的费用。</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（1）单笔金额</w:t>
      </w:r>
      <w:r>
        <w:rPr>
          <w:rFonts w:hint="eastAsia" w:ascii="仿宋" w:hAnsi="仿宋" w:eastAsia="仿宋" w:cs="微软雅黑"/>
          <w:color w:val="FF0000"/>
          <w:sz w:val="28"/>
          <w:szCs w:val="28"/>
        </w:rPr>
        <w:t>≧</w:t>
      </w:r>
      <w:r>
        <w:rPr>
          <w:rFonts w:ascii="仿宋" w:hAnsi="仿宋" w:eastAsia="仿宋" w:cs="Calibri"/>
          <w:color w:val="FF0000"/>
          <w:sz w:val="28"/>
          <w:szCs w:val="28"/>
        </w:rPr>
        <w:t>1千元，请附明细或协议。</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（2）单笔金额≥1万元且&lt;3万元须附协议，单笔金额≥3万元，请附合同。</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（3）购化学药品请附信息与科技管理部开具的化学药品请购单。</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测试化验加工费</w:t>
      </w:r>
    </w:p>
    <w:p>
      <w:pPr>
        <w:pStyle w:val="4"/>
        <w:spacing w:before="0" w:beforeAutospacing="0" w:after="0" w:afterAutospacing="0"/>
        <w:ind w:left="525" w:leftChars="250"/>
        <w:rPr>
          <w:rFonts w:ascii="仿宋" w:hAnsi="仿宋" w:eastAsia="仿宋" w:cs="Calibri"/>
          <w:sz w:val="28"/>
          <w:szCs w:val="28"/>
        </w:rPr>
      </w:pPr>
      <w:r>
        <w:rPr>
          <w:rFonts w:ascii="仿宋" w:hAnsi="仿宋" w:eastAsia="仿宋" w:cs="Calibri"/>
          <w:sz w:val="28"/>
          <w:szCs w:val="28"/>
        </w:rPr>
        <w:t>（业务范围：教学科研活动中发生的测试、分析、加工、实验、化验等费用。）</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测试费</w:t>
      </w:r>
      <w:r>
        <w:rPr>
          <w:rFonts w:hint="eastAsia" w:ascii="仿宋" w:hAnsi="仿宋" w:eastAsia="仿宋" w:cs="Calibri"/>
          <w:color w:val="000000"/>
          <w:sz w:val="28"/>
          <w:szCs w:val="28"/>
        </w:rPr>
        <w:t>：</w:t>
      </w:r>
      <w:r>
        <w:rPr>
          <w:rFonts w:ascii="仿宋" w:hAnsi="仿宋" w:eastAsia="仿宋" w:cs="Calibri"/>
          <w:color w:val="000000"/>
          <w:sz w:val="28"/>
          <w:szCs w:val="28"/>
        </w:rPr>
        <w:t>教学、科研业务活动中发生的各种测试费。</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实(化）验费</w:t>
      </w:r>
      <w:r>
        <w:rPr>
          <w:rFonts w:hint="eastAsia" w:ascii="仿宋" w:hAnsi="仿宋" w:eastAsia="仿宋" w:cs="Calibri"/>
          <w:color w:val="000000"/>
          <w:sz w:val="28"/>
          <w:szCs w:val="28"/>
        </w:rPr>
        <w:t>：</w:t>
      </w:r>
      <w:r>
        <w:rPr>
          <w:rFonts w:ascii="仿宋" w:hAnsi="仿宋" w:eastAsia="仿宋" w:cs="Calibri"/>
          <w:color w:val="000000"/>
          <w:sz w:val="28"/>
          <w:szCs w:val="28"/>
        </w:rPr>
        <w:t>教学、科研业务活动中发生的各种分析、化验、实验、检测等费用。</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加工费</w:t>
      </w:r>
      <w:r>
        <w:rPr>
          <w:rFonts w:hint="eastAsia" w:ascii="仿宋" w:hAnsi="仿宋" w:eastAsia="仿宋" w:cs="Calibri"/>
          <w:color w:val="000000"/>
          <w:sz w:val="28"/>
          <w:szCs w:val="28"/>
        </w:rPr>
        <w:t>：</w:t>
      </w:r>
      <w:r>
        <w:rPr>
          <w:rFonts w:ascii="仿宋" w:hAnsi="仿宋" w:eastAsia="仿宋" w:cs="Calibri"/>
          <w:color w:val="000000"/>
          <w:sz w:val="28"/>
          <w:szCs w:val="28"/>
        </w:rPr>
        <w:t>教学、科研业务活动中发生的设备、材料加工费用。</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（1）单笔金额</w:t>
      </w:r>
      <w:r>
        <w:rPr>
          <w:rFonts w:hint="eastAsia" w:ascii="仿宋" w:hAnsi="仿宋" w:eastAsia="仿宋" w:cs="微软雅黑"/>
          <w:color w:val="FF0000"/>
          <w:sz w:val="28"/>
          <w:szCs w:val="28"/>
        </w:rPr>
        <w:t>≧</w:t>
      </w:r>
      <w:r>
        <w:rPr>
          <w:rFonts w:ascii="仿宋" w:hAnsi="仿宋" w:eastAsia="仿宋" w:cs="Calibri"/>
          <w:color w:val="FF0000"/>
          <w:sz w:val="28"/>
          <w:szCs w:val="28"/>
        </w:rPr>
        <w:t>1千元，请附明细或协议。（2)金额≥1万元且&lt;3万元须附协议</w:t>
      </w:r>
      <w:r>
        <w:rPr>
          <w:rFonts w:hint="eastAsia" w:ascii="仿宋" w:hAnsi="仿宋" w:eastAsia="仿宋" w:cs="Calibri"/>
          <w:color w:val="FF0000"/>
          <w:sz w:val="28"/>
          <w:szCs w:val="28"/>
        </w:rPr>
        <w:t>。</w:t>
      </w:r>
      <w:r>
        <w:rPr>
          <w:rFonts w:ascii="仿宋" w:hAnsi="仿宋" w:eastAsia="仿宋" w:cs="Calibri"/>
          <w:color w:val="FF0000"/>
          <w:sz w:val="28"/>
          <w:szCs w:val="28"/>
        </w:rPr>
        <w:t>（3）校内实验室提供服务，需附信息与科技管理部开具的明细单。（4）对于加工后形成设备并作为学校固定资产管理的加工费，应在“设备购置费”核算。</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国际合作交流费</w:t>
      </w:r>
    </w:p>
    <w:p>
      <w:pPr>
        <w:pStyle w:val="4"/>
        <w:spacing w:before="0" w:beforeAutospacing="0" w:after="0" w:afterAutospacing="0"/>
        <w:ind w:left="525" w:leftChars="250"/>
        <w:rPr>
          <w:rFonts w:ascii="仿宋" w:hAnsi="仿宋" w:eastAsia="仿宋" w:cs="Calibri"/>
          <w:sz w:val="28"/>
          <w:szCs w:val="28"/>
        </w:rPr>
      </w:pPr>
      <w:r>
        <w:rPr>
          <w:rFonts w:ascii="仿宋" w:hAnsi="仿宋" w:eastAsia="仿宋" w:cs="Calibri"/>
          <w:sz w:val="28"/>
          <w:szCs w:val="28"/>
        </w:rPr>
        <w:t>（业务范围：国（境）外专家来华交流访问以及本校师生出国（境）交流学习费用。）</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国际合作交流费（短期）</w:t>
      </w:r>
      <w:r>
        <w:rPr>
          <w:rFonts w:hint="eastAsia" w:ascii="仿宋" w:hAnsi="仿宋" w:eastAsia="仿宋" w:cs="Calibri"/>
          <w:color w:val="000000"/>
          <w:sz w:val="28"/>
          <w:szCs w:val="28"/>
        </w:rPr>
        <w:t>：</w:t>
      </w:r>
      <w:r>
        <w:rPr>
          <w:rFonts w:ascii="仿宋" w:hAnsi="仿宋" w:eastAsia="仿宋" w:cs="Calibri"/>
          <w:color w:val="000000"/>
          <w:sz w:val="28"/>
          <w:szCs w:val="28"/>
        </w:rPr>
        <w:t>本校教师或学生短期出国（境）合作交流发生的费用。</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（1）短期出国（境）天数界定：教师出国天数在90天以内，学生出国天数在30天以内。</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（2）报销附邀请函、护照复印件（首页和出入境记录页）、（北京市或新疆维吾尔自治区人民政府）《出国赴港澳任务批件》（教职工），《中国石油大学（北京）出国赴港澳台任务批件》（学生）。</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（3）境内购买出国机票应当优先选择由我国航空公司运营的国际航线，须以支票、汇款或公务卡结算，不得以现金支付，报销附电子客票行程单，登机牌或验证单。</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（4）国外住宿费按实际发生住宿天数在规定的标准之内据实报销,学生标准减半。</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（5）伙食费和公杂费按规定包干使用，包干天数按离、抵我国国境之日计算。</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（6）出国签证费用、防疫费用、会议注册费等凭有效原始票据据实报销。如到访国要求购买境外保险，凭有效原始票据据实报销。</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2</w:t>
      </w:r>
      <w:r>
        <w:rPr>
          <w:rFonts w:ascii="仿宋" w:hAnsi="仿宋" w:eastAsia="仿宋" w:cs="Calibri"/>
          <w:b/>
          <w:sz w:val="28"/>
          <w:szCs w:val="28"/>
        </w:rPr>
        <w:t>.国内差旅费</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车费</w:t>
      </w:r>
    </w:p>
    <w:tbl>
      <w:tblPr>
        <w:tblStyle w:val="5"/>
        <w:tblW w:w="9640" w:type="dxa"/>
        <w:tblCaption w:val=""/>
        <w:tblDescription w:val=""/>
        <w:tblInd w:w="-861"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09"/>
        <w:gridCol w:w="2977"/>
        <w:gridCol w:w="2694"/>
        <w:gridCol w:w="1275"/>
        <w:gridCol w:w="1134"/>
        <w:gridCol w:w="851"/>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9"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标准</w:t>
            </w:r>
          </w:p>
        </w:tc>
        <w:tc>
          <w:tcPr>
            <w:tcW w:w="2977"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对应人员</w:t>
            </w:r>
          </w:p>
        </w:tc>
        <w:tc>
          <w:tcPr>
            <w:tcW w:w="269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火车（含高铁、动车、全列软席列车）</w:t>
            </w:r>
          </w:p>
        </w:tc>
        <w:tc>
          <w:tcPr>
            <w:tcW w:w="1275"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轮船（不包括旅游船）</w:t>
            </w:r>
          </w:p>
        </w:tc>
        <w:tc>
          <w:tcPr>
            <w:tcW w:w="113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飞机</w:t>
            </w:r>
          </w:p>
        </w:tc>
        <w:tc>
          <w:tcPr>
            <w:tcW w:w="851"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其他交通工具</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9"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一类</w:t>
            </w:r>
          </w:p>
        </w:tc>
        <w:tc>
          <w:tcPr>
            <w:tcW w:w="2977"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0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院士、其他相当于院士的学者；二级及以上管理岗位人员</w:t>
            </w:r>
          </w:p>
        </w:tc>
        <w:tc>
          <w:tcPr>
            <w:tcW w:w="269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火车软卧、一等软座、高铁/动车商务座</w:t>
            </w:r>
          </w:p>
        </w:tc>
        <w:tc>
          <w:tcPr>
            <w:tcW w:w="1275"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一等舱</w:t>
            </w:r>
          </w:p>
        </w:tc>
        <w:tc>
          <w:tcPr>
            <w:tcW w:w="113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头等舱公务舱</w:t>
            </w:r>
          </w:p>
        </w:tc>
        <w:tc>
          <w:tcPr>
            <w:tcW w:w="851"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凭据报销</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9"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二类</w:t>
            </w:r>
          </w:p>
        </w:tc>
        <w:tc>
          <w:tcPr>
            <w:tcW w:w="2977"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正高级职称人员；正处级及以上管理岗位人员</w:t>
            </w:r>
          </w:p>
        </w:tc>
        <w:tc>
          <w:tcPr>
            <w:tcW w:w="269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火车软卧、一等软座、高铁/动车一等座</w:t>
            </w:r>
          </w:p>
        </w:tc>
        <w:tc>
          <w:tcPr>
            <w:tcW w:w="1275"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二等舱</w:t>
            </w:r>
          </w:p>
        </w:tc>
        <w:tc>
          <w:tcPr>
            <w:tcW w:w="113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经济舱</w:t>
            </w:r>
          </w:p>
        </w:tc>
        <w:tc>
          <w:tcPr>
            <w:tcW w:w="851"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凭票报销</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9"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三类</w:t>
            </w:r>
          </w:p>
        </w:tc>
        <w:tc>
          <w:tcPr>
            <w:tcW w:w="2977"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其余人员</w:t>
            </w:r>
          </w:p>
        </w:tc>
        <w:tc>
          <w:tcPr>
            <w:tcW w:w="269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火车硬座、硬卧、二等软座、高铁/动车二等座</w:t>
            </w:r>
          </w:p>
        </w:tc>
        <w:tc>
          <w:tcPr>
            <w:tcW w:w="1275"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三等舱</w:t>
            </w:r>
          </w:p>
        </w:tc>
        <w:tc>
          <w:tcPr>
            <w:tcW w:w="113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经济舱</w:t>
            </w:r>
          </w:p>
        </w:tc>
        <w:tc>
          <w:tcPr>
            <w:tcW w:w="851"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凭票报销</w:t>
            </w:r>
          </w:p>
        </w:tc>
      </w:tr>
    </w:tbl>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1</w:t>
      </w:r>
      <w:r>
        <w:rPr>
          <w:rFonts w:ascii="仿宋" w:hAnsi="仿宋" w:eastAsia="仿宋" w:cs="Calibri"/>
          <w:sz w:val="28"/>
          <w:szCs w:val="28"/>
        </w:rPr>
        <w:t>.乘车标准：出差人员应当按规定等级乘坐交通工具（学生不得超出第三类标准）。乘坐交通工具的等级与人员级别对应表：</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学生交流、调研只能乘坐火车硬座，夜间（22:00-6:00）晚十点至或者行程超过6小时可以乘坐火车硬卧。</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2.出发地和目的地之间有公交站，仅报销公交票，如需报销出租车票进行说明。出租车票仅报销学校—车站（机场）、车站（机场）—住宿地、住宿地—实践地、车站（机场）—实践地，报销时需在发票背面进行标明行程区间和垫付人姓名。</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3.车票的时间需在活动时间内，时间有问题不予报销。</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4.出租车票和汽车票需有发票专用章，没有章不予报销。出租车背面标注清楚出发地-到达地，按次粘贴。</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5.火车票（机票）行程不闭合需要写说明，本人及指导老师签字。</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6.机票报销须附机票验真单，验真单上应包含姓名编号、金额、机票已使用等内容，个人购买机票需要订单详情和账单详情。</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住宿费</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1.住宿标准：</w:t>
      </w:r>
      <w:r>
        <w:rPr>
          <w:rFonts w:hint="eastAsia" w:ascii="仿宋" w:hAnsi="仿宋" w:eastAsia="仿宋" w:cs="Calibri"/>
          <w:sz w:val="28"/>
          <w:szCs w:val="28"/>
        </w:rPr>
        <w:t>校区差旅费限额标准明细表</w:t>
      </w:r>
    </w:p>
    <w:p>
      <w:pPr>
        <w:pStyle w:val="4"/>
        <w:spacing w:before="0" w:beforeAutospacing="0" w:after="0" w:afterAutospacing="0"/>
        <w:ind w:firstLine="480" w:firstLineChars="200"/>
        <w:rPr>
          <w:rFonts w:ascii="仿宋" w:hAnsi="仿宋" w:eastAsia="仿宋" w:cs="Calibri"/>
          <w:sz w:val="28"/>
          <w:szCs w:val="28"/>
        </w:rPr>
      </w:pPr>
      <w:r>
        <w:fldChar w:fldCharType="begin"/>
      </w:r>
      <w:r>
        <w:instrText xml:space="preserve"> HYPERLINK "https://www.cupk.edu.cn/cwb/c/2021-08-29/509326.shtml" </w:instrText>
      </w:r>
      <w:r>
        <w:fldChar w:fldCharType="separate"/>
      </w:r>
      <w:r>
        <w:rPr>
          <w:rStyle w:val="8"/>
          <w:rFonts w:hint="eastAsia" w:ascii="仿宋" w:hAnsi="仿宋" w:eastAsia="仿宋" w:cs="Calibri"/>
          <w:sz w:val="28"/>
          <w:szCs w:val="28"/>
        </w:rPr>
        <w:t>https://www.cupk.edu.cn/cwb/c/2021-08-29/509326.shtml</w:t>
      </w:r>
      <w:r>
        <w:rPr>
          <w:rStyle w:val="8"/>
          <w:rFonts w:hint="eastAsia" w:ascii="仿宋" w:hAnsi="仿宋" w:eastAsia="仿宋" w:cs="Calibri"/>
          <w:sz w:val="28"/>
          <w:szCs w:val="28"/>
        </w:rPr>
        <w:fldChar w:fldCharType="end"/>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2.住宿费发票应注明住宿人姓名、住宿时间、住宿天数、人数、房间数、单价等基本信息如因宾馆客观条件限制无法在发票上体现，在住宿票背面标明住宿人姓名、住宿时间、住宿天数、人数、房间数、单价。（注：学生两人一间）</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3.住宿发票超过1000元，需要提供支付凭证并在发票验真平台进行验真并打印；单张发票不超过一千，但是多张发票属于发票代码连号（如:xxxxxxxxxx20、xxxxxxxxxx21），总额超过1000元仍需提供支付凭证并对每一张发票进行验真并打印。</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补助</w:t>
      </w:r>
    </w:p>
    <w:p>
      <w:pPr>
        <w:pStyle w:val="4"/>
        <w:spacing w:before="0" w:beforeAutospacing="0" w:after="0" w:afterAutospacing="0"/>
        <w:ind w:firstLine="562" w:firstLineChars="200"/>
        <w:rPr>
          <w:rFonts w:ascii="仿宋" w:hAnsi="仿宋" w:eastAsia="仿宋" w:cs="Calibri"/>
          <w:b/>
          <w:color w:val="FF0000"/>
          <w:sz w:val="28"/>
          <w:szCs w:val="28"/>
        </w:rPr>
      </w:pPr>
      <w:r>
        <w:rPr>
          <w:rFonts w:ascii="仿宋" w:hAnsi="仿宋" w:eastAsia="仿宋" w:cs="Calibri"/>
          <w:b/>
          <w:color w:val="FF0000"/>
          <w:sz w:val="28"/>
          <w:szCs w:val="28"/>
        </w:rPr>
        <w:t>学生无伙食补助、无交通补助。</w:t>
      </w:r>
    </w:p>
    <w:p>
      <w:pPr>
        <w:pStyle w:val="4"/>
        <w:spacing w:before="0" w:beforeAutospacing="0" w:after="0" w:afterAutospacing="0"/>
        <w:ind w:firstLine="562" w:firstLineChars="200"/>
        <w:rPr>
          <w:rFonts w:ascii="仿宋" w:hAnsi="仿宋" w:eastAsia="仿宋" w:cs="Calibri"/>
          <w:b/>
          <w:color w:val="FF0000"/>
          <w:sz w:val="28"/>
          <w:szCs w:val="28"/>
        </w:rPr>
      </w:pPr>
    </w:p>
    <w:p>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三、报销材料附件要求</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经费报销工作严格遵守学校财务制度。见事业经费管理报销规定</w:t>
      </w:r>
      <w:r>
        <w:rPr>
          <w:rFonts w:hint="eastAsia" w:ascii="仿宋" w:hAnsi="仿宋" w:eastAsia="仿宋" w:cs="Calibri"/>
          <w:sz w:val="28"/>
          <w:szCs w:val="28"/>
        </w:rPr>
        <w:t>：</w:t>
      </w:r>
      <w:r>
        <w:rPr>
          <w:rFonts w:ascii="仿宋" w:hAnsi="仿宋" w:eastAsia="仿宋" w:cs="Calibri"/>
          <w:sz w:val="28"/>
          <w:szCs w:val="28"/>
        </w:rPr>
        <w:t>https://www.cupk.edu.cn/cxgl/c/2019-04-10/496362.shtml</w:t>
      </w:r>
    </w:p>
    <w:p>
      <w:pPr>
        <w:pStyle w:val="9"/>
        <w:widowControl/>
        <w:numPr>
          <w:ilvl w:val="0"/>
          <w:numId w:val="3"/>
        </w:numPr>
        <w:ind w:firstLineChars="0"/>
        <w:jc w:val="left"/>
        <w:textAlignment w:val="center"/>
        <w:outlineLvl w:val="1"/>
        <w:rPr>
          <w:rFonts w:ascii="仿宋" w:hAnsi="仿宋" w:eastAsia="仿宋" w:cs="Calibri"/>
          <w:b/>
          <w:sz w:val="28"/>
          <w:szCs w:val="28"/>
        </w:rPr>
      </w:pPr>
      <w:r>
        <w:rPr>
          <w:rFonts w:ascii="仿宋" w:hAnsi="仿宋" w:eastAsia="仿宋" w:cs="Calibri"/>
          <w:b/>
          <w:sz w:val="28"/>
          <w:szCs w:val="28"/>
        </w:rPr>
        <w:t>学生活动经费报销审批表</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每个项目</w:t>
      </w:r>
      <w:r>
        <w:rPr>
          <w:rFonts w:hint="eastAsia" w:ascii="仿宋" w:hAnsi="仿宋" w:eastAsia="仿宋" w:cs="Calibri"/>
          <w:sz w:val="28"/>
          <w:szCs w:val="28"/>
        </w:rPr>
        <w:t>填</w:t>
      </w:r>
      <w:r>
        <w:rPr>
          <w:rFonts w:ascii="仿宋" w:hAnsi="仿宋" w:eastAsia="仿宋" w:cs="Calibri"/>
          <w:sz w:val="28"/>
          <w:szCs w:val="28"/>
        </w:rPr>
        <w:t>一份审批表</w:t>
      </w:r>
      <w:r>
        <w:rPr>
          <w:rFonts w:hint="eastAsia" w:ascii="仿宋" w:hAnsi="仿宋" w:eastAsia="仿宋" w:cs="Calibri"/>
          <w:sz w:val="28"/>
          <w:szCs w:val="28"/>
        </w:rPr>
        <w:t>，经办人为项目负责人，签字需项目负责人和指导老师同时签名，审批表下载地址：https://www.cupk.edu.cn/cxcy/c/2024-06-09/522352.shtml。</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活动名称填：大创训练项目-xxx（项目名称）-xxx（项目编号）</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学院收齐各项目审批表之后，核对金额后，可合并</w:t>
      </w:r>
      <w:r>
        <w:rPr>
          <w:rFonts w:hint="eastAsia" w:ascii="仿宋" w:hAnsi="仿宋" w:eastAsia="仿宋" w:cs="Calibri"/>
          <w:b/>
          <w:sz w:val="28"/>
          <w:szCs w:val="28"/>
        </w:rPr>
        <w:t>开具汇总审批表</w:t>
      </w:r>
      <w:r>
        <w:rPr>
          <w:rFonts w:hint="eastAsia" w:ascii="仿宋" w:hAnsi="仿宋" w:eastAsia="仿宋" w:cs="Calibri"/>
          <w:sz w:val="28"/>
          <w:szCs w:val="28"/>
        </w:rPr>
        <w:t>，经办人需和填报系统的人名一致，审批单由学院主管领导审核签字盖章后，随系统</w:t>
      </w:r>
      <w:r>
        <w:rPr>
          <w:rFonts w:hint="eastAsia" w:ascii="仿宋" w:hAnsi="仿宋" w:eastAsia="仿宋" w:cs="Calibri"/>
          <w:b/>
          <w:color w:val="FF0000"/>
          <w:sz w:val="28"/>
          <w:szCs w:val="28"/>
        </w:rPr>
        <w:t>审批过后的报销单</w:t>
      </w:r>
      <w:r>
        <w:rPr>
          <w:rFonts w:hint="eastAsia" w:ascii="仿宋" w:hAnsi="仿宋" w:eastAsia="仿宋" w:cs="Calibri"/>
          <w:sz w:val="28"/>
          <w:szCs w:val="28"/>
        </w:rPr>
        <w:t>（审批流程见后），送至创新创业学院。</w:t>
      </w:r>
    </w:p>
    <w:p>
      <w:pPr>
        <w:widowControl/>
        <w:jc w:val="left"/>
        <w:textAlignment w:val="center"/>
        <w:rPr>
          <w:rFonts w:ascii="仿宋" w:hAnsi="仿宋" w:eastAsia="仿宋" w:cs="Calibri"/>
          <w:b/>
          <w:sz w:val="28"/>
          <w:szCs w:val="28"/>
        </w:rPr>
      </w:pPr>
    </w:p>
    <w:p>
      <w:pPr>
        <w:widowControl/>
        <w:jc w:val="left"/>
        <w:textAlignment w:val="center"/>
        <w:outlineLvl w:val="1"/>
        <w:rPr>
          <w:rFonts w:ascii="仿宋" w:hAnsi="仿宋" w:eastAsia="仿宋" w:cs="Calibri"/>
          <w:b/>
          <w:sz w:val="28"/>
          <w:szCs w:val="28"/>
        </w:rPr>
      </w:pPr>
      <w:r>
        <w:drawing>
          <wp:inline distT="0" distB="0" distL="114300" distR="114300">
            <wp:extent cx="5273040" cy="6127115"/>
            <wp:effectExtent l="0" t="0" r="3810" b="698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4"/>
                    <a:stretch>
                      <a:fillRect/>
                    </a:stretch>
                  </pic:blipFill>
                  <pic:spPr>
                    <a:xfrm>
                      <a:off x="0" y="0"/>
                      <a:ext cx="5273040" cy="6127115"/>
                    </a:xfrm>
                    <a:prstGeom prst="rect">
                      <a:avLst/>
                    </a:prstGeom>
                    <a:noFill/>
                    <a:ln>
                      <a:noFill/>
                    </a:ln>
                  </pic:spPr>
                </pic:pic>
              </a:graphicData>
            </a:graphic>
          </wp:inline>
        </w:drawing>
      </w:r>
      <w:r>
        <w:rPr>
          <w:rFonts w:ascii="仿宋" w:hAnsi="仿宋" w:eastAsia="仿宋" w:cs="Calibri"/>
          <w:b/>
          <w:sz w:val="28"/>
          <w:szCs w:val="28"/>
        </w:rPr>
        <w:t>2.报销说明</w:t>
      </w:r>
      <w:r>
        <w:rPr>
          <w:rFonts w:hint="eastAsia" w:ascii="仿宋" w:hAnsi="仿宋" w:eastAsia="仿宋" w:cs="Calibri"/>
          <w:b/>
          <w:sz w:val="28"/>
          <w:szCs w:val="28"/>
        </w:rPr>
        <w:t>文档</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每个项目需填写报销说明，</w:t>
      </w:r>
      <w:r>
        <w:rPr>
          <w:rFonts w:ascii="仿宋" w:hAnsi="仿宋" w:eastAsia="仿宋" w:cs="Calibri"/>
          <w:sz w:val="28"/>
          <w:szCs w:val="28"/>
        </w:rPr>
        <w:t>内容包含项目名称、等级、中期报销经费总额、本次申请报销的经费明细。</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同时说明每笔支出的用途和金额，写明每笔经费需要对公转账还是转给学生个人。</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手写或打印均可，需项目负责人签字，指导老师签字。</w:t>
      </w:r>
    </w:p>
    <w:p>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3.票据</w:t>
      </w:r>
    </w:p>
    <w:p>
      <w:pPr>
        <w:pStyle w:val="4"/>
        <w:numPr>
          <w:ilvl w:val="0"/>
          <w:numId w:val="2"/>
        </w:numPr>
        <w:spacing w:before="0" w:beforeAutospacing="0" w:after="0" w:afterAutospacing="0"/>
        <w:ind w:left="0" w:firstLine="0"/>
        <w:rPr>
          <w:rFonts w:ascii="仿宋" w:hAnsi="仿宋" w:eastAsia="仿宋" w:cs="Calibri"/>
          <w:sz w:val="28"/>
          <w:szCs w:val="28"/>
        </w:rPr>
      </w:pPr>
      <w:r>
        <w:rPr>
          <w:rFonts w:ascii="仿宋" w:hAnsi="仿宋" w:eastAsia="仿宋" w:cs="Calibri"/>
          <w:sz w:val="28"/>
          <w:szCs w:val="28"/>
        </w:rPr>
        <w:t xml:space="preserve">发票签字 </w:t>
      </w:r>
    </w:p>
    <w:p>
      <w:pPr>
        <w:pStyle w:val="4"/>
        <w:spacing w:before="0" w:beforeAutospacing="0" w:after="0" w:afterAutospacing="0"/>
        <w:rPr>
          <w:rFonts w:ascii="仿宋" w:hAnsi="仿宋" w:eastAsia="仿宋" w:cs="Calibri"/>
          <w:sz w:val="28"/>
          <w:szCs w:val="28"/>
        </w:rPr>
      </w:pPr>
      <w:r>
        <w:rPr>
          <w:rFonts w:ascii="仿宋" w:hAnsi="仿宋" w:eastAsia="仿宋" w:cs="Calibri"/>
          <w:sz w:val="28"/>
          <w:szCs w:val="28"/>
        </w:rPr>
        <w:t>1.发票要保持整洁，特别是正面不能涂改（否则发票作废），签字及其他说明 须写在发票背面。除非背面有复写（背面非白色，包括蓝色磁质火车票），可签在发票正面空白处。签字用中性笔，铅笔签字无效。</w:t>
      </w:r>
    </w:p>
    <w:p>
      <w:pPr>
        <w:pStyle w:val="4"/>
        <w:spacing w:before="0" w:beforeAutospacing="0" w:after="0" w:afterAutospacing="0"/>
        <w:rPr>
          <w:rFonts w:ascii="仿宋" w:hAnsi="仿宋" w:eastAsia="仿宋" w:cs="Calibri"/>
          <w:sz w:val="28"/>
          <w:szCs w:val="28"/>
        </w:rPr>
      </w:pPr>
      <w:r>
        <w:rPr>
          <w:rFonts w:ascii="仿宋" w:hAnsi="仿宋" w:eastAsia="仿宋" w:cs="Calibri"/>
          <w:sz w:val="28"/>
          <w:szCs w:val="28"/>
        </w:rPr>
        <w:t>2.所有发票须有项目负责人的签字。</w:t>
      </w:r>
    </w:p>
    <w:p>
      <w:pPr>
        <w:pStyle w:val="4"/>
        <w:spacing w:before="0" w:beforeAutospacing="0" w:after="0" w:afterAutospacing="0"/>
        <w:ind w:left="540" w:leftChars="257"/>
        <w:rPr>
          <w:rFonts w:ascii="仿宋" w:hAnsi="仿宋" w:eastAsia="仿宋" w:cs="Calibri"/>
          <w:sz w:val="28"/>
          <w:szCs w:val="28"/>
        </w:rPr>
      </w:pPr>
      <w:r>
        <w:rPr>
          <w:rFonts w:ascii="仿宋" w:hAnsi="仿宋" w:eastAsia="仿宋" w:cs="Calibri"/>
          <w:sz w:val="28"/>
          <w:szCs w:val="28"/>
        </w:rPr>
        <w:t>（1）实物类（购买物品，材料费、图书费等）发票每张发票须项目负责人、指导教师签字。</w:t>
      </w:r>
    </w:p>
    <w:p>
      <w:pPr>
        <w:pStyle w:val="4"/>
        <w:spacing w:before="0" w:beforeAutospacing="0" w:after="0" w:afterAutospacing="0"/>
        <w:ind w:left="540" w:leftChars="257"/>
        <w:rPr>
          <w:rFonts w:ascii="仿宋" w:hAnsi="仿宋" w:eastAsia="仿宋" w:cs="Calibri"/>
          <w:sz w:val="28"/>
          <w:szCs w:val="28"/>
        </w:rPr>
      </w:pPr>
      <w:r>
        <w:rPr>
          <w:rFonts w:ascii="仿宋" w:hAnsi="仿宋" w:eastAsia="仿宋" w:cs="Calibri"/>
          <w:sz w:val="28"/>
          <w:szCs w:val="28"/>
        </w:rPr>
        <w:t xml:space="preserve">（2）其他类发票（打印费、邮费、版面费等）每张由项目负责人签字，指导教师可在同类发票的其中 一张发票背面注明合计张数、合计金额后签字。 </w:t>
      </w:r>
    </w:p>
    <w:p>
      <w:pPr>
        <w:pStyle w:val="4"/>
        <w:numPr>
          <w:ilvl w:val="0"/>
          <w:numId w:val="3"/>
        </w:numPr>
        <w:spacing w:before="0" w:beforeAutospacing="0" w:after="0" w:afterAutospacing="0"/>
        <w:rPr>
          <w:rFonts w:ascii="仿宋" w:hAnsi="仿宋" w:eastAsia="仿宋" w:cs="Calibri"/>
          <w:sz w:val="28"/>
          <w:szCs w:val="28"/>
        </w:rPr>
      </w:pPr>
      <w:r>
        <w:rPr>
          <w:rFonts w:ascii="仿宋" w:hAnsi="仿宋" w:eastAsia="仿宋" w:cs="Calibri"/>
          <w:sz w:val="28"/>
          <w:szCs w:val="28"/>
        </w:rPr>
        <w:t>市内交通费只能报销学校与目的地往返的发票，并在发票背面标注时间（日期）、出发地与目的地、出行事由、乘车人（要求同行人数大于4人时，方可乘坐第二辆出租车），按照鱼鳞状粘贴在发票粘贴单上</w:t>
      </w:r>
      <w:r>
        <w:rPr>
          <w:rFonts w:hint="eastAsia" w:ascii="仿宋" w:hAnsi="仿宋" w:eastAsia="仿宋" w:cs="Calibri"/>
          <w:sz w:val="28"/>
          <w:szCs w:val="28"/>
        </w:rPr>
        <w:t>（见后附件），粘贴单需填写总额和票据数。市内交通费需</w:t>
      </w:r>
      <w:r>
        <w:rPr>
          <w:rFonts w:hint="eastAsia" w:ascii="仿宋" w:hAnsi="仿宋" w:eastAsia="仿宋" w:cs="Calibri"/>
          <w:b/>
          <w:sz w:val="28"/>
          <w:szCs w:val="28"/>
        </w:rPr>
        <w:t>经费卡负责人</w:t>
      </w:r>
      <w:r>
        <w:rPr>
          <w:rFonts w:hint="eastAsia" w:ascii="仿宋" w:hAnsi="仿宋" w:eastAsia="仿宋" w:cs="Calibri"/>
          <w:sz w:val="28"/>
          <w:szCs w:val="28"/>
        </w:rPr>
        <w:t>签字，请在提交报销单时提醒创新创业学院老师。</w:t>
      </w:r>
    </w:p>
    <w:p>
      <w:pPr>
        <w:pStyle w:val="4"/>
        <w:spacing w:before="0" w:beforeAutospacing="0" w:after="0" w:afterAutospacing="0"/>
        <w:ind w:left="360"/>
        <w:rPr>
          <w:rFonts w:ascii="仿宋" w:hAnsi="仿宋" w:eastAsia="仿宋" w:cs="Calibri"/>
          <w:sz w:val="28"/>
          <w:szCs w:val="28"/>
        </w:rPr>
      </w:pPr>
      <w:r>
        <w:rPr>
          <w:rFonts w:ascii="仿宋" w:hAnsi="仿宋" w:eastAsia="仿宋" w:cs="Calibri"/>
          <w:sz w:val="28"/>
          <w:szCs w:val="28"/>
        </w:rPr>
        <w:drawing>
          <wp:inline distT="0" distB="0" distL="0" distR="0">
            <wp:extent cx="4287520" cy="2996565"/>
            <wp:effectExtent l="0" t="0" r="0" b="0"/>
            <wp:docPr id="2" name="图片 2" descr="C:\Users\Admin\AppData\Local\Microsoft\Windows\INetCache\Content.MSO\5555A0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AppData\Local\Microsoft\Windows\INetCache\Content.MSO\5555A08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93930" cy="3000728"/>
                    </a:xfrm>
                    <a:prstGeom prst="rect">
                      <a:avLst/>
                    </a:prstGeom>
                    <a:noFill/>
                    <a:ln>
                      <a:noFill/>
                    </a:ln>
                  </pic:spPr>
                </pic:pic>
              </a:graphicData>
            </a:graphic>
          </wp:inline>
        </w:drawing>
      </w:r>
      <w:r>
        <w:rPr>
          <w:rFonts w:ascii="仿宋" w:hAnsi="仿宋" w:eastAsia="仿宋" w:cs="Calibri"/>
          <w:sz w:val="28"/>
          <w:szCs w:val="28"/>
        </w:rPr>
        <w:t>。</w:t>
      </w:r>
    </w:p>
    <w:p>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4.其他附件</w:t>
      </w:r>
    </w:p>
    <w:p>
      <w:pPr>
        <w:pStyle w:val="4"/>
        <w:numPr>
          <w:ilvl w:val="0"/>
          <w:numId w:val="2"/>
        </w:numPr>
        <w:spacing w:before="0" w:beforeAutospacing="0" w:after="0" w:afterAutospacing="0"/>
        <w:ind w:left="0" w:firstLine="0"/>
        <w:rPr>
          <w:rFonts w:ascii="仿宋" w:hAnsi="仿宋" w:eastAsia="仿宋" w:cs="Calibri"/>
          <w:sz w:val="28"/>
          <w:szCs w:val="28"/>
        </w:rPr>
      </w:pPr>
      <w:r>
        <w:rPr>
          <w:rFonts w:hint="eastAsia" w:ascii="仿宋" w:hAnsi="仿宋" w:eastAsia="仿宋" w:cs="Calibri"/>
          <w:sz w:val="28"/>
          <w:szCs w:val="28"/>
        </w:rPr>
        <w:t>个人垫付商品需提供</w:t>
      </w:r>
      <w:r>
        <w:rPr>
          <w:rFonts w:ascii="仿宋" w:hAnsi="仿宋" w:eastAsia="仿宋" w:cs="Calibri"/>
          <w:b/>
          <w:sz w:val="28"/>
          <w:szCs w:val="28"/>
        </w:rPr>
        <w:t>网购记录及支付凭证</w:t>
      </w:r>
      <w:r>
        <w:rPr>
          <w:rFonts w:hint="eastAsia" w:ascii="仿宋" w:hAnsi="仿宋" w:eastAsia="仿宋" w:cs="Calibri"/>
          <w:b/>
          <w:sz w:val="28"/>
          <w:szCs w:val="28"/>
        </w:rPr>
        <w:t>，且相关信息需与发票一致</w:t>
      </w:r>
      <w:r>
        <w:rPr>
          <w:rFonts w:ascii="仿宋" w:hAnsi="仿宋" w:eastAsia="仿宋" w:cs="Calibri"/>
          <w:sz w:val="28"/>
          <w:szCs w:val="28"/>
        </w:rPr>
        <w:t>。</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网购记录</w:t>
      </w:r>
      <w:r>
        <w:rPr>
          <w:rFonts w:hint="eastAsia" w:ascii="仿宋" w:hAnsi="仿宋" w:eastAsia="仿宋" w:cs="Calibri"/>
          <w:sz w:val="28"/>
          <w:szCs w:val="28"/>
        </w:rPr>
        <w:t>，包括：</w:t>
      </w:r>
      <w:r>
        <w:rPr>
          <w:rFonts w:ascii="仿宋" w:hAnsi="仿宋" w:eastAsia="仿宋" w:cs="Calibri"/>
          <w:b/>
          <w:color w:val="FF0000"/>
          <w:sz w:val="28"/>
          <w:szCs w:val="28"/>
        </w:rPr>
        <w:t>店铺名称</w:t>
      </w:r>
      <w:r>
        <w:rPr>
          <w:rFonts w:ascii="仿宋" w:hAnsi="仿宋" w:eastAsia="仿宋" w:cs="Calibri"/>
          <w:sz w:val="28"/>
          <w:szCs w:val="28"/>
        </w:rPr>
        <w:t>、商品名称、商品金额、订单总额、订单号、收货地址、收货联系人、支付时间及收款人名称等。</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支付凭证，包括：</w:t>
      </w:r>
      <w:r>
        <w:rPr>
          <w:rFonts w:hint="eastAsia" w:ascii="仿宋" w:hAnsi="仿宋" w:eastAsia="仿宋" w:cs="Calibri"/>
          <w:b/>
          <w:color w:val="FF0000"/>
          <w:sz w:val="28"/>
          <w:szCs w:val="28"/>
        </w:rPr>
        <w:t>收款方</w:t>
      </w:r>
      <w:r>
        <w:rPr>
          <w:rFonts w:hint="eastAsia" w:ascii="仿宋" w:hAnsi="仿宋" w:eastAsia="仿宋" w:cs="Calibri"/>
          <w:sz w:val="28"/>
          <w:szCs w:val="28"/>
        </w:rPr>
        <w:t>、付款方、收款金额。</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店铺名称、收款方、</w:t>
      </w:r>
      <w:r>
        <w:rPr>
          <w:rFonts w:hint="eastAsia" w:ascii="仿宋" w:hAnsi="仿宋" w:eastAsia="仿宋" w:cs="Calibri"/>
          <w:b/>
          <w:color w:val="FF0000"/>
          <w:sz w:val="28"/>
          <w:szCs w:val="28"/>
        </w:rPr>
        <w:t>发票销售单位</w:t>
      </w:r>
      <w:r>
        <w:rPr>
          <w:rFonts w:hint="eastAsia" w:ascii="仿宋" w:hAnsi="仿宋" w:eastAsia="仿宋" w:cs="Calibri"/>
          <w:sz w:val="28"/>
          <w:szCs w:val="28"/>
        </w:rPr>
        <w:t>需要保持三方一致，如不一致，有店铺委托收款的情况时，需要商家或开票方提供佐证材料，如委托收款证明等。</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支付记录中，不能支付给私人账户，必须支付给公司账户。</w:t>
      </w:r>
    </w:p>
    <w:p>
      <w:pPr>
        <w:pStyle w:val="4"/>
        <w:numPr>
          <w:ilvl w:val="0"/>
          <w:numId w:val="2"/>
        </w:numPr>
        <w:spacing w:before="0" w:beforeAutospacing="0" w:after="0" w:afterAutospacing="0"/>
        <w:ind w:left="0" w:firstLine="0"/>
        <w:rPr>
          <w:rFonts w:ascii="仿宋" w:hAnsi="仿宋" w:eastAsia="仿宋" w:cs="Calibri"/>
          <w:sz w:val="28"/>
          <w:szCs w:val="28"/>
        </w:rPr>
      </w:pPr>
      <w:r>
        <w:rPr>
          <w:rFonts w:ascii="仿宋" w:hAnsi="仿宋" w:eastAsia="仿宋" w:cs="Calibri"/>
          <w:sz w:val="28"/>
          <w:szCs w:val="28"/>
        </w:rPr>
        <w:t>差旅出发前需要请假</w:t>
      </w:r>
      <w:r>
        <w:rPr>
          <w:rFonts w:hint="eastAsia" w:ascii="仿宋" w:hAnsi="仿宋" w:eastAsia="仿宋" w:cs="Calibri"/>
          <w:sz w:val="28"/>
          <w:szCs w:val="28"/>
        </w:rPr>
        <w:t>，报销要附</w:t>
      </w:r>
      <w:r>
        <w:rPr>
          <w:rFonts w:ascii="仿宋" w:hAnsi="仿宋" w:eastAsia="仿宋" w:cs="Calibri"/>
          <w:b/>
          <w:sz w:val="28"/>
          <w:szCs w:val="28"/>
        </w:rPr>
        <w:t>审批</w:t>
      </w:r>
      <w:r>
        <w:rPr>
          <w:rFonts w:hint="eastAsia" w:ascii="仿宋" w:hAnsi="仿宋" w:eastAsia="仿宋" w:cs="Calibri"/>
          <w:b/>
          <w:sz w:val="28"/>
          <w:szCs w:val="28"/>
        </w:rPr>
        <w:t>表</w:t>
      </w:r>
    </w:p>
    <w:p>
      <w:pPr>
        <w:pStyle w:val="4"/>
        <w:numPr>
          <w:ilvl w:val="0"/>
          <w:numId w:val="2"/>
        </w:numPr>
        <w:spacing w:before="0" w:beforeAutospacing="0" w:after="0" w:afterAutospacing="0"/>
        <w:ind w:left="0" w:firstLine="0"/>
        <w:rPr>
          <w:rFonts w:ascii="仿宋" w:hAnsi="仿宋" w:eastAsia="仿宋" w:cs="Calibri"/>
          <w:sz w:val="28"/>
          <w:szCs w:val="28"/>
        </w:rPr>
      </w:pPr>
      <w:r>
        <w:rPr>
          <w:rFonts w:hint="eastAsia" w:ascii="仿宋" w:hAnsi="仿宋" w:eastAsia="仿宋" w:cs="Calibri"/>
          <w:sz w:val="28"/>
          <w:szCs w:val="28"/>
        </w:rPr>
        <w:t>机票需要</w:t>
      </w:r>
      <w:r>
        <w:rPr>
          <w:rFonts w:hint="eastAsia" w:ascii="仿宋" w:hAnsi="仿宋" w:eastAsia="仿宋" w:cs="Calibri"/>
          <w:b/>
          <w:sz w:val="28"/>
          <w:szCs w:val="28"/>
        </w:rPr>
        <w:t>验真单</w:t>
      </w:r>
      <w:r>
        <w:rPr>
          <w:rFonts w:hint="eastAsia" w:ascii="仿宋" w:hAnsi="仿宋" w:eastAsia="仿宋" w:cs="Calibri"/>
          <w:sz w:val="28"/>
          <w:szCs w:val="28"/>
        </w:rPr>
        <w:t>：</w:t>
      </w:r>
      <w:r>
        <w:rPr>
          <w:rFonts w:ascii="仿宋" w:hAnsi="仿宋" w:eastAsia="仿宋" w:cs="Calibri"/>
          <w:sz w:val="28"/>
          <w:szCs w:val="28"/>
        </w:rPr>
        <w:t>https://www.caac.gov.cn/INDEX/HLFW/DZKPYZ/</w:t>
      </w:r>
    </w:p>
    <w:p>
      <w:pPr>
        <w:pStyle w:val="4"/>
        <w:spacing w:before="0" w:beforeAutospacing="0" w:after="0" w:afterAutospacing="0"/>
        <w:rPr>
          <w:rFonts w:ascii="仿宋" w:hAnsi="仿宋" w:eastAsia="仿宋" w:cs="Calibri"/>
          <w:sz w:val="28"/>
          <w:szCs w:val="28"/>
        </w:rPr>
      </w:pPr>
    </w:p>
    <w:p>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四、学院工作要求</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1</w:t>
      </w:r>
      <w:r>
        <w:rPr>
          <w:rFonts w:ascii="仿宋" w:hAnsi="仿宋" w:eastAsia="仿宋" w:cs="Calibri"/>
          <w:b/>
          <w:sz w:val="28"/>
          <w:szCs w:val="28"/>
        </w:rPr>
        <w:t>.</w:t>
      </w:r>
      <w:r>
        <w:rPr>
          <w:rFonts w:hint="eastAsia" w:ascii="仿宋" w:hAnsi="仿宋" w:eastAsia="仿宋" w:cs="Calibri"/>
          <w:b/>
          <w:sz w:val="28"/>
          <w:szCs w:val="28"/>
        </w:rPr>
        <w:t>报销前做好培训、审核工作：</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1）做好报销培训：</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各学院根据以上报销细则，对项目团队展开培训，要求学生掌握项目可以支出的范围、额度，开票注意事项及报销票据的相关要求。</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2</w:t>
      </w:r>
      <w:r>
        <w:rPr>
          <w:rFonts w:hint="eastAsia" w:ascii="仿宋" w:hAnsi="仿宋" w:eastAsia="仿宋" w:cs="Calibri"/>
          <w:sz w:val="28"/>
          <w:szCs w:val="28"/>
        </w:rPr>
        <w:t>）项目团队准备报销材料</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中期及结题后，通知学生准备票据、填写学生活动经费报销审批表，项目负责人及指导老师需要对票据、情况说明、审批表进行审核和签字确认。</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3）完成学院初审</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学院审核审批表和票据，符合要求的可以开始走报销流程。不符合要求的需要补充相关材料，或不能报销。</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2.填报报销单，完成审核</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1</w:t>
      </w:r>
      <w:r>
        <w:rPr>
          <w:rFonts w:hint="eastAsia" w:ascii="仿宋" w:hAnsi="仿宋" w:eastAsia="仿宋" w:cs="Calibri"/>
          <w:sz w:val="28"/>
          <w:szCs w:val="28"/>
        </w:rPr>
        <w:t>）整理票据，填审批表和报销单</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学院报销负责人整理审核票据无误后，汇总填写《学生活动经费报销审批表》，并在系统中填报报销单，</w:t>
      </w:r>
      <w:r>
        <w:rPr>
          <w:rFonts w:hint="eastAsia" w:ascii="仿宋" w:hAnsi="仿宋" w:eastAsia="仿宋" w:cs="Calibri"/>
          <w:b/>
          <w:sz w:val="28"/>
          <w:szCs w:val="28"/>
        </w:rPr>
        <w:t>提交审批</w:t>
      </w:r>
      <w:r>
        <w:rPr>
          <w:rFonts w:hint="eastAsia" w:ascii="仿宋" w:hAnsi="仿宋" w:eastAsia="仿宋" w:cs="Calibri"/>
          <w:sz w:val="28"/>
          <w:szCs w:val="28"/>
        </w:rPr>
        <w:t>。</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其中审批表的经办人签名需与系统填报人保持一致。</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2）学院领导审批</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审批表及报销单据整理好后，请学院分管创新创业的领导审核并在审批表上签字，盖院章。</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3）提交创新创业学院</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将领导签字、经办人签字的审批表及相关票据纸质材料交到J</w:t>
      </w:r>
      <w:r>
        <w:rPr>
          <w:rFonts w:ascii="仿宋" w:hAnsi="仿宋" w:eastAsia="仿宋" w:cs="Calibri"/>
          <w:sz w:val="28"/>
          <w:szCs w:val="28"/>
        </w:rPr>
        <w:t>1-1-706</w:t>
      </w:r>
      <w:r>
        <w:rPr>
          <w:rFonts w:hint="eastAsia" w:ascii="仿宋" w:hAnsi="仿宋" w:eastAsia="仿宋" w:cs="Calibri"/>
          <w:sz w:val="28"/>
          <w:szCs w:val="28"/>
        </w:rPr>
        <w:t>，同时将报销单截图发至送创新创业学院莫尧。</w:t>
      </w:r>
    </w:p>
    <w:p>
      <w:pPr>
        <w:pStyle w:val="4"/>
        <w:spacing w:before="0" w:beforeAutospacing="0" w:after="0" w:afterAutospacing="0"/>
        <w:ind w:firstLine="562" w:firstLineChars="200"/>
        <w:rPr>
          <w:rFonts w:ascii="仿宋" w:hAnsi="仿宋" w:eastAsia="仿宋" w:cs="Calibri"/>
          <w:b/>
          <w:sz w:val="28"/>
          <w:szCs w:val="28"/>
        </w:rPr>
      </w:pPr>
      <w:r>
        <w:rPr>
          <w:rFonts w:hint="eastAsia" w:ascii="仿宋" w:hAnsi="仿宋" w:eastAsia="仿宋" w:cs="Calibri"/>
          <w:b/>
          <w:sz w:val="28"/>
          <w:szCs w:val="28"/>
        </w:rPr>
        <w:t>创新创业学院审核后，报给经费卡负责人，完成系统审批。</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4）关注报销单审批情况，完成报销单导出</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学院报销负责人将审批通过的报销单打印成pdf电子文档，发送给创新创业学院，由创新创业学院将完整的报销材料提交给财务。</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3.退回整改</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若财务审核有问题，会联系学院报销负责人退回整改，整改后，重复步骤2，直至完成报销。</w:t>
      </w:r>
    </w:p>
    <w:p>
      <w:pPr>
        <w:pStyle w:val="4"/>
        <w:spacing w:before="0" w:beforeAutospacing="0" w:after="0" w:afterAutospacing="0"/>
        <w:ind w:firstLine="560" w:firstLineChars="200"/>
        <w:rPr>
          <w:rFonts w:ascii="仿宋" w:hAnsi="仿宋" w:eastAsia="仿宋" w:cs="Calibri"/>
          <w:sz w:val="28"/>
          <w:szCs w:val="28"/>
        </w:rPr>
      </w:pPr>
    </w:p>
    <w:p>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五、其他说明</w:t>
      </w:r>
    </w:p>
    <w:p>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 xml:space="preserve">1.报销之前发票须分类处理，并计算出分类发票的总金额和全部发票的金额。 分类参考： </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（1）差旅费：外出参会的会务费、住宿费等;</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外出学术交流的差旅费用报销时须附参与学术会议的会议通知原件，否则不予报销。外出调研差旅费用报销时须附由指导教师签字确认外出调研的详细支出说明和调研方案。</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 xml:space="preserve">（2）材料及测试加工费：原材料、化学试剂及测试化验、加工费等； </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highlight w:val="yellow"/>
        </w:rPr>
        <w:t>（3）</w:t>
      </w:r>
      <w:r>
        <w:rPr>
          <w:rFonts w:ascii="仿宋" w:hAnsi="仿宋" w:eastAsia="仿宋" w:cs="Calibri"/>
          <w:sz w:val="28"/>
          <w:szCs w:val="28"/>
          <w:shd w:val="clear" w:color="auto" w:fill="FFFF00"/>
        </w:rPr>
        <w:t xml:space="preserve">印刷费：复印打印、装订、图书资料费等，须控制在当次报销总金额20%内； </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shd w:val="clear" w:color="auto" w:fill="FFFF00"/>
        </w:rPr>
        <w:t xml:space="preserve">（4）办公费：日常办公用品费等，须控制在当次报销总金额20%内； </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 xml:space="preserve">（5）邮电费：快递物流费、邮寄费等； </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（6）设备费：单价超过 1000 元设备并按规定纳入固定资产管理的各类设备购置等，须先向创新创业学院报备，审批通过后，由指导教师申请采购流程，采购申请通过后，再进行购买，购买后需完成验收流程、资产入账后再报销；</w:t>
      </w:r>
      <w:bookmarkStart w:id="0" w:name="_GoBack"/>
      <w:bookmarkEnd w:id="0"/>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（7）成果费：专利、论文版面费及代理费等（实用新型/外观设计专利代理费不超过 1500，发明专利代理费不超过 2500，非核心期刊版面费不超过 1500）。</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在学术期刊发表论文的版面费用须提供杂志社的录稿通知原件，且论文发表时须注明由大学生创新创业训练计划支持，否则不予报销。学生申请专利的费用报销时须提供国家知识产权局的专利受理通知书原件。</w:t>
      </w:r>
    </w:p>
    <w:p>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2.项目一般不允许借款，核心成果除外（核心期刊、发明专利等）。</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3</w:t>
      </w:r>
      <w:r>
        <w:rPr>
          <w:rFonts w:ascii="仿宋" w:hAnsi="仿宋" w:eastAsia="仿宋" w:cs="Calibri"/>
          <w:b/>
          <w:sz w:val="28"/>
          <w:szCs w:val="28"/>
        </w:rPr>
        <w:t>.各项目购买材料应经导师许可后方可购买，同时开出发票；固定商家情况应分阶段开出发票，在报销时间附近集中开出的发票不予报销。</w:t>
      </w:r>
    </w:p>
    <w:p>
      <w:pPr>
        <w:widowControl/>
        <w:jc w:val="left"/>
        <w:rPr>
          <w:rFonts w:ascii="仿宋" w:hAnsi="仿宋" w:eastAsia="仿宋" w:cs="Calibri"/>
          <w:b/>
          <w:sz w:val="28"/>
          <w:szCs w:val="28"/>
        </w:rPr>
      </w:pPr>
      <w:r>
        <w:rPr>
          <w:rFonts w:ascii="仿宋" w:hAnsi="仿宋" w:eastAsia="仿宋" w:cs="Calibri"/>
          <w:b/>
          <w:sz w:val="28"/>
          <w:szCs w:val="28"/>
        </w:rPr>
        <w:br w:type="page"/>
      </w:r>
    </w:p>
    <w:p>
      <w:pPr>
        <w:spacing w:line="360" w:lineRule="auto"/>
        <w:jc w:val="center"/>
        <w:rPr>
          <w:rFonts w:ascii="Times New Roman" w:hAnsi="Times New Roman" w:eastAsia="黑体"/>
          <w:sz w:val="30"/>
        </w:rPr>
      </w:pPr>
      <w:r>
        <w:rPr>
          <w:rFonts w:ascii="Times New Roman" w:hAnsi="Times New Roman" w:eastAsia="黑体"/>
          <w:sz w:val="30"/>
        </w:rPr>
        <w:t>中国石油大学（北京）学生活动经费报销审批表</w:t>
      </w:r>
    </w:p>
    <w:p>
      <w:pPr>
        <w:spacing w:line="360" w:lineRule="auto"/>
        <w:jc w:val="center"/>
        <w:rPr>
          <w:rFonts w:ascii="Times New Roman" w:hAnsi="Times New Roman" w:eastAsia="黑体"/>
          <w:sz w:val="30"/>
        </w:rPr>
      </w:pPr>
    </w:p>
    <w:tbl>
      <w:tblPr>
        <w:tblStyle w:val="5"/>
        <w:tblW w:w="10065" w:type="dxa"/>
        <w:jc w:val="center"/>
        <w:tblLayout w:type="fixed"/>
        <w:tblCellMar>
          <w:top w:w="0" w:type="dxa"/>
          <w:left w:w="108" w:type="dxa"/>
          <w:bottom w:w="0" w:type="dxa"/>
          <w:right w:w="108" w:type="dxa"/>
        </w:tblCellMar>
      </w:tblPr>
      <w:tblGrid>
        <w:gridCol w:w="922"/>
        <w:gridCol w:w="1418"/>
        <w:gridCol w:w="3184"/>
        <w:gridCol w:w="1777"/>
        <w:gridCol w:w="2764"/>
      </w:tblGrid>
      <w:tr>
        <w:tblPrEx>
          <w:tblCellMar>
            <w:top w:w="0" w:type="dxa"/>
            <w:left w:w="108" w:type="dxa"/>
            <w:bottom w:w="0" w:type="dxa"/>
            <w:right w:w="108" w:type="dxa"/>
          </w:tblCellMar>
        </w:tblPrEx>
        <w:trPr>
          <w:trHeight w:val="514"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活动名称</w:t>
            </w:r>
          </w:p>
        </w:tc>
        <w:tc>
          <w:tcPr>
            <w:tcW w:w="77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14"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活动时间</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2023.7-2023.11</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活动地点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校内</w:t>
            </w:r>
          </w:p>
        </w:tc>
      </w:tr>
      <w:tr>
        <w:tblPrEx>
          <w:tblCellMar>
            <w:top w:w="0" w:type="dxa"/>
            <w:left w:w="108" w:type="dxa"/>
            <w:bottom w:w="0" w:type="dxa"/>
            <w:right w:w="108" w:type="dxa"/>
          </w:tblCellMar>
        </w:tblPrEx>
        <w:trPr>
          <w:trHeight w:val="616"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8"/>
              </w:rPr>
              <w:t>经办人</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姓名</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所在部门</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p>
        </w:tc>
      </w:tr>
      <w:tr>
        <w:tblPrEx>
          <w:tblCellMar>
            <w:top w:w="0" w:type="dxa"/>
            <w:left w:w="108" w:type="dxa"/>
            <w:bottom w:w="0" w:type="dxa"/>
            <w:right w:w="108" w:type="dxa"/>
          </w:tblCellMar>
        </w:tblPrEx>
        <w:trPr>
          <w:trHeight w:val="652"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联系方式</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p>
        </w:tc>
      </w:tr>
      <w:tr>
        <w:tblPrEx>
          <w:tblCellMar>
            <w:top w:w="0" w:type="dxa"/>
            <w:left w:w="108" w:type="dxa"/>
            <w:bottom w:w="0" w:type="dxa"/>
            <w:right w:w="108" w:type="dxa"/>
          </w:tblCellMar>
        </w:tblPrEx>
        <w:trPr>
          <w:trHeight w:val="498"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经费</w:t>
            </w:r>
          </w:p>
          <w:p>
            <w:pPr>
              <w:snapToGrid w:val="0"/>
              <w:jc w:val="center"/>
              <w:rPr>
                <w:rFonts w:hint="eastAsia" w:ascii="仿宋" w:hAnsi="仿宋" w:eastAsia="仿宋" w:cs="仿宋"/>
                <w:sz w:val="28"/>
              </w:rPr>
            </w:pPr>
            <w:r>
              <w:rPr>
                <w:rFonts w:hint="eastAsia" w:ascii="仿宋" w:hAnsi="仿宋" w:eastAsia="仿宋" w:cs="仿宋"/>
                <w:sz w:val="28"/>
              </w:rPr>
              <w:t>预算</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1.办公材料</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540"/>
              <w:jc w:val="center"/>
              <w:rPr>
                <w:rFonts w:hint="eastAsia" w:ascii="仿宋" w:hAnsi="仿宋" w:eastAsia="仿宋" w:cs="仿宋"/>
                <w:sz w:val="24"/>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2.印刷制作费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center"/>
              <w:rPr>
                <w:rFonts w:hint="eastAsia" w:ascii="仿宋" w:hAnsi="仿宋" w:eastAsia="仿宋" w:cs="仿宋"/>
                <w:sz w:val="24"/>
              </w:rPr>
            </w:pPr>
          </w:p>
        </w:tc>
      </w:tr>
      <w:tr>
        <w:tblPrEx>
          <w:tblCellMar>
            <w:top w:w="0" w:type="dxa"/>
            <w:left w:w="108" w:type="dxa"/>
            <w:bottom w:w="0" w:type="dxa"/>
            <w:right w:w="108" w:type="dxa"/>
          </w:tblCellMar>
        </w:tblPrEx>
        <w:trPr>
          <w:trHeight w:val="4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left"/>
              <w:rPr>
                <w:rFonts w:hint="eastAsia" w:ascii="仿宋" w:hAnsi="仿宋" w:eastAsia="仿宋" w:cs="仿宋"/>
                <w:sz w:val="2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4"/>
              </w:rPr>
              <w:t>3.市内交通</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400"/>
              <w:jc w:val="center"/>
              <w:rPr>
                <w:rFonts w:hint="eastAsia" w:ascii="仿宋" w:hAnsi="仿宋" w:eastAsia="仿宋" w:cs="仿宋"/>
                <w:sz w:val="24"/>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4"/>
              </w:rPr>
              <w:t>4.出版费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center"/>
              <w:rPr>
                <w:rFonts w:hint="eastAsia" w:ascii="仿宋" w:hAnsi="仿宋" w:eastAsia="仿宋" w:cs="仿宋"/>
                <w:sz w:val="28"/>
              </w:rPr>
            </w:pPr>
          </w:p>
        </w:tc>
      </w:tr>
      <w:tr>
        <w:tblPrEx>
          <w:tblCellMar>
            <w:top w:w="0" w:type="dxa"/>
            <w:left w:w="108" w:type="dxa"/>
            <w:bottom w:w="0" w:type="dxa"/>
            <w:right w:w="108" w:type="dxa"/>
          </w:tblCellMar>
        </w:tblPrEx>
        <w:trPr>
          <w:trHeight w:val="4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left"/>
              <w:rPr>
                <w:rFonts w:hint="eastAsia" w:ascii="仿宋" w:hAnsi="仿宋" w:eastAsia="仿宋" w:cs="仿宋"/>
                <w:sz w:val="2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5.设备租赁</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540"/>
              <w:jc w:val="center"/>
              <w:rPr>
                <w:rFonts w:hint="eastAsia" w:ascii="仿宋" w:hAnsi="仿宋" w:eastAsia="仿宋" w:cs="仿宋"/>
                <w:sz w:val="24"/>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6.邮电费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center"/>
              <w:rPr>
                <w:rFonts w:hint="eastAsia" w:ascii="仿宋" w:hAnsi="仿宋" w:eastAsia="仿宋" w:cs="仿宋"/>
                <w:sz w:val="24"/>
              </w:rPr>
            </w:pPr>
          </w:p>
        </w:tc>
      </w:tr>
      <w:tr>
        <w:tblPrEx>
          <w:tblCellMar>
            <w:top w:w="0" w:type="dxa"/>
            <w:left w:w="108" w:type="dxa"/>
            <w:bottom w:w="0" w:type="dxa"/>
            <w:right w:w="108" w:type="dxa"/>
          </w:tblCellMar>
        </w:tblPrEx>
        <w:trPr>
          <w:trHeight w:val="4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left"/>
              <w:rPr>
                <w:rFonts w:hint="eastAsia" w:ascii="仿宋" w:hAnsi="仿宋" w:eastAsia="仿宋" w:cs="仿宋"/>
                <w:sz w:val="2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7.差旅费</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400"/>
              <w:jc w:val="center"/>
              <w:rPr>
                <w:rFonts w:hint="eastAsia" w:ascii="仿宋" w:hAnsi="仿宋" w:eastAsia="仿宋" w:cs="仿宋"/>
                <w:sz w:val="28"/>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8.会议/培训费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center"/>
              <w:rPr>
                <w:rFonts w:hint="eastAsia" w:ascii="仿宋" w:hAnsi="仿宋" w:eastAsia="仿宋" w:cs="仿宋"/>
                <w:sz w:val="28"/>
              </w:rPr>
            </w:pPr>
          </w:p>
        </w:tc>
      </w:tr>
      <w:tr>
        <w:tblPrEx>
          <w:tblCellMar>
            <w:top w:w="0" w:type="dxa"/>
            <w:left w:w="108" w:type="dxa"/>
            <w:bottom w:w="0" w:type="dxa"/>
            <w:right w:w="108" w:type="dxa"/>
          </w:tblCellMar>
        </w:tblPrEx>
        <w:trPr>
          <w:trHeight w:val="4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ind w:right="1120"/>
              <w:jc w:val="left"/>
              <w:rPr>
                <w:rFonts w:hint="eastAsia" w:ascii="仿宋" w:hAnsi="仿宋" w:eastAsia="仿宋" w:cs="仿宋"/>
                <w:sz w:val="28"/>
              </w:rPr>
            </w:pPr>
          </w:p>
        </w:tc>
        <w:tc>
          <w:tcPr>
            <w:tcW w:w="141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9.其他</w:t>
            </w:r>
          </w:p>
        </w:tc>
        <w:tc>
          <w:tcPr>
            <w:tcW w:w="318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ind w:right="1400"/>
              <w:jc w:val="center"/>
              <w:rPr>
                <w:rFonts w:hint="eastAsia" w:ascii="仿宋" w:hAnsi="仿宋" w:eastAsia="仿宋" w:cs="仿宋"/>
                <w:sz w:val="24"/>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合计</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ind w:right="1120" w:firstLine="480" w:firstLineChars="200"/>
              <w:jc w:val="center"/>
              <w:rPr>
                <w:rFonts w:hint="eastAsia" w:ascii="仿宋" w:hAnsi="仿宋" w:eastAsia="仿宋" w:cs="仿宋"/>
                <w:sz w:val="28"/>
              </w:rPr>
            </w:pPr>
            <w:r>
              <w:rPr>
                <w:rFonts w:hint="eastAsia" w:ascii="仿宋" w:hAnsi="仿宋" w:eastAsia="仿宋" w:cs="仿宋"/>
                <w:sz w:val="24"/>
              </w:rPr>
              <w:t xml:space="preserve">     元</w:t>
            </w:r>
          </w:p>
        </w:tc>
      </w:tr>
      <w:tr>
        <w:tblPrEx>
          <w:tblCellMar>
            <w:top w:w="0" w:type="dxa"/>
            <w:left w:w="108" w:type="dxa"/>
            <w:bottom w:w="0" w:type="dxa"/>
            <w:right w:w="108" w:type="dxa"/>
          </w:tblCellMar>
        </w:tblPrEx>
        <w:trPr>
          <w:trHeight w:val="2118" w:hRule="atLeast"/>
          <w:jc w:val="center"/>
        </w:trPr>
        <w:tc>
          <w:tcPr>
            <w:tcW w:w="9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hint="eastAsia" w:ascii="仿宋" w:hAnsi="仿宋" w:eastAsia="仿宋" w:cs="仿宋"/>
                <w:sz w:val="28"/>
              </w:rPr>
            </w:pPr>
            <w:r>
              <w:rPr>
                <w:rFonts w:hint="eastAsia" w:ascii="仿宋" w:hAnsi="仿宋" w:eastAsia="仿宋" w:cs="仿宋"/>
                <w:sz w:val="28"/>
              </w:rPr>
              <w:t>主管</w:t>
            </w:r>
          </w:p>
          <w:p>
            <w:pPr>
              <w:snapToGrid w:val="0"/>
              <w:jc w:val="left"/>
              <w:rPr>
                <w:rFonts w:hint="eastAsia" w:ascii="仿宋" w:hAnsi="仿宋" w:eastAsia="仿宋" w:cs="仿宋"/>
                <w:sz w:val="28"/>
              </w:rPr>
            </w:pPr>
            <w:r>
              <w:rPr>
                <w:rFonts w:hint="eastAsia" w:ascii="仿宋" w:hAnsi="仿宋" w:eastAsia="仿宋" w:cs="仿宋"/>
                <w:sz w:val="28"/>
              </w:rPr>
              <w:t>单位</w:t>
            </w:r>
          </w:p>
          <w:p>
            <w:pPr>
              <w:snapToGrid w:val="0"/>
              <w:jc w:val="left"/>
              <w:rPr>
                <w:rFonts w:hint="eastAsia" w:ascii="仿宋" w:hAnsi="仿宋" w:eastAsia="仿宋" w:cs="仿宋"/>
                <w:sz w:val="28"/>
              </w:rPr>
            </w:pPr>
            <w:r>
              <w:rPr>
                <w:rFonts w:hint="eastAsia" w:ascii="仿宋" w:hAnsi="仿宋" w:eastAsia="仿宋" w:cs="仿宋"/>
                <w:sz w:val="28"/>
              </w:rPr>
              <w:t>意见</w:t>
            </w:r>
          </w:p>
        </w:tc>
        <w:tc>
          <w:tcPr>
            <w:tcW w:w="914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ind w:right="672"/>
              <w:jc w:val="right"/>
              <w:rPr>
                <w:rFonts w:hint="eastAsia" w:ascii="仿宋" w:hAnsi="仿宋" w:eastAsia="仿宋" w:cs="仿宋"/>
                <w:sz w:val="28"/>
              </w:rPr>
            </w:pPr>
            <w:r>
              <w:rPr>
                <w:rFonts w:hint="eastAsia" w:ascii="仿宋" w:hAnsi="仿宋" w:eastAsia="仿宋" w:cs="仿宋"/>
                <w:sz w:val="28"/>
              </w:rPr>
              <w:t xml:space="preserve">            签字（盖章）：           2023年11月28日</w:t>
            </w:r>
          </w:p>
        </w:tc>
      </w:tr>
      <w:tr>
        <w:tblPrEx>
          <w:tblCellMar>
            <w:top w:w="0" w:type="dxa"/>
            <w:left w:w="108" w:type="dxa"/>
            <w:bottom w:w="0" w:type="dxa"/>
            <w:right w:w="108" w:type="dxa"/>
          </w:tblCellMar>
        </w:tblPrEx>
        <w:trPr>
          <w:trHeight w:val="1850" w:hRule="atLeast"/>
          <w:jc w:val="center"/>
        </w:trPr>
        <w:tc>
          <w:tcPr>
            <w:tcW w:w="9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仿宋" w:hAnsi="仿宋" w:eastAsia="仿宋" w:cs="仿宋"/>
                <w:sz w:val="28"/>
              </w:rPr>
            </w:pPr>
            <w:r>
              <w:rPr>
                <w:rFonts w:hint="eastAsia" w:ascii="仿宋" w:hAnsi="仿宋" w:eastAsia="仿宋" w:cs="仿宋"/>
                <w:sz w:val="28"/>
              </w:rPr>
              <w:t>备     注</w:t>
            </w:r>
          </w:p>
        </w:tc>
        <w:tc>
          <w:tcPr>
            <w:tcW w:w="914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仿宋" w:hAnsi="仿宋" w:eastAsia="仿宋" w:cs="仿宋"/>
                <w:sz w:val="24"/>
              </w:rPr>
            </w:pPr>
            <w:r>
              <w:rPr>
                <w:rFonts w:hint="eastAsia" w:ascii="仿宋" w:hAnsi="仿宋" w:eastAsia="仿宋" w:cs="仿宋"/>
                <w:sz w:val="24"/>
              </w:rPr>
              <w:t>1.学生活动按项目核算，一事一结，经费报销应在活动结束后一个月内完成。</w:t>
            </w:r>
          </w:p>
          <w:p>
            <w:pPr>
              <w:spacing w:line="360" w:lineRule="auto"/>
              <w:jc w:val="left"/>
              <w:rPr>
                <w:rFonts w:hint="eastAsia" w:ascii="仿宋" w:hAnsi="仿宋" w:eastAsia="仿宋" w:cs="仿宋"/>
                <w:sz w:val="24"/>
              </w:rPr>
            </w:pPr>
            <w:r>
              <w:rPr>
                <w:rFonts w:hint="eastAsia" w:ascii="仿宋" w:hAnsi="仿宋" w:eastAsia="仿宋" w:cs="仿宋"/>
                <w:sz w:val="24"/>
              </w:rPr>
              <w:t>2.学生活动经费的报销，须经主管学生活动管理的经费卡负责人审批，每张报销票据应有经办人签名。</w:t>
            </w:r>
          </w:p>
        </w:tc>
      </w:tr>
    </w:tbl>
    <w:p>
      <w:pPr>
        <w:ind w:right="2520"/>
        <w:jc w:val="left"/>
        <w:rPr>
          <w:rFonts w:ascii="Times New Roman" w:hAnsi="Times New Roman" w:eastAsia="楷体_GB2312"/>
        </w:rPr>
      </w:pPr>
    </w:p>
    <w:p>
      <w:pPr>
        <w:wordWrap w:val="0"/>
        <w:jc w:val="right"/>
        <w:rPr>
          <w:rFonts w:hint="eastAsia" w:ascii="仿宋" w:hAnsi="仿宋" w:eastAsia="仿宋" w:cs="仿宋"/>
          <w:color w:val="FF0000"/>
          <w:sz w:val="28"/>
          <w:u w:val="single"/>
        </w:rPr>
      </w:pPr>
      <w:r>
        <w:rPr>
          <w:rFonts w:hint="eastAsia" w:ascii="仿宋" w:hAnsi="仿宋" w:eastAsia="仿宋" w:cs="仿宋"/>
          <w:sz w:val="28"/>
        </w:rPr>
        <w:t>经办人签字：</w:t>
      </w:r>
      <w:r>
        <w:rPr>
          <w:rFonts w:hint="eastAsia" w:ascii="仿宋" w:hAnsi="仿宋" w:eastAsia="仿宋" w:cs="仿宋"/>
          <w:color w:val="FF0000"/>
          <w:sz w:val="28"/>
        </w:rPr>
        <w:t xml:space="preserve">       </w:t>
      </w:r>
    </w:p>
    <w:p>
      <w:pPr>
        <w:ind w:right="567"/>
        <w:jc w:val="right"/>
        <w:rPr>
          <w:rFonts w:hint="eastAsia" w:ascii="仿宋" w:hAnsi="仿宋" w:eastAsia="仿宋" w:cs="仿宋"/>
          <w:sz w:val="28"/>
        </w:rPr>
      </w:pPr>
      <w:r>
        <w:rPr>
          <w:rFonts w:hint="eastAsia" w:ascii="仿宋" w:hAnsi="仿宋" w:eastAsia="仿宋" w:cs="仿宋"/>
          <w:sz w:val="28"/>
        </w:rPr>
        <w:t>2023年11月28日</w:t>
      </w:r>
    </w:p>
    <w:p>
      <w:pPr>
        <w:ind w:right="567"/>
        <w:jc w:val="right"/>
        <w:rPr>
          <w:rFonts w:ascii="仿宋_GB2312" w:hAnsi="Times New Roman" w:eastAsia="仿宋_GB2312"/>
          <w:sz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r>
        <mc:AlternateContent>
          <mc:Choice Requires="wps">
            <w:drawing>
              <wp:anchor distT="0" distB="0" distL="114300" distR="114300" simplePos="0" relativeHeight="251663360" behindDoc="0" locked="0" layoutInCell="1" allowOverlap="1">
                <wp:simplePos x="0" y="0"/>
                <wp:positionH relativeFrom="column">
                  <wp:posOffset>-600075</wp:posOffset>
                </wp:positionH>
                <wp:positionV relativeFrom="paragraph">
                  <wp:posOffset>85725</wp:posOffset>
                </wp:positionV>
                <wp:extent cx="600075" cy="47625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600075" cy="4762500"/>
                        </a:xfrm>
                        <a:prstGeom prst="rect">
                          <a:avLst/>
                        </a:prstGeom>
                        <a:noFill/>
                        <a:ln>
                          <a:noFill/>
                        </a:ln>
                      </wps:spPr>
                      <wps:txbx>
                        <w:txbxContent>
                          <w:p>
                            <w:pPr>
                              <w:spacing w:line="480" w:lineRule="exact"/>
                              <w:ind w:firstLine="520" w:firstLineChars="100"/>
                              <w:rPr>
                                <w:b/>
                                <w:sz w:val="52"/>
                              </w:rPr>
                            </w:pPr>
                            <w:r>
                              <w:rPr>
                                <w:rFonts w:hint="eastAsia"/>
                                <w:b/>
                                <w:sz w:val="52"/>
                              </w:rPr>
                              <w:t>装        订         线</w:t>
                            </w:r>
                          </w:p>
                        </w:txbxContent>
                      </wps:txbx>
                      <wps:bodyPr rot="0" vert="eaVert" wrap="square" lIns="91440" tIns="45720" rIns="91440" bIns="45720" anchor="t" anchorCtr="0" upright="1">
                        <a:noAutofit/>
                      </wps:bodyPr>
                    </wps:wsp>
                  </a:graphicData>
                </a:graphic>
              </wp:anchor>
            </w:drawing>
          </mc:Choice>
          <mc:Fallback>
            <w:pict>
              <v:shape id="Text Box 8" o:spid="_x0000_s1026" o:spt="202" type="#_x0000_t202" style="position:absolute;left:0pt;margin-left:-47.25pt;margin-top:6.75pt;height:375pt;width:47.25pt;z-index:251663360;mso-width-relative:page;mso-height-relative:page;" filled="f" stroked="f" coordsize="21600,21600" o:gfxdata="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&#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7QkC61wAAAAcBAAAPAAAAAAAAAAEAIAAAACIAAABk&#10;cnMvZG93bnJldi54bWxQSwECFAAUAAAACACHTuJAx2OH4gcCAAAWBAAADgAAAAAAAAABACAAAAAm&#10;AQAAZHJzL2Uyb0RvYy54bWxQSwUGAAAAAAYABgBZAQAAnwUAAAAA&#10;">
                <v:fill on="f" focussize="0,0"/>
                <v:stroke on="f"/>
                <v:imagedata o:title=""/>
                <o:lock v:ext="edit" aspectratio="f"/>
                <v:textbox style="layout-flow:vertical-ideographic;">
                  <w:txbxContent>
                    <w:p>
                      <w:pPr>
                        <w:spacing w:line="480" w:lineRule="exact"/>
                        <w:ind w:firstLine="520" w:firstLineChars="100"/>
                        <w:rPr>
                          <w:b/>
                          <w:sz w:val="52"/>
                        </w:rPr>
                      </w:pPr>
                      <w:r>
                        <w:rPr>
                          <w:rFonts w:hint="eastAsia"/>
                          <w:b/>
                          <w:sz w:val="52"/>
                        </w:rPr>
                        <w:t>装        订         线</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4152900</wp:posOffset>
                </wp:positionH>
                <wp:positionV relativeFrom="paragraph">
                  <wp:posOffset>4848225</wp:posOffset>
                </wp:positionV>
                <wp:extent cx="4438015" cy="559435"/>
                <wp:effectExtent l="0" t="0" r="635" b="2540"/>
                <wp:wrapNone/>
                <wp:docPr id="4" name="Text Box 7"/>
                <wp:cNvGraphicFramePr/>
                <a:graphic xmlns:a="http://schemas.openxmlformats.org/drawingml/2006/main">
                  <a:graphicData uri="http://schemas.microsoft.com/office/word/2010/wordprocessingShape">
                    <wps:wsp>
                      <wps:cNvSpPr txBox="1">
                        <a:spLocks noChangeArrowheads="1"/>
                      </wps:cNvSpPr>
                      <wps:spPr bwMode="auto">
                        <a:xfrm>
                          <a:off x="0" y="0"/>
                          <a:ext cx="4438015" cy="559435"/>
                        </a:xfrm>
                        <a:prstGeom prst="rect">
                          <a:avLst/>
                        </a:prstGeom>
                        <a:solidFill>
                          <a:srgbClr val="FFFFFF"/>
                        </a:solidFill>
                        <a:ln>
                          <a:noFill/>
                        </a:ln>
                      </wps:spPr>
                      <wps:txbx>
                        <w:txbxContent>
                          <w:p>
                            <w:pPr>
                              <w:jc w:val="left"/>
                            </w:pPr>
                            <w:r>
                              <w:rPr>
                                <w:rFonts w:hint="eastAsia"/>
                                <w:b/>
                                <w:sz w:val="32"/>
                              </w:rPr>
                              <w:t>合计金额</w:t>
                            </w:r>
                            <w:r>
                              <w:rPr>
                                <w:rFonts w:hint="eastAsia"/>
                              </w:rPr>
                              <w:t>：</w:t>
                            </w:r>
                            <w:r>
                              <w:rPr>
                                <w:rFonts w:hint="eastAsia"/>
                                <w:u w:val="single"/>
                              </w:rPr>
                              <w:t xml:space="preserve">                 </w:t>
                            </w:r>
                            <w:r>
                              <w:rPr>
                                <w:rFonts w:hint="eastAsia"/>
                                <w:b/>
                                <w:sz w:val="32"/>
                              </w:rPr>
                              <w:t>元，票据共计</w:t>
                            </w:r>
                            <w:r>
                              <w:rPr>
                                <w:rFonts w:hint="eastAsia"/>
                                <w:sz w:val="24"/>
                                <w:u w:val="single"/>
                              </w:rPr>
                              <w:t xml:space="preserve">        </w:t>
                            </w:r>
                            <w:r>
                              <w:rPr>
                                <w:rFonts w:hint="eastAsia"/>
                                <w:b/>
                                <w:sz w:val="32"/>
                              </w:rPr>
                              <w:t>张</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327pt;margin-top:381.75pt;height:44.05pt;width:349.45pt;z-index:251662336;mso-width-relative:page;mso-height-relative:page;" fillcolor="#FFFFFF" filled="t" stroked="f" coordsize="21600,21600" o:gfxdata="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4gJb82gAA&#10;AAwBAAAPAAAAAAAAAAEAIAAAACIAAABkcnMvZG93bnJldi54bWxQSwECFAAUAAAACACHTuJAMQng&#10;7BwCAAA9BAAADgAAAAAAAAABACAAAAApAQAAZHJzL2Uyb0RvYy54bWxQSwUGAAAAAAYABgBZAQAA&#10;twUAAAAA&#10;">
                <v:fill on="t" focussize="0,0"/>
                <v:stroke on="f"/>
                <v:imagedata o:title=""/>
                <o:lock v:ext="edit" aspectratio="f"/>
                <v:textbox>
                  <w:txbxContent>
                    <w:p>
                      <w:pPr>
                        <w:jc w:val="left"/>
                      </w:pPr>
                      <w:r>
                        <w:rPr>
                          <w:rFonts w:hint="eastAsia"/>
                          <w:b/>
                          <w:sz w:val="32"/>
                        </w:rPr>
                        <w:t>合计金额</w:t>
                      </w:r>
                      <w:r>
                        <w:rPr>
                          <w:rFonts w:hint="eastAsia"/>
                        </w:rPr>
                        <w:t>：</w:t>
                      </w:r>
                      <w:r>
                        <w:rPr>
                          <w:rFonts w:hint="eastAsia"/>
                          <w:u w:val="single"/>
                        </w:rPr>
                        <w:t xml:space="preserve">                 </w:t>
                      </w:r>
                      <w:r>
                        <w:rPr>
                          <w:rFonts w:hint="eastAsia"/>
                          <w:b/>
                          <w:sz w:val="32"/>
                        </w:rPr>
                        <w:t>元，票据共计</w:t>
                      </w:r>
                      <w:r>
                        <w:rPr>
                          <w:rFonts w:hint="eastAsia"/>
                          <w:sz w:val="24"/>
                          <w:u w:val="single"/>
                        </w:rPr>
                        <w:t xml:space="preserve">        </w:t>
                      </w:r>
                      <w:r>
                        <w:rPr>
                          <w:rFonts w:hint="eastAsia"/>
                          <w:b/>
                          <w:sz w:val="32"/>
                        </w:rPr>
                        <w:t>张</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2778125</wp:posOffset>
                </wp:positionH>
                <wp:positionV relativeFrom="paragraph">
                  <wp:posOffset>-474345</wp:posOffset>
                </wp:positionV>
                <wp:extent cx="4379595" cy="805180"/>
                <wp:effectExtent l="0" t="1905" r="0" b="254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4379595" cy="805180"/>
                        </a:xfrm>
                        <a:prstGeom prst="rect">
                          <a:avLst/>
                        </a:prstGeom>
                        <a:solidFill>
                          <a:srgbClr val="FFFFFF"/>
                        </a:solidFill>
                        <a:ln>
                          <a:noFill/>
                        </a:ln>
                      </wps:spPr>
                      <wps:txbx>
                        <w:txbxContent>
                          <w:p>
                            <w:pPr>
                              <w:rPr>
                                <w:b/>
                                <w:sz w:val="52"/>
                              </w:rPr>
                            </w:pPr>
                            <w:r>
                              <w:rPr>
                                <w:rFonts w:hint="eastAsia"/>
                                <w:b/>
                                <w:sz w:val="52"/>
                              </w:rPr>
                              <w:t>原 始 票 据 粘 贴 单</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18.75pt;margin-top:-37.35pt;height:63.4pt;width:344.85pt;z-index:251659264;mso-width-relative:page;mso-height-relative:page;" fillcolor="#FFFFFF" filled="t" stroked="f" coordsize="21600,21600" o:gfxdata="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rrbXdkAAAAL&#10;AQAADwAAAAAAAAABACAAAAAiAAAAZHJzL2Rvd25yZXYueG1sUEsBAhQAFAAAAAgAh07iQM5fBnAb&#10;AgAAPQQAAA4AAAAAAAAAAQAgAAAAKAEAAGRycy9lMm9Eb2MueG1sUEsFBgAAAAAGAAYAWQEAALUF&#10;AAAAAA==&#10;">
                <v:fill on="t" focussize="0,0"/>
                <v:stroke on="f"/>
                <v:imagedata o:title=""/>
                <o:lock v:ext="edit" aspectratio="f"/>
                <v:textbox>
                  <w:txbxContent>
                    <w:p>
                      <w:pPr>
                        <w:rPr>
                          <w:b/>
                          <w:sz w:val="52"/>
                        </w:rPr>
                      </w:pPr>
                      <w:r>
                        <w:rPr>
                          <w:rFonts w:hint="eastAsia"/>
                          <w:b/>
                          <w:sz w:val="52"/>
                        </w:rPr>
                        <w:t>原 始 票 据 粘 贴 单</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-706120</wp:posOffset>
                </wp:positionV>
                <wp:extent cx="9362440" cy="6769100"/>
                <wp:effectExtent l="10795" t="8255" r="8890" b="13970"/>
                <wp:wrapNone/>
                <wp:docPr id="6" name="Rectangle 6"/>
                <wp:cNvGraphicFramePr/>
                <a:graphic xmlns:a="http://schemas.openxmlformats.org/drawingml/2006/main">
                  <a:graphicData uri="http://schemas.microsoft.com/office/word/2010/wordprocessingShape">
                    <wps:wsp>
                      <wps:cNvSpPr>
                        <a:spLocks noChangeArrowheads="1"/>
                      </wps:cNvSpPr>
                      <wps:spPr bwMode="auto">
                        <a:xfrm>
                          <a:off x="0" y="0"/>
                          <a:ext cx="9362440" cy="676910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5.35pt;margin-top:-55.6pt;height:533pt;width:737.2pt;z-index:251661312;mso-width-relative:page;mso-height-relative:page;" filled="f" stroked="t" coordsize="21600,21600" o:gfxdata="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eltb2QAAAAwBAAAPAAAAAAAAAAEAIAAAACIAAABkcnMvZG93bnJldi54bWxQ&#10;SwECFAAUAAAACACHTuJA56Ns1y8CAABiBAAADgAAAAAAAAABACAAAAAoAQAAZHJzL2Uyb0RvYy54&#10;bWxQSwUGAAAAAAYABgBZAQAAyQUAAAAA&#10;">
                <v:fill on="f" focussize="0,0"/>
                <v:stroke color="#000000" miterlimit="8" joinstyle="miter" dashstyle="dash"/>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737235</wp:posOffset>
                </wp:positionH>
                <wp:positionV relativeFrom="paragraph">
                  <wp:posOffset>1777365</wp:posOffset>
                </wp:positionV>
                <wp:extent cx="7902575" cy="2579370"/>
                <wp:effectExtent l="3810" t="0" r="0" b="0"/>
                <wp:wrapNone/>
                <wp:docPr id="7" name="Text Box 4"/>
                <wp:cNvGraphicFramePr/>
                <a:graphic xmlns:a="http://schemas.openxmlformats.org/drawingml/2006/main">
                  <a:graphicData uri="http://schemas.microsoft.com/office/word/2010/wordprocessingShape">
                    <wps:wsp>
                      <wps:cNvSpPr txBox="1">
                        <a:spLocks noChangeArrowheads="1"/>
                      </wps:cNvSpPr>
                      <wps:spPr bwMode="auto">
                        <a:xfrm>
                          <a:off x="0" y="0"/>
                          <a:ext cx="7902575" cy="2579370"/>
                        </a:xfrm>
                        <a:prstGeom prst="rect">
                          <a:avLst/>
                        </a:prstGeom>
                        <a:solidFill>
                          <a:srgbClr val="FFFFFF"/>
                        </a:solidFill>
                        <a:ln>
                          <a:noFill/>
                        </a:ln>
                      </wps:spPr>
                      <wps:txbx>
                        <w:txbxContent>
                          <w:p>
                            <w:pPr>
                              <w:pStyle w:val="9"/>
                              <w:numPr>
                                <w:ilvl w:val="0"/>
                                <w:numId w:val="4"/>
                              </w:numPr>
                              <w:ind w:firstLineChars="0"/>
                              <w:rPr>
                                <w:sz w:val="28"/>
                                <w:szCs w:val="24"/>
                              </w:rPr>
                            </w:pPr>
                            <w:r>
                              <w:rPr>
                                <w:rFonts w:hint="eastAsia"/>
                                <w:sz w:val="28"/>
                                <w:szCs w:val="24"/>
                              </w:rPr>
                              <w:t>所有粘贴的票据必须为合法票据，报销人对所报销票据的真实性、合规性、合理性和相关性负直接责任。报销人应了解并遵守有关财经法规和管理制度。</w:t>
                            </w:r>
                          </w:p>
                          <w:p>
                            <w:pPr>
                              <w:pStyle w:val="9"/>
                              <w:numPr>
                                <w:ilvl w:val="0"/>
                                <w:numId w:val="4"/>
                              </w:numPr>
                              <w:ind w:firstLineChars="0"/>
                              <w:rPr>
                                <w:sz w:val="28"/>
                                <w:szCs w:val="24"/>
                              </w:rPr>
                            </w:pPr>
                            <w:r>
                              <w:rPr>
                                <w:rFonts w:hint="eastAsia"/>
                                <w:sz w:val="28"/>
                                <w:szCs w:val="24"/>
                              </w:rPr>
                              <w:t>原始票据属重要会计凭证，需长期保存，请仔细粘贴，所粘贴票据务必牢固、平整、便于翻阅。</w:t>
                            </w:r>
                          </w:p>
                          <w:p>
                            <w:pPr>
                              <w:pStyle w:val="9"/>
                              <w:numPr>
                                <w:ilvl w:val="0"/>
                                <w:numId w:val="4"/>
                              </w:numPr>
                              <w:ind w:firstLineChars="0"/>
                              <w:rPr>
                                <w:sz w:val="28"/>
                                <w:szCs w:val="24"/>
                              </w:rPr>
                            </w:pPr>
                            <w:r>
                              <w:rPr>
                                <w:rFonts w:hint="eastAsia"/>
                                <w:sz w:val="28"/>
                                <w:szCs w:val="24"/>
                              </w:rPr>
                              <w:t>所有票据必须</w:t>
                            </w:r>
                            <w:r>
                              <w:rPr>
                                <w:rFonts w:hint="eastAsia"/>
                                <w:b/>
                                <w:sz w:val="28"/>
                                <w:szCs w:val="24"/>
                              </w:rPr>
                              <w:t>由左至右</w:t>
                            </w:r>
                            <w:r>
                              <w:rPr>
                                <w:rFonts w:hint="eastAsia" w:ascii="华文仿宋" w:hAnsi="华文仿宋" w:eastAsia="华文仿宋"/>
                                <w:b/>
                                <w:sz w:val="28"/>
                                <w:szCs w:val="28"/>
                              </w:rPr>
                              <w:t>“</w:t>
                            </w:r>
                            <w:r>
                              <w:rPr>
                                <w:rFonts w:hint="eastAsia"/>
                                <w:b/>
                                <w:sz w:val="28"/>
                                <w:szCs w:val="24"/>
                              </w:rPr>
                              <w:t>鱼鳞”状粘贴在边框内，开口向右</w:t>
                            </w:r>
                            <w:r>
                              <w:rPr>
                                <w:rFonts w:hint="eastAsia"/>
                                <w:sz w:val="28"/>
                                <w:szCs w:val="24"/>
                              </w:rPr>
                              <w:t>。票据必须保持平整，</w:t>
                            </w:r>
                            <w:r>
                              <w:rPr>
                                <w:rFonts w:hint="eastAsia"/>
                                <w:b/>
                                <w:sz w:val="28"/>
                                <w:szCs w:val="24"/>
                              </w:rPr>
                              <w:t>不得折叠</w:t>
                            </w:r>
                            <w:r>
                              <w:rPr>
                                <w:rFonts w:hint="eastAsia"/>
                                <w:sz w:val="28"/>
                                <w:szCs w:val="24"/>
                              </w:rPr>
                              <w:t>。</w:t>
                            </w:r>
                          </w:p>
                          <w:p>
                            <w:pPr>
                              <w:pStyle w:val="9"/>
                              <w:numPr>
                                <w:ilvl w:val="0"/>
                                <w:numId w:val="4"/>
                              </w:numPr>
                              <w:ind w:firstLineChars="0"/>
                              <w:rPr>
                                <w:sz w:val="28"/>
                                <w:szCs w:val="24"/>
                              </w:rPr>
                            </w:pPr>
                            <w:r>
                              <w:rPr>
                                <w:rFonts w:hint="eastAsia"/>
                                <w:sz w:val="28"/>
                                <w:szCs w:val="24"/>
                              </w:rPr>
                              <w:t>每张票据背面需有经办人签字。</w:t>
                            </w:r>
                          </w:p>
                          <w:p>
                            <w:pPr>
                              <w:pStyle w:val="9"/>
                              <w:ind w:left="720" w:firstLine="0" w:firstLineChars="0"/>
                              <w:rPr>
                                <w:sz w:val="36"/>
                                <w:szCs w:val="24"/>
                              </w:rPr>
                            </w:pP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58.05pt;margin-top:139.95pt;height:203.1pt;width:622.25pt;z-index:251660288;mso-width-relative:page;mso-height-relative:page;" fillcolor="#FFFFFF" filled="t" stroked="f" coordsize="21600,21600" o:gfxdata="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7/ezu2AAAAAwB&#10;AAAPAAAAAAAAAAEAIAAAACIAAABkcnMvZG93bnJldi54bWxQSwECFAAUAAAACACHTuJABk40zRsC&#10;AAA+BAAADgAAAAAAAAABACAAAAAnAQAAZHJzL2Uyb0RvYy54bWxQSwUGAAAAAAYABgBZAQAAtAUA&#10;AAAA&#10;">
                <v:fill on="t" focussize="0,0"/>
                <v:stroke on="f"/>
                <v:imagedata o:title=""/>
                <o:lock v:ext="edit" aspectratio="f"/>
                <v:textbox>
                  <w:txbxContent>
                    <w:p>
                      <w:pPr>
                        <w:pStyle w:val="9"/>
                        <w:numPr>
                          <w:ilvl w:val="0"/>
                          <w:numId w:val="4"/>
                        </w:numPr>
                        <w:ind w:firstLineChars="0"/>
                        <w:rPr>
                          <w:sz w:val="28"/>
                          <w:szCs w:val="24"/>
                        </w:rPr>
                      </w:pPr>
                      <w:r>
                        <w:rPr>
                          <w:rFonts w:hint="eastAsia"/>
                          <w:sz w:val="28"/>
                          <w:szCs w:val="24"/>
                        </w:rPr>
                        <w:t>所有粘贴的票据必须为合法票据，报销人对所报销票据的真实性、合规性、合理性和相关性负直接责任。报销人应了解并遵守有关财经法规和管理制度。</w:t>
                      </w:r>
                    </w:p>
                    <w:p>
                      <w:pPr>
                        <w:pStyle w:val="9"/>
                        <w:numPr>
                          <w:ilvl w:val="0"/>
                          <w:numId w:val="4"/>
                        </w:numPr>
                        <w:ind w:firstLineChars="0"/>
                        <w:rPr>
                          <w:sz w:val="28"/>
                          <w:szCs w:val="24"/>
                        </w:rPr>
                      </w:pPr>
                      <w:r>
                        <w:rPr>
                          <w:rFonts w:hint="eastAsia"/>
                          <w:sz w:val="28"/>
                          <w:szCs w:val="24"/>
                        </w:rPr>
                        <w:t>原始票据属重要会计凭证，需长期保存，请仔细粘贴，所粘贴票据务必牢固、平整、便于翻阅。</w:t>
                      </w:r>
                    </w:p>
                    <w:p>
                      <w:pPr>
                        <w:pStyle w:val="9"/>
                        <w:numPr>
                          <w:ilvl w:val="0"/>
                          <w:numId w:val="4"/>
                        </w:numPr>
                        <w:ind w:firstLineChars="0"/>
                        <w:rPr>
                          <w:sz w:val="28"/>
                          <w:szCs w:val="24"/>
                        </w:rPr>
                      </w:pPr>
                      <w:r>
                        <w:rPr>
                          <w:rFonts w:hint="eastAsia"/>
                          <w:sz w:val="28"/>
                          <w:szCs w:val="24"/>
                        </w:rPr>
                        <w:t>所有票据必须</w:t>
                      </w:r>
                      <w:r>
                        <w:rPr>
                          <w:rFonts w:hint="eastAsia"/>
                          <w:b/>
                          <w:sz w:val="28"/>
                          <w:szCs w:val="24"/>
                        </w:rPr>
                        <w:t>由左至右</w:t>
                      </w:r>
                      <w:r>
                        <w:rPr>
                          <w:rFonts w:hint="eastAsia" w:ascii="华文仿宋" w:hAnsi="华文仿宋" w:eastAsia="华文仿宋"/>
                          <w:b/>
                          <w:sz w:val="28"/>
                          <w:szCs w:val="28"/>
                        </w:rPr>
                        <w:t>“</w:t>
                      </w:r>
                      <w:r>
                        <w:rPr>
                          <w:rFonts w:hint="eastAsia"/>
                          <w:b/>
                          <w:sz w:val="28"/>
                          <w:szCs w:val="24"/>
                        </w:rPr>
                        <w:t>鱼鳞”状粘贴在边框内，开口向右</w:t>
                      </w:r>
                      <w:r>
                        <w:rPr>
                          <w:rFonts w:hint="eastAsia"/>
                          <w:sz w:val="28"/>
                          <w:szCs w:val="24"/>
                        </w:rPr>
                        <w:t>。票据必须保持平整，</w:t>
                      </w:r>
                      <w:r>
                        <w:rPr>
                          <w:rFonts w:hint="eastAsia"/>
                          <w:b/>
                          <w:sz w:val="28"/>
                          <w:szCs w:val="24"/>
                        </w:rPr>
                        <w:t>不得折叠</w:t>
                      </w:r>
                      <w:r>
                        <w:rPr>
                          <w:rFonts w:hint="eastAsia"/>
                          <w:sz w:val="28"/>
                          <w:szCs w:val="24"/>
                        </w:rPr>
                        <w:t>。</w:t>
                      </w:r>
                    </w:p>
                    <w:p>
                      <w:pPr>
                        <w:pStyle w:val="9"/>
                        <w:numPr>
                          <w:ilvl w:val="0"/>
                          <w:numId w:val="4"/>
                        </w:numPr>
                        <w:ind w:firstLineChars="0"/>
                        <w:rPr>
                          <w:sz w:val="28"/>
                          <w:szCs w:val="24"/>
                        </w:rPr>
                      </w:pPr>
                      <w:r>
                        <w:rPr>
                          <w:rFonts w:hint="eastAsia"/>
                          <w:sz w:val="28"/>
                          <w:szCs w:val="24"/>
                        </w:rPr>
                        <w:t>每张票据背面需有经办人签字。</w:t>
                      </w:r>
                    </w:p>
                    <w:p>
                      <w:pPr>
                        <w:pStyle w:val="9"/>
                        <w:ind w:left="720" w:firstLine="0" w:firstLineChars="0"/>
                        <w:rPr>
                          <w:sz w:val="36"/>
                          <w:szCs w:val="24"/>
                        </w:rPr>
                      </w:pPr>
                    </w:p>
                  </w:txbxContent>
                </v:textbox>
              </v:shape>
            </w:pict>
          </mc:Fallback>
        </mc:AlternateContent>
      </w:r>
    </w:p>
    <w:p>
      <w:pPr>
        <w:rPr>
          <w:rFonts w:ascii="仿宋" w:hAnsi="仿宋" w:eastAsia="仿宋"/>
          <w:sz w:val="28"/>
          <w:szCs w:val="28"/>
        </w:rPr>
      </w:pPr>
    </w:p>
    <w:p>
      <w:pPr>
        <w:widowControl/>
        <w:jc w:val="left"/>
        <w:textAlignment w:val="center"/>
        <w:outlineLvl w:val="1"/>
        <w:rPr>
          <w:rFonts w:ascii="仿宋" w:hAnsi="仿宋" w:eastAsia="仿宋" w:cs="Calibri"/>
          <w:b/>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D5007"/>
    <w:multiLevelType w:val="multilevel"/>
    <w:tmpl w:val="101D50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51351D"/>
    <w:multiLevelType w:val="multilevel"/>
    <w:tmpl w:val="3C51351D"/>
    <w:lvl w:ilvl="0" w:tentative="0">
      <w:start w:val="1"/>
      <w:numFmt w:val="bullet"/>
      <w:lvlText w:val=""/>
      <w:lvlJc w:val="left"/>
      <w:pPr>
        <w:ind w:left="1500" w:hanging="420"/>
      </w:pPr>
      <w:rPr>
        <w:rFonts w:hint="default" w:ascii="Wingdings" w:hAnsi="Wingdings"/>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2">
    <w:nsid w:val="3D7747A7"/>
    <w:multiLevelType w:val="multilevel"/>
    <w:tmpl w:val="3D7747A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1C3B70"/>
    <w:multiLevelType w:val="multilevel"/>
    <w:tmpl w:val="7F1C3B70"/>
    <w:lvl w:ilvl="0" w:tentative="0">
      <w:start w:val="1"/>
      <w:numFmt w:val="bullet"/>
      <w:lvlText w:val=""/>
      <w:lvlJc w:val="left"/>
      <w:pPr>
        <w:tabs>
          <w:tab w:val="left" w:pos="780"/>
        </w:tabs>
        <w:ind w:left="780" w:hanging="360"/>
      </w:pPr>
      <w:rPr>
        <w:rFonts w:hint="default" w:ascii="Symbol" w:hAnsi="Symbol"/>
        <w:sz w:val="20"/>
      </w:rPr>
    </w:lvl>
    <w:lvl w:ilvl="1" w:tentative="0">
      <w:start w:val="1"/>
      <w:numFmt w:val="bullet"/>
      <w:lvlText w:val="o"/>
      <w:lvlJc w:val="left"/>
      <w:pPr>
        <w:tabs>
          <w:tab w:val="left" w:pos="1500"/>
        </w:tabs>
        <w:ind w:left="1500" w:hanging="360"/>
      </w:pPr>
      <w:rPr>
        <w:rFonts w:hint="default" w:ascii="Courier New" w:hAnsi="Courier New" w:cs="Times New Roman"/>
        <w:sz w:val="20"/>
      </w:rPr>
    </w:lvl>
    <w:lvl w:ilvl="2" w:tentative="0">
      <w:start w:val="1"/>
      <w:numFmt w:val="bullet"/>
      <w:lvlText w:val=""/>
      <w:lvlJc w:val="left"/>
      <w:pPr>
        <w:tabs>
          <w:tab w:val="left" w:pos="2220"/>
        </w:tabs>
        <w:ind w:left="2220" w:hanging="360"/>
      </w:pPr>
      <w:rPr>
        <w:rFonts w:hint="default" w:ascii="Wingdings" w:hAnsi="Wingdings"/>
        <w:sz w:val="20"/>
      </w:rPr>
    </w:lvl>
    <w:lvl w:ilvl="3" w:tentative="0">
      <w:start w:val="1"/>
      <w:numFmt w:val="bullet"/>
      <w:lvlText w:val=""/>
      <w:lvlJc w:val="left"/>
      <w:pPr>
        <w:tabs>
          <w:tab w:val="left" w:pos="2940"/>
        </w:tabs>
        <w:ind w:left="2940" w:hanging="360"/>
      </w:pPr>
      <w:rPr>
        <w:rFonts w:hint="default" w:ascii="Wingdings" w:hAnsi="Wingdings"/>
        <w:sz w:val="20"/>
      </w:rPr>
    </w:lvl>
    <w:lvl w:ilvl="4" w:tentative="0">
      <w:start w:val="1"/>
      <w:numFmt w:val="bullet"/>
      <w:lvlText w:val=""/>
      <w:lvlJc w:val="left"/>
      <w:pPr>
        <w:tabs>
          <w:tab w:val="left" w:pos="3660"/>
        </w:tabs>
        <w:ind w:left="3660" w:hanging="360"/>
      </w:pPr>
      <w:rPr>
        <w:rFonts w:hint="default" w:ascii="Wingdings" w:hAnsi="Wingdings"/>
        <w:sz w:val="20"/>
      </w:rPr>
    </w:lvl>
    <w:lvl w:ilvl="5" w:tentative="0">
      <w:start w:val="1"/>
      <w:numFmt w:val="bullet"/>
      <w:lvlText w:val=""/>
      <w:lvlJc w:val="left"/>
      <w:pPr>
        <w:tabs>
          <w:tab w:val="left" w:pos="4380"/>
        </w:tabs>
        <w:ind w:left="4380" w:hanging="360"/>
      </w:pPr>
      <w:rPr>
        <w:rFonts w:hint="default" w:ascii="Wingdings" w:hAnsi="Wingdings"/>
        <w:sz w:val="20"/>
      </w:rPr>
    </w:lvl>
    <w:lvl w:ilvl="6" w:tentative="0">
      <w:start w:val="1"/>
      <w:numFmt w:val="bullet"/>
      <w:lvlText w:val=""/>
      <w:lvlJc w:val="left"/>
      <w:pPr>
        <w:tabs>
          <w:tab w:val="left" w:pos="5100"/>
        </w:tabs>
        <w:ind w:left="5100" w:hanging="360"/>
      </w:pPr>
      <w:rPr>
        <w:rFonts w:hint="default" w:ascii="Wingdings" w:hAnsi="Wingdings"/>
        <w:sz w:val="20"/>
      </w:rPr>
    </w:lvl>
    <w:lvl w:ilvl="7" w:tentative="0">
      <w:start w:val="1"/>
      <w:numFmt w:val="bullet"/>
      <w:lvlText w:val=""/>
      <w:lvlJc w:val="left"/>
      <w:pPr>
        <w:tabs>
          <w:tab w:val="left" w:pos="5820"/>
        </w:tabs>
        <w:ind w:left="5820" w:hanging="360"/>
      </w:pPr>
      <w:rPr>
        <w:rFonts w:hint="default" w:ascii="Wingdings" w:hAnsi="Wingdings"/>
        <w:sz w:val="20"/>
      </w:rPr>
    </w:lvl>
    <w:lvl w:ilvl="8" w:tentative="0">
      <w:start w:val="1"/>
      <w:numFmt w:val="bullet"/>
      <w:lvlText w:val=""/>
      <w:lvlJc w:val="left"/>
      <w:pPr>
        <w:tabs>
          <w:tab w:val="left" w:pos="6540"/>
        </w:tabs>
        <w:ind w:left="6540" w:hanging="360"/>
      </w:pPr>
      <w:rPr>
        <w:rFonts w:hint="default" w:ascii="Wingdings" w:hAnsi="Wingdings"/>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MTYzYzdkYTI1YjMwMDQ2MTBlOGE5OWM0NjdmYzYifQ=="/>
  </w:docVars>
  <w:rsids>
    <w:rsidRoot w:val="00F55841"/>
    <w:rsid w:val="00054339"/>
    <w:rsid w:val="00453883"/>
    <w:rsid w:val="005053D7"/>
    <w:rsid w:val="007173EC"/>
    <w:rsid w:val="00756441"/>
    <w:rsid w:val="009344F5"/>
    <w:rsid w:val="009614A7"/>
    <w:rsid w:val="00B6271B"/>
    <w:rsid w:val="00BE2901"/>
    <w:rsid w:val="00CB5501"/>
    <w:rsid w:val="00E642B3"/>
    <w:rsid w:val="00F10C63"/>
    <w:rsid w:val="00F55841"/>
    <w:rsid w:val="03ED6D9E"/>
    <w:rsid w:val="2BD858DD"/>
    <w:rsid w:val="38DD0689"/>
    <w:rsid w:val="61307026"/>
    <w:rsid w:val="7C4A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4819</Words>
  <Characters>5278</Characters>
  <Lines>40</Lines>
  <Paragraphs>11</Paragraphs>
  <TotalTime>31</TotalTime>
  <ScaleCrop>false</ScaleCrop>
  <LinksUpToDate>false</LinksUpToDate>
  <CharactersWithSpaces>5336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2023-11-29T11:53:00Z</dcterms:created>
  <dc:creator>杨絮</dc:creator>
  <cp:lastModifiedBy>莫</cp:lastModifiedBy>
  <dcterms:modified xsi:type="dcterms:W3CDTF">2024-06-11T09:29:55Z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86388A8CBFBC454DB77946B017536799_13</vt:lpwstr>
  </property>
</Properties>
</file>