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7A029" w14:textId="510A3BD3" w:rsidR="005B34E5" w:rsidRPr="005B34E5" w:rsidRDefault="005B34E5" w:rsidP="005B34E5">
      <w:pPr>
        <w:snapToGrid w:val="0"/>
        <w:spacing w:line="560" w:lineRule="exact"/>
        <w:rPr>
          <w:rFonts w:ascii="黑体" w:eastAsia="黑体" w:hAnsi="黑体" w:hint="eastAsia"/>
          <w:sz w:val="32"/>
          <w:szCs w:val="24"/>
        </w:rPr>
      </w:pPr>
      <w:r w:rsidRPr="005B34E5">
        <w:rPr>
          <w:rFonts w:ascii="黑体" w:eastAsia="黑体" w:hAnsi="黑体" w:hint="eastAsia"/>
          <w:sz w:val="32"/>
          <w:szCs w:val="24"/>
        </w:rPr>
        <w:t>附件1：</w:t>
      </w:r>
    </w:p>
    <w:p w14:paraId="2E22B471" w14:textId="77777777" w:rsidR="005B34E5" w:rsidRPr="005B34E5" w:rsidRDefault="005B34E5" w:rsidP="005B34E5">
      <w:pPr>
        <w:snapToGrid w:val="0"/>
        <w:spacing w:line="560" w:lineRule="exact"/>
        <w:rPr>
          <w:rFonts w:ascii="方正小标宋简体" w:eastAsia="方正小标宋简体" w:hAnsi="方正小标宋简体" w:hint="eastAsia"/>
          <w:sz w:val="32"/>
          <w:szCs w:val="24"/>
        </w:rPr>
      </w:pPr>
    </w:p>
    <w:p w14:paraId="5AA9393C" w14:textId="3A0B1A2A" w:rsidR="00AF16D4" w:rsidRDefault="00000000" w:rsidP="00E937DB">
      <w:pPr>
        <w:snapToGrid w:val="0"/>
        <w:spacing w:line="560" w:lineRule="exact"/>
        <w:jc w:val="center"/>
        <w:rPr>
          <w:rFonts w:ascii="方正小标宋简体" w:eastAsia="方正小标宋简体" w:hAnsi="方正小标宋简体" w:hint="eastAsia"/>
          <w:sz w:val="40"/>
          <w:szCs w:val="30"/>
        </w:rPr>
      </w:pPr>
      <w:r>
        <w:rPr>
          <w:rFonts w:ascii="方正小标宋简体" w:eastAsia="方正小标宋简体" w:hAnsi="方正小标宋简体" w:hint="eastAsia"/>
          <w:sz w:val="40"/>
          <w:szCs w:val="30"/>
        </w:rPr>
        <w:t>中国石油大学（北京）克拉玛依校区</w:t>
      </w:r>
    </w:p>
    <w:p w14:paraId="2905A657" w14:textId="77777777" w:rsidR="00AF16D4" w:rsidRDefault="00000000" w:rsidP="00E937DB">
      <w:pPr>
        <w:snapToGrid w:val="0"/>
        <w:spacing w:line="560" w:lineRule="exact"/>
        <w:jc w:val="center"/>
        <w:rPr>
          <w:rFonts w:ascii="方正小标宋简体" w:eastAsia="方正小标宋简体" w:hAnsi="方正小标宋简体" w:hint="eastAsia"/>
          <w:sz w:val="40"/>
          <w:szCs w:val="30"/>
        </w:rPr>
      </w:pPr>
      <w:bookmarkStart w:id="0" w:name="OLE_LINK7"/>
      <w:bookmarkStart w:id="1" w:name="OLE_LINK8"/>
      <w:proofErr w:type="gramStart"/>
      <w:r>
        <w:rPr>
          <w:rFonts w:ascii="方正小标宋简体" w:eastAsia="方正小标宋简体" w:hAnsi="方正小标宋简体" w:hint="eastAsia"/>
          <w:sz w:val="40"/>
          <w:szCs w:val="30"/>
        </w:rPr>
        <w:t>本硕一体化</w:t>
      </w:r>
      <w:proofErr w:type="gramEnd"/>
      <w:r>
        <w:rPr>
          <w:rFonts w:ascii="方正小标宋简体" w:eastAsia="方正小标宋简体" w:hAnsi="方正小标宋简体" w:hint="eastAsia"/>
          <w:sz w:val="40"/>
          <w:szCs w:val="30"/>
        </w:rPr>
        <w:t>培养实施办法（试行）</w:t>
      </w:r>
    </w:p>
    <w:bookmarkEnd w:id="0"/>
    <w:bookmarkEnd w:id="1"/>
    <w:p w14:paraId="58CB0E87" w14:textId="77777777" w:rsidR="00AF16D4" w:rsidRDefault="00AF16D4" w:rsidP="00E937DB">
      <w:pPr>
        <w:snapToGrid w:val="0"/>
        <w:spacing w:line="560" w:lineRule="exact"/>
        <w:jc w:val="center"/>
        <w:rPr>
          <w:rFonts w:ascii="仿宋" w:eastAsia="仿宋" w:hAnsi="仿宋" w:hint="eastAsia"/>
          <w:sz w:val="32"/>
          <w:szCs w:val="30"/>
        </w:rPr>
      </w:pPr>
    </w:p>
    <w:p w14:paraId="00F9305B" w14:textId="77777777" w:rsidR="00AF16D4" w:rsidRDefault="00000000" w:rsidP="00667FE0">
      <w:pPr>
        <w:snapToGrid w:val="0"/>
        <w:spacing w:line="554" w:lineRule="exact"/>
        <w:jc w:val="center"/>
        <w:rPr>
          <w:rFonts w:ascii="黑体" w:eastAsia="黑体" w:hAnsi="黑体" w:cs="黑体" w:hint="eastAsia"/>
          <w:color w:val="2A2F35"/>
          <w:kern w:val="0"/>
          <w:sz w:val="32"/>
          <w:szCs w:val="32"/>
        </w:rPr>
      </w:pPr>
      <w:r>
        <w:rPr>
          <w:rFonts w:ascii="黑体" w:eastAsia="黑体" w:hAnsi="黑体" w:cs="黑体" w:hint="eastAsia"/>
          <w:color w:val="2A2F35"/>
          <w:kern w:val="0"/>
          <w:sz w:val="32"/>
          <w:szCs w:val="32"/>
        </w:rPr>
        <w:t>第一章 总则</w:t>
      </w:r>
    </w:p>
    <w:p w14:paraId="72C0C854" w14:textId="77777777" w:rsidR="00AF16D4" w:rsidRDefault="00000000" w:rsidP="00667FE0">
      <w:pPr>
        <w:snapToGrid w:val="0"/>
        <w:spacing w:line="554" w:lineRule="exact"/>
        <w:ind w:firstLineChars="200" w:firstLine="643"/>
        <w:rPr>
          <w:rFonts w:ascii="仿宋_GB2312" w:eastAsia="仿宋_GB2312" w:hAnsi="仿宋_GB2312" w:cs="仿宋_GB2312" w:hint="eastAsia"/>
          <w:color w:val="2A2F35"/>
          <w:kern w:val="0"/>
          <w:sz w:val="32"/>
          <w:szCs w:val="32"/>
        </w:rPr>
      </w:pPr>
      <w:r>
        <w:rPr>
          <w:rFonts w:ascii="仿宋_GB2312" w:eastAsia="仿宋_GB2312" w:hAnsi="仿宋_GB2312" w:cs="仿宋_GB2312" w:hint="eastAsia"/>
          <w:b/>
          <w:bCs/>
          <w:color w:val="2A2F35"/>
          <w:kern w:val="0"/>
          <w:sz w:val="32"/>
          <w:szCs w:val="32"/>
        </w:rPr>
        <w:t xml:space="preserve">第一条 </w:t>
      </w:r>
      <w:r>
        <w:rPr>
          <w:rFonts w:ascii="仿宋_GB2312" w:eastAsia="仿宋_GB2312" w:hAnsi="仿宋_GB2312" w:cs="仿宋_GB2312" w:hint="eastAsia"/>
          <w:color w:val="2A2F35"/>
          <w:kern w:val="0"/>
          <w:sz w:val="32"/>
          <w:szCs w:val="32"/>
        </w:rPr>
        <w:t>为服务国家能源战略需求，提升校区服务学校建设能源领域特色鲜明的世界一流研究型大学的能力，高质高效培养实践能力强、发展潜力大的创新型人才，根据教育部、财政部、国家发展改革委《关于深入推进世界一流大学和一流学科建设的若干意见》（教研〔2022〕51号）等文件精神，结合校区实际，制定本办法。</w:t>
      </w:r>
    </w:p>
    <w:p w14:paraId="68D24456" w14:textId="77777777" w:rsidR="00AF16D4" w:rsidRDefault="00000000" w:rsidP="00667FE0">
      <w:pPr>
        <w:snapToGrid w:val="0"/>
        <w:spacing w:line="554" w:lineRule="exact"/>
        <w:ind w:firstLineChars="200" w:firstLine="643"/>
        <w:rPr>
          <w:rFonts w:ascii="仿宋_GB2312" w:eastAsia="仿宋_GB2312" w:hAnsi="仿宋_GB2312" w:cs="仿宋_GB2312" w:hint="eastAsia"/>
          <w:color w:val="2A2F35"/>
          <w:kern w:val="0"/>
          <w:sz w:val="32"/>
          <w:szCs w:val="32"/>
        </w:rPr>
      </w:pPr>
      <w:r>
        <w:rPr>
          <w:rFonts w:ascii="仿宋_GB2312" w:eastAsia="仿宋_GB2312" w:hAnsi="仿宋_GB2312" w:cs="仿宋_GB2312" w:hint="eastAsia"/>
          <w:b/>
          <w:bCs/>
          <w:color w:val="2A2F35"/>
          <w:kern w:val="0"/>
          <w:sz w:val="32"/>
          <w:szCs w:val="32"/>
        </w:rPr>
        <w:t xml:space="preserve">第二条 </w:t>
      </w:r>
      <w:proofErr w:type="gramStart"/>
      <w:r>
        <w:rPr>
          <w:rFonts w:ascii="仿宋_GB2312" w:eastAsia="仿宋_GB2312" w:hAnsi="仿宋_GB2312" w:cs="仿宋_GB2312" w:hint="eastAsia"/>
          <w:color w:val="2A2F35"/>
          <w:kern w:val="0"/>
          <w:sz w:val="32"/>
          <w:szCs w:val="32"/>
        </w:rPr>
        <w:t>本硕一体化</w:t>
      </w:r>
      <w:proofErr w:type="gramEnd"/>
      <w:r>
        <w:rPr>
          <w:rFonts w:ascii="仿宋_GB2312" w:eastAsia="仿宋_GB2312" w:hAnsi="仿宋_GB2312" w:cs="仿宋_GB2312" w:hint="eastAsia"/>
          <w:color w:val="2A2F35"/>
          <w:kern w:val="0"/>
          <w:sz w:val="32"/>
          <w:szCs w:val="32"/>
        </w:rPr>
        <w:t>培养是指选拔具有实践创新能力的优秀本科生，按</w:t>
      </w:r>
      <w:bookmarkStart w:id="2" w:name="_Hlk211942805"/>
      <w:r>
        <w:rPr>
          <w:rFonts w:ascii="仿宋_GB2312" w:eastAsia="仿宋_GB2312" w:hAnsi="仿宋_GB2312" w:cs="仿宋_GB2312" w:hint="eastAsia"/>
          <w:color w:val="2A2F35"/>
          <w:kern w:val="0"/>
          <w:sz w:val="32"/>
          <w:szCs w:val="32"/>
        </w:rPr>
        <w:t>“2（两年本科基础）+1（一年本硕培育）+1（一年本硕培养）+2（两年硕士）</w:t>
      </w:r>
      <w:bookmarkEnd w:id="2"/>
      <w:r>
        <w:rPr>
          <w:rFonts w:ascii="仿宋_GB2312" w:eastAsia="仿宋_GB2312" w:hAnsi="仿宋_GB2312" w:cs="仿宋_GB2312" w:hint="eastAsia"/>
          <w:color w:val="2A2F35"/>
          <w:kern w:val="0"/>
          <w:sz w:val="32"/>
          <w:szCs w:val="32"/>
        </w:rPr>
        <w:t>”贯通本科生和硕士研究生培养阶段的人才培养模式，</w:t>
      </w:r>
      <w:proofErr w:type="gramStart"/>
      <w:r>
        <w:rPr>
          <w:rFonts w:ascii="仿宋_GB2312" w:eastAsia="仿宋_GB2312" w:hAnsi="仿宋_GB2312" w:cs="仿宋_GB2312" w:hint="eastAsia"/>
          <w:color w:val="2A2F35"/>
          <w:kern w:val="0"/>
          <w:sz w:val="32"/>
          <w:szCs w:val="32"/>
        </w:rPr>
        <w:t>本硕一体化</w:t>
      </w:r>
      <w:proofErr w:type="gramEnd"/>
      <w:r>
        <w:rPr>
          <w:rFonts w:ascii="仿宋_GB2312" w:eastAsia="仿宋_GB2312" w:hAnsi="仿宋_GB2312" w:cs="仿宋_GB2312" w:hint="eastAsia"/>
          <w:color w:val="2A2F35"/>
          <w:kern w:val="0"/>
          <w:sz w:val="32"/>
          <w:szCs w:val="32"/>
        </w:rPr>
        <w:t>培养全过程在校区实施。</w:t>
      </w:r>
    </w:p>
    <w:p w14:paraId="65948C5A" w14:textId="77777777" w:rsidR="00AF16D4" w:rsidRDefault="00000000" w:rsidP="00667FE0">
      <w:pPr>
        <w:snapToGrid w:val="0"/>
        <w:spacing w:line="554" w:lineRule="exact"/>
        <w:jc w:val="center"/>
        <w:rPr>
          <w:rFonts w:ascii="黑体" w:eastAsia="黑体" w:hAnsi="黑体" w:cs="黑体" w:hint="eastAsia"/>
          <w:color w:val="2A2F35"/>
          <w:kern w:val="0"/>
          <w:sz w:val="32"/>
          <w:szCs w:val="32"/>
        </w:rPr>
      </w:pPr>
      <w:r>
        <w:rPr>
          <w:rFonts w:ascii="黑体" w:eastAsia="黑体" w:hAnsi="黑体" w:cs="黑体" w:hint="eastAsia"/>
          <w:color w:val="2A2F35"/>
          <w:kern w:val="0"/>
          <w:sz w:val="32"/>
          <w:szCs w:val="32"/>
        </w:rPr>
        <w:t>第二章 总体要求</w:t>
      </w:r>
    </w:p>
    <w:p w14:paraId="0ED9553B" w14:textId="77777777" w:rsidR="00AF16D4" w:rsidRDefault="00000000" w:rsidP="00667FE0">
      <w:pPr>
        <w:snapToGrid w:val="0"/>
        <w:spacing w:line="554" w:lineRule="exact"/>
        <w:ind w:firstLineChars="200" w:firstLine="643"/>
        <w:rPr>
          <w:rFonts w:ascii="仿宋_GB2312" w:eastAsia="仿宋_GB2312" w:hAnsi="仿宋_GB2312" w:cs="仿宋_GB2312" w:hint="eastAsia"/>
          <w:kern w:val="0"/>
          <w:sz w:val="32"/>
          <w:szCs w:val="32"/>
        </w:rPr>
      </w:pPr>
      <w:r>
        <w:rPr>
          <w:rFonts w:ascii="仿宋_GB2312" w:eastAsia="仿宋_GB2312" w:hAnsi="仿宋_GB2312" w:cs="仿宋_GB2312" w:hint="eastAsia"/>
          <w:b/>
          <w:kern w:val="0"/>
          <w:sz w:val="32"/>
          <w:szCs w:val="32"/>
        </w:rPr>
        <w:t>第三条</w:t>
      </w:r>
      <w:r>
        <w:rPr>
          <w:rFonts w:ascii="仿宋_GB2312" w:eastAsia="仿宋_GB2312" w:hAnsi="仿宋_GB2312" w:cs="仿宋_GB2312" w:hint="eastAsia"/>
          <w:bCs/>
          <w:kern w:val="0"/>
          <w:sz w:val="32"/>
          <w:szCs w:val="32"/>
        </w:rPr>
        <w:t xml:space="preserve"> </w:t>
      </w:r>
      <w:bookmarkStart w:id="3" w:name="OLE_LINK10"/>
      <w:proofErr w:type="gramStart"/>
      <w:r>
        <w:rPr>
          <w:rFonts w:ascii="仿宋_GB2312" w:eastAsia="仿宋_GB2312" w:hAnsi="仿宋_GB2312" w:cs="仿宋_GB2312" w:hint="eastAsia"/>
          <w:bCs/>
          <w:kern w:val="0"/>
          <w:sz w:val="32"/>
          <w:szCs w:val="32"/>
        </w:rPr>
        <w:t>构建本硕弹性</w:t>
      </w:r>
      <w:proofErr w:type="gramEnd"/>
      <w:r>
        <w:rPr>
          <w:rFonts w:ascii="仿宋_GB2312" w:eastAsia="仿宋_GB2312" w:hAnsi="仿宋_GB2312" w:cs="仿宋_GB2312" w:hint="eastAsia"/>
          <w:kern w:val="0"/>
          <w:sz w:val="32"/>
          <w:szCs w:val="32"/>
        </w:rPr>
        <w:t>学习时间</w:t>
      </w:r>
      <w:bookmarkEnd w:id="3"/>
      <w:r>
        <w:rPr>
          <w:rFonts w:ascii="仿宋_GB2312" w:eastAsia="仿宋_GB2312" w:hAnsi="仿宋_GB2312" w:cs="仿宋_GB2312" w:hint="eastAsia"/>
          <w:bCs/>
          <w:kern w:val="0"/>
          <w:sz w:val="32"/>
          <w:szCs w:val="32"/>
        </w:rPr>
        <w:t>。</w:t>
      </w:r>
      <w:proofErr w:type="gramStart"/>
      <w:r>
        <w:rPr>
          <w:rFonts w:ascii="仿宋_GB2312" w:eastAsia="仿宋_GB2312" w:hAnsi="仿宋_GB2312" w:cs="仿宋_GB2312" w:hint="eastAsia"/>
          <w:kern w:val="0"/>
          <w:sz w:val="32"/>
          <w:szCs w:val="32"/>
        </w:rPr>
        <w:t>本硕一体化</w:t>
      </w:r>
      <w:proofErr w:type="gramEnd"/>
      <w:r>
        <w:rPr>
          <w:rFonts w:ascii="仿宋_GB2312" w:eastAsia="仿宋_GB2312" w:hAnsi="仿宋_GB2312" w:cs="仿宋_GB2312" w:hint="eastAsia"/>
          <w:kern w:val="0"/>
          <w:sz w:val="32"/>
          <w:szCs w:val="32"/>
        </w:rPr>
        <w:t>培养的学生在本科四年（</w:t>
      </w:r>
      <w:proofErr w:type="gramStart"/>
      <w:r>
        <w:rPr>
          <w:rFonts w:ascii="仿宋_GB2312" w:eastAsia="仿宋_GB2312" w:hAnsi="仿宋_GB2312" w:cs="仿宋_GB2312" w:hint="eastAsia"/>
          <w:kern w:val="0"/>
          <w:sz w:val="32"/>
          <w:szCs w:val="32"/>
        </w:rPr>
        <w:t>包含本硕培育</w:t>
      </w:r>
      <w:proofErr w:type="gramEnd"/>
      <w:r>
        <w:rPr>
          <w:rFonts w:ascii="仿宋_GB2312" w:eastAsia="仿宋_GB2312" w:hAnsi="仿宋_GB2312" w:cs="仿宋_GB2312" w:hint="eastAsia"/>
          <w:kern w:val="0"/>
          <w:sz w:val="32"/>
          <w:szCs w:val="32"/>
        </w:rPr>
        <w:t>、</w:t>
      </w:r>
      <w:proofErr w:type="gramStart"/>
      <w:r>
        <w:rPr>
          <w:rFonts w:ascii="仿宋_GB2312" w:eastAsia="仿宋_GB2312" w:hAnsi="仿宋_GB2312" w:cs="仿宋_GB2312" w:hint="eastAsia"/>
          <w:kern w:val="0"/>
          <w:sz w:val="32"/>
          <w:szCs w:val="32"/>
        </w:rPr>
        <w:t>本硕培养</w:t>
      </w:r>
      <w:proofErr w:type="gramEnd"/>
      <w:r>
        <w:rPr>
          <w:rFonts w:ascii="仿宋_GB2312" w:eastAsia="仿宋_GB2312" w:hAnsi="仿宋_GB2312" w:cs="仿宋_GB2312" w:hint="eastAsia"/>
          <w:kern w:val="0"/>
          <w:sz w:val="32"/>
          <w:szCs w:val="32"/>
        </w:rPr>
        <w:t>阶段）按本科生学籍管理；进入硕士研究生阶段后，按研究生学籍管理，但不得在已实施“2+1+1+2”</w:t>
      </w:r>
      <w:proofErr w:type="gramStart"/>
      <w:r>
        <w:rPr>
          <w:rFonts w:ascii="仿宋_GB2312" w:eastAsia="仿宋_GB2312" w:hAnsi="仿宋_GB2312" w:cs="仿宋_GB2312" w:hint="eastAsia"/>
          <w:kern w:val="0"/>
          <w:sz w:val="32"/>
          <w:szCs w:val="32"/>
        </w:rPr>
        <w:t>本硕贯通</w:t>
      </w:r>
      <w:proofErr w:type="gramEnd"/>
      <w:r>
        <w:rPr>
          <w:rFonts w:ascii="仿宋_GB2312" w:eastAsia="仿宋_GB2312" w:hAnsi="仿宋_GB2312" w:cs="仿宋_GB2312" w:hint="eastAsia"/>
          <w:kern w:val="0"/>
          <w:sz w:val="32"/>
          <w:szCs w:val="32"/>
        </w:rPr>
        <w:t>培养的基础上申请提前毕业。若硕士研究生阶段因各种原因未申请或无法满足毕业及学位授予要求，可按</w:t>
      </w:r>
      <w:r>
        <w:rPr>
          <w:rFonts w:ascii="仿宋_GB2312" w:eastAsia="仿宋_GB2312" w:hAnsi="仿宋_GB2312" w:cs="仿宋_GB2312" w:hint="eastAsia"/>
          <w:kern w:val="0"/>
          <w:sz w:val="32"/>
          <w:szCs w:val="32"/>
        </w:rPr>
        <w:lastRenderedPageBreak/>
        <w:t>有关研究生学籍管理办法在规定的最长学习年限内申请延长学习时间。</w:t>
      </w:r>
    </w:p>
    <w:p w14:paraId="42A76790" w14:textId="77777777" w:rsidR="00AF16D4" w:rsidRDefault="00000000" w:rsidP="00667FE0">
      <w:pPr>
        <w:snapToGrid w:val="0"/>
        <w:spacing w:line="554" w:lineRule="exact"/>
        <w:ind w:firstLineChars="200" w:firstLine="643"/>
        <w:rPr>
          <w:rFonts w:ascii="仿宋_GB2312" w:eastAsia="仿宋_GB2312" w:hAnsi="仿宋_GB2312" w:cs="仿宋_GB2312" w:hint="eastAsia"/>
          <w:color w:val="2A2F35"/>
          <w:kern w:val="0"/>
          <w:sz w:val="32"/>
          <w:szCs w:val="32"/>
        </w:rPr>
      </w:pPr>
      <w:r>
        <w:rPr>
          <w:rFonts w:ascii="仿宋_GB2312" w:eastAsia="仿宋_GB2312" w:hAnsi="仿宋_GB2312" w:cs="仿宋_GB2312" w:hint="eastAsia"/>
          <w:b/>
          <w:bCs/>
          <w:color w:val="2A2F35"/>
          <w:kern w:val="0"/>
          <w:sz w:val="32"/>
          <w:szCs w:val="32"/>
        </w:rPr>
        <w:t>第四条</w:t>
      </w:r>
      <w:r>
        <w:rPr>
          <w:rFonts w:ascii="仿宋_GB2312" w:eastAsia="仿宋_GB2312" w:hAnsi="仿宋_GB2312" w:cs="仿宋_GB2312" w:hint="eastAsia"/>
          <w:bCs/>
          <w:color w:val="2A2F35"/>
          <w:kern w:val="0"/>
          <w:sz w:val="32"/>
          <w:szCs w:val="32"/>
        </w:rPr>
        <w:t xml:space="preserve"> 把握人才成长规律。</w:t>
      </w:r>
      <w:proofErr w:type="gramStart"/>
      <w:r>
        <w:rPr>
          <w:rFonts w:ascii="仿宋_GB2312" w:eastAsia="仿宋_GB2312" w:hAnsi="仿宋_GB2312" w:cs="仿宋_GB2312" w:hint="eastAsia"/>
          <w:bCs/>
          <w:color w:val="2A2F35"/>
          <w:kern w:val="0"/>
          <w:sz w:val="32"/>
          <w:szCs w:val="32"/>
        </w:rPr>
        <w:t>本硕一体化</w:t>
      </w:r>
      <w:proofErr w:type="gramEnd"/>
      <w:r>
        <w:rPr>
          <w:rFonts w:ascii="仿宋_GB2312" w:eastAsia="仿宋_GB2312" w:hAnsi="仿宋_GB2312" w:cs="仿宋_GB2312" w:hint="eastAsia"/>
          <w:bCs/>
          <w:color w:val="2A2F35"/>
          <w:kern w:val="0"/>
          <w:sz w:val="32"/>
          <w:szCs w:val="32"/>
        </w:rPr>
        <w:t>人才</w:t>
      </w:r>
      <w:bookmarkStart w:id="4" w:name="OLE_LINK11"/>
      <w:bookmarkStart w:id="5" w:name="OLE_LINK1"/>
      <w:r>
        <w:rPr>
          <w:rFonts w:ascii="仿宋_GB2312" w:eastAsia="仿宋_GB2312" w:hAnsi="仿宋_GB2312" w:cs="仿宋_GB2312" w:hint="eastAsia"/>
          <w:bCs/>
          <w:color w:val="2A2F35"/>
          <w:kern w:val="0"/>
          <w:sz w:val="32"/>
          <w:szCs w:val="32"/>
        </w:rPr>
        <w:t>培养</w:t>
      </w:r>
      <w:bookmarkEnd w:id="4"/>
      <w:r>
        <w:rPr>
          <w:rFonts w:ascii="仿宋_GB2312" w:eastAsia="仿宋_GB2312" w:hAnsi="仿宋_GB2312" w:cs="仿宋_GB2312" w:hint="eastAsia"/>
          <w:bCs/>
          <w:color w:val="2A2F35"/>
          <w:kern w:val="0"/>
          <w:sz w:val="32"/>
          <w:szCs w:val="32"/>
        </w:rPr>
        <w:t>方案</w:t>
      </w:r>
      <w:bookmarkEnd w:id="5"/>
      <w:r>
        <w:rPr>
          <w:rFonts w:ascii="仿宋_GB2312" w:eastAsia="仿宋_GB2312" w:hAnsi="仿宋_GB2312" w:cs="仿宋_GB2312" w:hint="eastAsia"/>
          <w:bCs/>
          <w:color w:val="2A2F35"/>
          <w:kern w:val="0"/>
          <w:sz w:val="32"/>
          <w:szCs w:val="32"/>
        </w:rPr>
        <w:t>按“学科-专业一体化发展”思路制定，分阶段设置本科生和硕士研究生阶段培养目标：</w:t>
      </w:r>
      <w:r>
        <w:rPr>
          <w:rFonts w:ascii="仿宋_GB2312" w:eastAsia="仿宋_GB2312" w:hAnsi="仿宋_GB2312" w:cs="仿宋_GB2312" w:hint="eastAsia"/>
          <w:color w:val="2A2F35"/>
          <w:kern w:val="0"/>
          <w:sz w:val="32"/>
          <w:szCs w:val="32"/>
        </w:rPr>
        <w:t>本科阶段注重学生全面发展和创新潜质提升，研究生阶段注重专业素质、实践创新能力培养。</w:t>
      </w:r>
    </w:p>
    <w:p w14:paraId="2B3CE2D2" w14:textId="77777777" w:rsidR="00AF16D4" w:rsidRDefault="00000000" w:rsidP="00667FE0">
      <w:pPr>
        <w:snapToGrid w:val="0"/>
        <w:spacing w:line="554" w:lineRule="exact"/>
        <w:ind w:firstLineChars="200" w:firstLine="643"/>
        <w:rPr>
          <w:rFonts w:ascii="仿宋_GB2312" w:eastAsia="仿宋_GB2312" w:hAnsi="仿宋_GB2312" w:cs="仿宋_GB2312" w:hint="eastAsia"/>
          <w:bCs/>
          <w:color w:val="2A2F35"/>
          <w:kern w:val="0"/>
          <w:sz w:val="32"/>
          <w:szCs w:val="32"/>
        </w:rPr>
      </w:pPr>
      <w:r>
        <w:rPr>
          <w:rFonts w:ascii="仿宋_GB2312" w:eastAsia="仿宋_GB2312" w:hAnsi="仿宋_GB2312" w:cs="仿宋_GB2312" w:hint="eastAsia"/>
          <w:b/>
          <w:color w:val="2A2F35"/>
          <w:kern w:val="0"/>
          <w:sz w:val="32"/>
          <w:szCs w:val="32"/>
        </w:rPr>
        <w:t>第五条</w:t>
      </w:r>
      <w:r>
        <w:rPr>
          <w:rFonts w:ascii="仿宋_GB2312" w:eastAsia="仿宋_GB2312" w:hAnsi="仿宋_GB2312" w:cs="仿宋_GB2312" w:hint="eastAsia"/>
          <w:bCs/>
          <w:color w:val="2A2F35"/>
          <w:kern w:val="0"/>
          <w:sz w:val="32"/>
          <w:szCs w:val="32"/>
        </w:rPr>
        <w:t xml:space="preserve"> 创新驱动</w:t>
      </w:r>
      <w:r>
        <w:rPr>
          <w:rFonts w:ascii="仿宋_GB2312" w:eastAsia="仿宋_GB2312" w:hAnsi="仿宋_GB2312" w:cs="仿宋_GB2312"/>
          <w:bCs/>
          <w:color w:val="2A2F35"/>
          <w:kern w:val="0"/>
          <w:sz w:val="32"/>
          <w:szCs w:val="32"/>
        </w:rPr>
        <w:t>多元发展</w:t>
      </w:r>
      <w:r>
        <w:rPr>
          <w:rFonts w:ascii="仿宋_GB2312" w:eastAsia="仿宋_GB2312" w:hAnsi="仿宋_GB2312" w:cs="仿宋_GB2312" w:hint="eastAsia"/>
          <w:bCs/>
          <w:color w:val="2A2F35"/>
          <w:kern w:val="0"/>
          <w:sz w:val="32"/>
          <w:szCs w:val="32"/>
        </w:rPr>
        <w:t>。</w:t>
      </w:r>
      <w:bookmarkStart w:id="6" w:name="OLE_LINK9"/>
      <w:r>
        <w:rPr>
          <w:rFonts w:ascii="仿宋_GB2312" w:eastAsia="仿宋_GB2312" w:hAnsi="仿宋_GB2312" w:cs="仿宋_GB2312" w:hint="eastAsia"/>
          <w:bCs/>
          <w:color w:val="2A2F35"/>
          <w:kern w:val="0"/>
          <w:sz w:val="32"/>
          <w:szCs w:val="32"/>
        </w:rPr>
        <w:t>鼓励优秀本科生早进实验室、早进科研团队，提前安排一对一导师指导，提早产出创新成果；</w:t>
      </w:r>
      <w:bookmarkStart w:id="7" w:name="_Hlk211943201"/>
      <w:r>
        <w:rPr>
          <w:rFonts w:ascii="仿宋_GB2312" w:eastAsia="仿宋_GB2312" w:hAnsi="仿宋_GB2312" w:cs="仿宋_GB2312" w:hint="eastAsia"/>
          <w:bCs/>
          <w:color w:val="2A2F35"/>
          <w:kern w:val="0"/>
          <w:sz w:val="32"/>
          <w:szCs w:val="32"/>
        </w:rPr>
        <w:t>帮助学生实现学术志趣</w:t>
      </w:r>
      <w:bookmarkStart w:id="8" w:name="OLE_LINK2"/>
      <w:r>
        <w:rPr>
          <w:rFonts w:ascii="仿宋_GB2312" w:eastAsia="仿宋_GB2312" w:hAnsi="仿宋_GB2312" w:cs="仿宋_GB2312" w:hint="eastAsia"/>
          <w:bCs/>
          <w:color w:val="2A2F35"/>
          <w:kern w:val="0"/>
          <w:sz w:val="32"/>
          <w:szCs w:val="32"/>
        </w:rPr>
        <w:t>、实践创新能力</w:t>
      </w:r>
      <w:bookmarkEnd w:id="8"/>
      <w:r>
        <w:rPr>
          <w:rFonts w:ascii="仿宋_GB2312" w:eastAsia="仿宋_GB2312" w:hAnsi="仿宋_GB2312" w:cs="仿宋_GB2312" w:hint="eastAsia"/>
          <w:bCs/>
          <w:color w:val="2A2F35"/>
          <w:kern w:val="0"/>
          <w:sz w:val="32"/>
          <w:szCs w:val="32"/>
        </w:rPr>
        <w:t>的贯通培养和提升</w:t>
      </w:r>
      <w:bookmarkEnd w:id="6"/>
      <w:bookmarkEnd w:id="7"/>
      <w:r>
        <w:rPr>
          <w:rFonts w:ascii="仿宋_GB2312" w:eastAsia="仿宋_GB2312" w:hAnsi="仿宋_GB2312" w:cs="仿宋_GB2312" w:hint="eastAsia"/>
          <w:bCs/>
          <w:color w:val="2A2F35"/>
          <w:kern w:val="0"/>
          <w:sz w:val="32"/>
          <w:szCs w:val="32"/>
        </w:rPr>
        <w:t>；推动硕士研究生培养以社会需求为导向，深化产教融合，鼓励以实践成果申请学位，培养</w:t>
      </w:r>
      <w:r>
        <w:rPr>
          <w:rFonts w:ascii="仿宋_GB2312" w:eastAsia="仿宋_GB2312" w:hAnsi="仿宋_GB2312" w:cs="仿宋_GB2312"/>
          <w:bCs/>
          <w:color w:val="2A2F35"/>
          <w:kern w:val="0"/>
          <w:sz w:val="32"/>
          <w:szCs w:val="32"/>
        </w:rPr>
        <w:t>理论基础扎实、能解决复杂</w:t>
      </w:r>
      <w:r>
        <w:rPr>
          <w:rFonts w:ascii="仿宋_GB2312" w:eastAsia="仿宋_GB2312" w:hAnsi="仿宋_GB2312" w:cs="仿宋_GB2312" w:hint="eastAsia"/>
          <w:bCs/>
          <w:color w:val="2A2F35"/>
          <w:kern w:val="0"/>
          <w:sz w:val="32"/>
          <w:szCs w:val="32"/>
        </w:rPr>
        <w:t>产业</w:t>
      </w:r>
      <w:r>
        <w:rPr>
          <w:rFonts w:ascii="仿宋_GB2312" w:eastAsia="仿宋_GB2312" w:hAnsi="仿宋_GB2312" w:cs="仿宋_GB2312"/>
          <w:bCs/>
          <w:color w:val="2A2F35"/>
          <w:kern w:val="0"/>
          <w:sz w:val="32"/>
          <w:szCs w:val="32"/>
        </w:rPr>
        <w:t>问题，兼具国家情怀与全球视野的高水平复合型人才</w:t>
      </w:r>
      <w:r>
        <w:rPr>
          <w:rFonts w:ascii="仿宋_GB2312" w:eastAsia="仿宋_GB2312" w:hAnsi="仿宋_GB2312" w:cs="仿宋_GB2312" w:hint="eastAsia"/>
          <w:bCs/>
          <w:color w:val="2A2F35"/>
          <w:kern w:val="0"/>
          <w:sz w:val="32"/>
          <w:szCs w:val="32"/>
        </w:rPr>
        <w:t>。</w:t>
      </w:r>
    </w:p>
    <w:p w14:paraId="59D64E28" w14:textId="77777777" w:rsidR="00AF16D4" w:rsidRDefault="00000000" w:rsidP="00667FE0">
      <w:pPr>
        <w:snapToGrid w:val="0"/>
        <w:spacing w:line="554" w:lineRule="exact"/>
        <w:jc w:val="center"/>
        <w:rPr>
          <w:rFonts w:ascii="黑体" w:eastAsia="黑体" w:hAnsi="黑体" w:cs="黑体" w:hint="eastAsia"/>
          <w:color w:val="2A2F35"/>
          <w:kern w:val="0"/>
          <w:sz w:val="32"/>
          <w:szCs w:val="32"/>
        </w:rPr>
      </w:pPr>
      <w:r>
        <w:rPr>
          <w:rFonts w:ascii="黑体" w:eastAsia="黑体" w:hAnsi="黑体" w:cs="黑体" w:hint="eastAsia"/>
          <w:color w:val="2A2F35"/>
          <w:kern w:val="0"/>
          <w:sz w:val="32"/>
          <w:szCs w:val="32"/>
        </w:rPr>
        <w:t>第三章 培育</w:t>
      </w:r>
    </w:p>
    <w:p w14:paraId="0D813365" w14:textId="77777777" w:rsidR="00AF16D4" w:rsidRDefault="00000000" w:rsidP="00667FE0">
      <w:pPr>
        <w:snapToGrid w:val="0"/>
        <w:spacing w:line="554" w:lineRule="exact"/>
        <w:ind w:firstLineChars="200" w:firstLine="643"/>
        <w:rPr>
          <w:rFonts w:ascii="仿宋_GB2312" w:eastAsia="仿宋_GB2312" w:hAnsi="仿宋_GB2312" w:cs="仿宋_GB2312" w:hint="eastAsia"/>
          <w:bCs/>
          <w:color w:val="2A2F35"/>
          <w:kern w:val="0"/>
          <w:sz w:val="32"/>
          <w:szCs w:val="32"/>
        </w:rPr>
      </w:pPr>
      <w:r>
        <w:rPr>
          <w:rFonts w:ascii="仿宋_GB2312" w:eastAsia="仿宋_GB2312" w:hAnsi="仿宋_GB2312" w:cs="仿宋_GB2312" w:hint="eastAsia"/>
          <w:b/>
          <w:color w:val="2A2F35"/>
          <w:kern w:val="0"/>
          <w:sz w:val="32"/>
          <w:szCs w:val="32"/>
        </w:rPr>
        <w:t>第六条</w:t>
      </w:r>
      <w:bookmarkStart w:id="9" w:name="OLE_LINK12"/>
      <w:r>
        <w:rPr>
          <w:rFonts w:ascii="仿宋_GB2312" w:eastAsia="仿宋_GB2312" w:hAnsi="仿宋_GB2312" w:cs="仿宋_GB2312" w:hint="eastAsia"/>
          <w:bCs/>
          <w:color w:val="2A2F35"/>
          <w:kern w:val="0"/>
          <w:sz w:val="32"/>
          <w:szCs w:val="32"/>
        </w:rPr>
        <w:t xml:space="preserve"> </w:t>
      </w:r>
      <w:bookmarkStart w:id="10" w:name="OLE_LINK29"/>
      <w:bookmarkStart w:id="11" w:name="OLE_LINK28"/>
      <w:r>
        <w:rPr>
          <w:rFonts w:ascii="仿宋_GB2312" w:eastAsia="仿宋_GB2312" w:hAnsi="仿宋_GB2312" w:cs="仿宋_GB2312" w:hint="eastAsia"/>
          <w:bCs/>
          <w:color w:val="2A2F35"/>
          <w:kern w:val="0"/>
          <w:sz w:val="32"/>
          <w:szCs w:val="32"/>
        </w:rPr>
        <w:t>入选本</w:t>
      </w:r>
      <w:proofErr w:type="gramStart"/>
      <w:r>
        <w:rPr>
          <w:rFonts w:ascii="仿宋_GB2312" w:eastAsia="仿宋_GB2312" w:hAnsi="仿宋_GB2312" w:cs="仿宋_GB2312" w:hint="eastAsia"/>
          <w:bCs/>
          <w:color w:val="2A2F35"/>
          <w:kern w:val="0"/>
          <w:sz w:val="32"/>
          <w:szCs w:val="32"/>
        </w:rPr>
        <w:t>硕</w:t>
      </w:r>
      <w:proofErr w:type="gramEnd"/>
      <w:r>
        <w:rPr>
          <w:rFonts w:ascii="仿宋_GB2312" w:eastAsia="仿宋_GB2312" w:hAnsi="仿宋_GB2312" w:cs="仿宋_GB2312" w:hint="eastAsia"/>
          <w:bCs/>
          <w:color w:val="2A2F35"/>
          <w:kern w:val="0"/>
          <w:sz w:val="32"/>
          <w:szCs w:val="32"/>
        </w:rPr>
        <w:t>一体化培育的基本条件为</w:t>
      </w:r>
      <w:r>
        <w:rPr>
          <w:rFonts w:ascii="仿宋" w:eastAsia="仿宋" w:hAnsi="仿宋" w:hint="eastAsia"/>
          <w:sz w:val="32"/>
          <w:szCs w:val="32"/>
        </w:rPr>
        <w:t>培育选拔成绩</w:t>
      </w:r>
      <w:r>
        <w:rPr>
          <w:rFonts w:ascii="仿宋_GB2312" w:eastAsia="仿宋_GB2312" w:hAnsi="仿宋_GB2312" w:cs="仿宋_GB2312" w:hint="eastAsia"/>
          <w:bCs/>
          <w:color w:val="2A2F35"/>
          <w:kern w:val="0"/>
          <w:sz w:val="32"/>
          <w:szCs w:val="32"/>
        </w:rPr>
        <w:t>位于专业前30%。</w:t>
      </w:r>
      <w:r>
        <w:rPr>
          <w:rFonts w:ascii="仿宋" w:eastAsia="仿宋" w:hAnsi="仿宋" w:hint="eastAsia"/>
          <w:sz w:val="32"/>
          <w:szCs w:val="32"/>
        </w:rPr>
        <w:t>培育选拔成绩总分100分</w:t>
      </w:r>
      <w:r>
        <w:rPr>
          <w:rFonts w:ascii="仿宋_GB2312" w:eastAsia="仿宋_GB2312" w:hAnsi="仿宋_GB2312" w:cs="仿宋_GB2312" w:hint="eastAsia"/>
          <w:bCs/>
          <w:color w:val="2A2F35"/>
          <w:kern w:val="0"/>
          <w:sz w:val="32"/>
          <w:szCs w:val="32"/>
        </w:rPr>
        <w:t>，其中前两学年必修课加权平均成绩占</w:t>
      </w:r>
      <w:r>
        <w:rPr>
          <w:rFonts w:ascii="仿宋_GB2312" w:eastAsia="仿宋_GB2312" w:hAnsi="仿宋_GB2312" w:cs="仿宋_GB2312"/>
          <w:bCs/>
          <w:color w:val="2A2F35"/>
          <w:kern w:val="0"/>
          <w:sz w:val="32"/>
          <w:szCs w:val="32"/>
        </w:rPr>
        <w:t>9</w:t>
      </w:r>
      <w:r>
        <w:rPr>
          <w:rFonts w:ascii="仿宋_GB2312" w:eastAsia="仿宋_GB2312" w:hAnsi="仿宋_GB2312" w:cs="仿宋_GB2312" w:hint="eastAsia"/>
          <w:bCs/>
          <w:color w:val="2A2F35"/>
          <w:kern w:val="0"/>
          <w:sz w:val="32"/>
          <w:szCs w:val="32"/>
        </w:rPr>
        <w:t>0%（满分</w:t>
      </w:r>
      <w:r>
        <w:rPr>
          <w:rFonts w:ascii="仿宋_GB2312" w:eastAsia="仿宋_GB2312" w:hAnsi="仿宋_GB2312" w:cs="仿宋_GB2312"/>
          <w:bCs/>
          <w:color w:val="2A2F35"/>
          <w:kern w:val="0"/>
          <w:sz w:val="32"/>
          <w:szCs w:val="32"/>
        </w:rPr>
        <w:t>9</w:t>
      </w:r>
      <w:r>
        <w:rPr>
          <w:rFonts w:ascii="仿宋_GB2312" w:eastAsia="仿宋_GB2312" w:hAnsi="仿宋_GB2312" w:cs="仿宋_GB2312" w:hint="eastAsia"/>
          <w:bCs/>
          <w:color w:val="2A2F35"/>
          <w:kern w:val="0"/>
          <w:sz w:val="32"/>
          <w:szCs w:val="32"/>
        </w:rPr>
        <w:t>0分，计算时使用课程的首次考核成绩），前两学年综合测评成绩占</w:t>
      </w:r>
      <w:r>
        <w:rPr>
          <w:rFonts w:ascii="仿宋_GB2312" w:eastAsia="仿宋_GB2312" w:hAnsi="仿宋_GB2312" w:cs="仿宋_GB2312"/>
          <w:bCs/>
          <w:color w:val="2A2F35"/>
          <w:kern w:val="0"/>
          <w:sz w:val="32"/>
          <w:szCs w:val="32"/>
        </w:rPr>
        <w:t>1</w:t>
      </w:r>
      <w:r>
        <w:rPr>
          <w:rFonts w:ascii="仿宋_GB2312" w:eastAsia="仿宋_GB2312" w:hAnsi="仿宋_GB2312" w:cs="仿宋_GB2312" w:hint="eastAsia"/>
          <w:bCs/>
          <w:color w:val="2A2F35"/>
          <w:kern w:val="0"/>
          <w:sz w:val="32"/>
          <w:szCs w:val="32"/>
        </w:rPr>
        <w:t>0%（满分</w:t>
      </w:r>
      <w:r>
        <w:rPr>
          <w:rFonts w:ascii="仿宋_GB2312" w:eastAsia="仿宋_GB2312" w:hAnsi="仿宋_GB2312" w:cs="仿宋_GB2312"/>
          <w:bCs/>
          <w:color w:val="2A2F35"/>
          <w:kern w:val="0"/>
          <w:sz w:val="32"/>
          <w:szCs w:val="32"/>
        </w:rPr>
        <w:t>1</w:t>
      </w:r>
      <w:r>
        <w:rPr>
          <w:rFonts w:ascii="仿宋_GB2312" w:eastAsia="仿宋_GB2312" w:hAnsi="仿宋_GB2312" w:cs="仿宋_GB2312" w:hint="eastAsia"/>
          <w:bCs/>
          <w:color w:val="2A2F35"/>
          <w:kern w:val="0"/>
          <w:sz w:val="32"/>
          <w:szCs w:val="32"/>
        </w:rPr>
        <w:t>0分）</w:t>
      </w:r>
      <w:r>
        <w:rPr>
          <w:rFonts w:ascii="仿宋" w:eastAsia="仿宋" w:hAnsi="仿宋" w:hint="eastAsia"/>
          <w:sz w:val="32"/>
          <w:szCs w:val="32"/>
        </w:rPr>
        <w:t>。</w:t>
      </w:r>
      <w:r>
        <w:rPr>
          <w:rFonts w:ascii="仿宋_GB2312" w:eastAsia="仿宋_GB2312" w:hAnsi="仿宋_GB2312" w:cs="仿宋_GB2312" w:hint="eastAsia"/>
          <w:bCs/>
          <w:color w:val="2A2F35"/>
          <w:kern w:val="0"/>
          <w:sz w:val="32"/>
          <w:szCs w:val="32"/>
        </w:rPr>
        <w:t>各学院可根据学科专业实际情况提高入选标准。</w:t>
      </w:r>
      <w:bookmarkEnd w:id="9"/>
      <w:bookmarkEnd w:id="10"/>
      <w:bookmarkEnd w:id="11"/>
    </w:p>
    <w:p w14:paraId="309D5B85" w14:textId="77777777" w:rsidR="00AF16D4" w:rsidRDefault="00000000" w:rsidP="00667FE0">
      <w:pPr>
        <w:snapToGrid w:val="0"/>
        <w:spacing w:line="554" w:lineRule="exact"/>
        <w:ind w:firstLineChars="200" w:firstLine="643"/>
        <w:rPr>
          <w:rFonts w:ascii="仿宋_GB2312" w:eastAsia="仿宋_GB2312" w:hAnsi="仿宋_GB2312" w:cs="仿宋_GB2312" w:hint="eastAsia"/>
          <w:bCs/>
          <w:color w:val="2A2F35"/>
          <w:kern w:val="0"/>
          <w:sz w:val="32"/>
          <w:szCs w:val="32"/>
        </w:rPr>
      </w:pPr>
      <w:r>
        <w:rPr>
          <w:rFonts w:ascii="仿宋_GB2312" w:eastAsia="仿宋_GB2312" w:hAnsi="仿宋_GB2312" w:cs="仿宋_GB2312" w:hint="eastAsia"/>
          <w:b/>
          <w:color w:val="2A2F35"/>
          <w:kern w:val="0"/>
          <w:sz w:val="32"/>
          <w:szCs w:val="32"/>
        </w:rPr>
        <w:t xml:space="preserve">第七条 </w:t>
      </w:r>
      <w:r>
        <w:rPr>
          <w:rFonts w:ascii="仿宋_GB2312" w:eastAsia="仿宋_GB2312" w:hAnsi="仿宋_GB2312" w:cs="仿宋_GB2312" w:hint="eastAsia"/>
          <w:bCs/>
          <w:color w:val="2A2F35"/>
          <w:kern w:val="0"/>
          <w:sz w:val="32"/>
          <w:szCs w:val="32"/>
        </w:rPr>
        <w:t>本科第五学期初，招生</w:t>
      </w:r>
      <w:proofErr w:type="gramStart"/>
      <w:r>
        <w:rPr>
          <w:rFonts w:ascii="仿宋_GB2312" w:eastAsia="仿宋_GB2312" w:hAnsi="仿宋_GB2312" w:cs="仿宋_GB2312" w:hint="eastAsia"/>
          <w:bCs/>
          <w:color w:val="2A2F35"/>
          <w:kern w:val="0"/>
          <w:sz w:val="32"/>
          <w:szCs w:val="32"/>
        </w:rPr>
        <w:t>学院本硕一体化</w:t>
      </w:r>
      <w:proofErr w:type="gramEnd"/>
      <w:r>
        <w:rPr>
          <w:rFonts w:ascii="仿宋_GB2312" w:eastAsia="仿宋_GB2312" w:hAnsi="仿宋_GB2312" w:cs="仿宋_GB2312" w:hint="eastAsia"/>
          <w:bCs/>
          <w:color w:val="2A2F35"/>
          <w:kern w:val="0"/>
          <w:sz w:val="32"/>
          <w:szCs w:val="32"/>
        </w:rPr>
        <w:t>培养工作小组制定本</w:t>
      </w:r>
      <w:proofErr w:type="gramStart"/>
      <w:r>
        <w:rPr>
          <w:rFonts w:ascii="仿宋_GB2312" w:eastAsia="仿宋_GB2312" w:hAnsi="仿宋_GB2312" w:cs="仿宋_GB2312" w:hint="eastAsia"/>
          <w:bCs/>
          <w:color w:val="2A2F35"/>
          <w:kern w:val="0"/>
          <w:sz w:val="32"/>
          <w:szCs w:val="32"/>
        </w:rPr>
        <w:t>硕</w:t>
      </w:r>
      <w:proofErr w:type="gramEnd"/>
      <w:r>
        <w:rPr>
          <w:rFonts w:ascii="仿宋_GB2312" w:eastAsia="仿宋_GB2312" w:hAnsi="仿宋_GB2312" w:cs="仿宋_GB2312" w:hint="eastAsia"/>
          <w:bCs/>
          <w:color w:val="2A2F35"/>
          <w:kern w:val="0"/>
          <w:sz w:val="32"/>
          <w:szCs w:val="32"/>
        </w:rPr>
        <w:t>一体化培育学生选拔方案，符合培育选拔条件的本科生与导师双向选择后提交参加培育申请，学院选拔确定培育名单。导师为培育学生安排科研训练项目，明确项目任务。培育学生的科研训练项目纳入创新创业学院统一管理。</w:t>
      </w:r>
    </w:p>
    <w:p w14:paraId="1FCCCF24" w14:textId="77777777" w:rsidR="00AF16D4" w:rsidRDefault="00000000" w:rsidP="00667FE0">
      <w:pPr>
        <w:snapToGrid w:val="0"/>
        <w:spacing w:line="554" w:lineRule="exact"/>
        <w:ind w:firstLineChars="200" w:firstLine="640"/>
        <w:rPr>
          <w:rFonts w:ascii="仿宋_GB2312" w:eastAsia="仿宋_GB2312" w:hAnsi="仿宋_GB2312" w:cs="仿宋_GB2312" w:hint="eastAsia"/>
          <w:bCs/>
          <w:color w:val="2A2F35"/>
          <w:kern w:val="0"/>
          <w:sz w:val="32"/>
          <w:szCs w:val="32"/>
        </w:rPr>
      </w:pPr>
      <w:r>
        <w:rPr>
          <w:rFonts w:ascii="仿宋_GB2312" w:eastAsia="仿宋_GB2312" w:hAnsi="仿宋_GB2312" w:cs="仿宋_GB2312" w:hint="eastAsia"/>
          <w:bCs/>
          <w:color w:val="2A2F35"/>
          <w:kern w:val="0"/>
          <w:sz w:val="32"/>
          <w:szCs w:val="32"/>
        </w:rPr>
        <w:lastRenderedPageBreak/>
        <w:t>入选本</w:t>
      </w:r>
      <w:proofErr w:type="gramStart"/>
      <w:r>
        <w:rPr>
          <w:rFonts w:ascii="仿宋_GB2312" w:eastAsia="仿宋_GB2312" w:hAnsi="仿宋_GB2312" w:cs="仿宋_GB2312" w:hint="eastAsia"/>
          <w:bCs/>
          <w:color w:val="2A2F35"/>
          <w:kern w:val="0"/>
          <w:sz w:val="32"/>
          <w:szCs w:val="32"/>
        </w:rPr>
        <w:t>硕</w:t>
      </w:r>
      <w:proofErr w:type="gramEnd"/>
      <w:r>
        <w:rPr>
          <w:rFonts w:ascii="仿宋_GB2312" w:eastAsia="仿宋_GB2312" w:hAnsi="仿宋_GB2312" w:cs="仿宋_GB2312" w:hint="eastAsia"/>
          <w:bCs/>
          <w:color w:val="2A2F35"/>
          <w:kern w:val="0"/>
          <w:sz w:val="32"/>
          <w:szCs w:val="32"/>
        </w:rPr>
        <w:t>一体化培育的学生名单经学院公示无异议后，报教务部（创新创业学院）备案。</w:t>
      </w:r>
    </w:p>
    <w:p w14:paraId="0F33590B" w14:textId="77777777" w:rsidR="00AF16D4" w:rsidRDefault="00000000" w:rsidP="00667FE0">
      <w:pPr>
        <w:snapToGrid w:val="0"/>
        <w:spacing w:line="554" w:lineRule="exact"/>
        <w:ind w:firstLineChars="200" w:firstLine="643"/>
        <w:rPr>
          <w:rFonts w:ascii="仿宋_GB2312" w:eastAsia="仿宋_GB2312" w:hAnsi="仿宋_GB2312" w:cs="仿宋_GB2312" w:hint="eastAsia"/>
          <w:bCs/>
          <w:color w:val="2A2F35"/>
          <w:kern w:val="0"/>
          <w:sz w:val="32"/>
          <w:szCs w:val="32"/>
        </w:rPr>
      </w:pPr>
      <w:r>
        <w:rPr>
          <w:rFonts w:ascii="仿宋_GB2312" w:eastAsia="仿宋_GB2312" w:hAnsi="仿宋_GB2312" w:cs="仿宋_GB2312" w:hint="eastAsia"/>
          <w:b/>
          <w:color w:val="2A2F35"/>
          <w:kern w:val="0"/>
          <w:sz w:val="32"/>
          <w:szCs w:val="32"/>
        </w:rPr>
        <w:t xml:space="preserve">第八条 </w:t>
      </w:r>
      <w:r>
        <w:rPr>
          <w:rFonts w:ascii="仿宋_GB2312" w:eastAsia="仿宋_GB2312" w:hAnsi="仿宋_GB2312" w:cs="仿宋_GB2312" w:hint="eastAsia"/>
          <w:bCs/>
          <w:color w:val="2A2F35"/>
          <w:kern w:val="0"/>
          <w:sz w:val="32"/>
          <w:szCs w:val="32"/>
        </w:rPr>
        <w:t>本科第七学期前，学院按学科专业成立考核小组，考核小组由不少于5名硕士生导师或副高级以上职称专家组成，对</w:t>
      </w:r>
      <w:proofErr w:type="gramStart"/>
      <w:r>
        <w:rPr>
          <w:rFonts w:ascii="仿宋_GB2312" w:eastAsia="仿宋_GB2312" w:hAnsi="仿宋_GB2312" w:cs="仿宋_GB2312" w:hint="eastAsia"/>
          <w:bCs/>
          <w:color w:val="2A2F35"/>
          <w:kern w:val="0"/>
          <w:sz w:val="32"/>
          <w:szCs w:val="32"/>
        </w:rPr>
        <w:t>参加本硕一体化</w:t>
      </w:r>
      <w:bookmarkStart w:id="12" w:name="_Hlk213922701"/>
      <w:proofErr w:type="gramEnd"/>
      <w:r>
        <w:rPr>
          <w:rFonts w:ascii="仿宋_GB2312" w:eastAsia="仿宋_GB2312" w:hAnsi="仿宋_GB2312" w:cs="仿宋_GB2312" w:hint="eastAsia"/>
          <w:bCs/>
          <w:color w:val="2A2F35"/>
          <w:kern w:val="0"/>
          <w:sz w:val="32"/>
          <w:szCs w:val="32"/>
        </w:rPr>
        <w:t>培育</w:t>
      </w:r>
      <w:bookmarkEnd w:id="12"/>
      <w:r>
        <w:rPr>
          <w:rFonts w:ascii="仿宋_GB2312" w:eastAsia="仿宋_GB2312" w:hAnsi="仿宋_GB2312" w:cs="仿宋_GB2312" w:hint="eastAsia"/>
          <w:bCs/>
          <w:color w:val="2A2F35"/>
          <w:kern w:val="0"/>
          <w:sz w:val="32"/>
          <w:szCs w:val="32"/>
        </w:rPr>
        <w:t>科研训练的学生做出公正、全面的考核。</w:t>
      </w:r>
    </w:p>
    <w:p w14:paraId="3FEBC0FB" w14:textId="77777777" w:rsidR="00AF16D4" w:rsidRDefault="00000000" w:rsidP="00667FE0">
      <w:pPr>
        <w:snapToGrid w:val="0"/>
        <w:spacing w:line="554" w:lineRule="exact"/>
        <w:ind w:firstLineChars="200" w:firstLine="640"/>
        <w:rPr>
          <w:rFonts w:ascii="仿宋_GB2312" w:eastAsia="仿宋_GB2312" w:hAnsi="仿宋_GB2312" w:cs="仿宋_GB2312" w:hint="eastAsia"/>
          <w:bCs/>
          <w:color w:val="2A2F35"/>
          <w:kern w:val="0"/>
          <w:sz w:val="32"/>
          <w:szCs w:val="32"/>
        </w:rPr>
      </w:pPr>
      <w:bookmarkStart w:id="13" w:name="OLE_LINK5"/>
      <w:proofErr w:type="gramStart"/>
      <w:r>
        <w:rPr>
          <w:rFonts w:ascii="仿宋_GB2312" w:eastAsia="仿宋_GB2312" w:hAnsi="仿宋_GB2312" w:cs="仿宋_GB2312" w:hint="eastAsia"/>
          <w:bCs/>
          <w:color w:val="2A2F35"/>
          <w:kern w:val="0"/>
          <w:sz w:val="32"/>
          <w:szCs w:val="32"/>
        </w:rPr>
        <w:t>本硕一体化</w:t>
      </w:r>
      <w:proofErr w:type="gramEnd"/>
      <w:r>
        <w:rPr>
          <w:rFonts w:ascii="仿宋_GB2312" w:eastAsia="仿宋_GB2312" w:hAnsi="仿宋_GB2312" w:cs="仿宋_GB2312" w:hint="eastAsia"/>
          <w:bCs/>
          <w:color w:val="2A2F35"/>
          <w:kern w:val="0"/>
          <w:sz w:val="32"/>
          <w:szCs w:val="32"/>
        </w:rPr>
        <w:t>培育科研训练考核结果</w:t>
      </w:r>
      <w:bookmarkEnd w:id="13"/>
      <w:r>
        <w:rPr>
          <w:rFonts w:ascii="仿宋_GB2312" w:eastAsia="仿宋_GB2312" w:hAnsi="仿宋_GB2312" w:cs="仿宋_GB2312" w:hint="eastAsia"/>
          <w:bCs/>
          <w:color w:val="2A2F35"/>
          <w:kern w:val="0"/>
          <w:sz w:val="32"/>
          <w:szCs w:val="32"/>
        </w:rPr>
        <w:t>经学院公示无异议后，报教务部（创新创业学院）备案。</w:t>
      </w:r>
    </w:p>
    <w:p w14:paraId="525729AF" w14:textId="77777777" w:rsidR="00AF16D4" w:rsidRDefault="00000000" w:rsidP="00667FE0">
      <w:pPr>
        <w:snapToGrid w:val="0"/>
        <w:spacing w:line="554" w:lineRule="exact"/>
        <w:ind w:firstLineChars="200" w:firstLine="643"/>
        <w:rPr>
          <w:rFonts w:ascii="仿宋_GB2312" w:eastAsia="仿宋_GB2312" w:hAnsi="仿宋_GB2312" w:cs="仿宋_GB2312" w:hint="eastAsia"/>
          <w:bCs/>
          <w:color w:val="2A2F35"/>
          <w:kern w:val="0"/>
          <w:sz w:val="32"/>
          <w:szCs w:val="32"/>
        </w:rPr>
      </w:pPr>
      <w:r>
        <w:rPr>
          <w:rFonts w:ascii="仿宋_GB2312" w:eastAsia="仿宋_GB2312" w:hAnsi="仿宋_GB2312" w:cs="仿宋_GB2312" w:hint="eastAsia"/>
          <w:b/>
          <w:color w:val="2A2F35"/>
          <w:kern w:val="0"/>
          <w:sz w:val="32"/>
          <w:szCs w:val="32"/>
        </w:rPr>
        <w:t xml:space="preserve">第九条 </w:t>
      </w:r>
      <w:r>
        <w:rPr>
          <w:rFonts w:ascii="仿宋_GB2312" w:eastAsia="仿宋_GB2312" w:hAnsi="仿宋_GB2312" w:cs="仿宋_GB2312" w:hint="eastAsia"/>
          <w:bCs/>
          <w:color w:val="2A2F35"/>
          <w:kern w:val="0"/>
          <w:sz w:val="32"/>
          <w:szCs w:val="32"/>
        </w:rPr>
        <w:t>各学院应定期了解学生的培育情况，通过开设跨学科专题讲座、组织参加学术竞赛、开展研究成果交流等活动，拓展培育学生视野，加强学科专业交叉培养，培养学术志趣、实践创新能力。</w:t>
      </w:r>
    </w:p>
    <w:p w14:paraId="74E709DE" w14:textId="77777777" w:rsidR="00AF16D4" w:rsidRDefault="00000000" w:rsidP="00667FE0">
      <w:pPr>
        <w:snapToGrid w:val="0"/>
        <w:spacing w:line="554" w:lineRule="exact"/>
        <w:jc w:val="center"/>
        <w:rPr>
          <w:rFonts w:ascii="黑体" w:eastAsia="黑体" w:hAnsi="黑体" w:cs="仿宋_GB2312" w:hint="eastAsia"/>
          <w:bCs/>
          <w:color w:val="2A2F35"/>
          <w:kern w:val="0"/>
          <w:sz w:val="32"/>
          <w:szCs w:val="32"/>
        </w:rPr>
      </w:pPr>
      <w:r>
        <w:rPr>
          <w:rFonts w:ascii="黑体" w:eastAsia="黑体" w:hAnsi="黑体" w:cs="仿宋_GB2312" w:hint="eastAsia"/>
          <w:bCs/>
          <w:color w:val="2A2F35"/>
          <w:kern w:val="0"/>
          <w:sz w:val="32"/>
          <w:szCs w:val="32"/>
        </w:rPr>
        <w:t>第四章 选拔</w:t>
      </w:r>
    </w:p>
    <w:p w14:paraId="5E728E0C" w14:textId="77777777" w:rsidR="00AF16D4" w:rsidRDefault="00000000" w:rsidP="00667FE0">
      <w:pPr>
        <w:snapToGrid w:val="0"/>
        <w:spacing w:line="554" w:lineRule="exact"/>
        <w:ind w:firstLineChars="200" w:firstLine="643"/>
        <w:rPr>
          <w:rFonts w:ascii="仿宋_GB2312" w:eastAsia="仿宋_GB2312" w:hAnsi="仿宋_GB2312" w:cs="仿宋_GB2312" w:hint="eastAsia"/>
          <w:bCs/>
          <w:color w:val="2A2F35"/>
          <w:kern w:val="0"/>
          <w:sz w:val="32"/>
          <w:szCs w:val="32"/>
        </w:rPr>
      </w:pPr>
      <w:r>
        <w:rPr>
          <w:rFonts w:ascii="仿宋_GB2312" w:eastAsia="仿宋_GB2312" w:hAnsi="仿宋_GB2312" w:cs="仿宋_GB2312" w:hint="eastAsia"/>
          <w:b/>
          <w:color w:val="2A2F35"/>
          <w:kern w:val="0"/>
          <w:sz w:val="32"/>
          <w:szCs w:val="32"/>
        </w:rPr>
        <w:t>第十条</w:t>
      </w:r>
      <w:r>
        <w:rPr>
          <w:rFonts w:ascii="仿宋_GB2312" w:eastAsia="仿宋_GB2312" w:hAnsi="仿宋_GB2312" w:cs="仿宋_GB2312"/>
          <w:b/>
          <w:color w:val="2A2F35"/>
          <w:kern w:val="0"/>
          <w:sz w:val="32"/>
          <w:szCs w:val="32"/>
        </w:rPr>
        <w:t xml:space="preserve"> </w:t>
      </w:r>
      <w:bookmarkStart w:id="14" w:name="OLE_LINK30"/>
      <w:bookmarkStart w:id="15" w:name="OLE_LINK31"/>
      <w:r>
        <w:rPr>
          <w:rFonts w:ascii="仿宋_GB2312" w:eastAsia="仿宋_GB2312" w:hAnsi="仿宋_GB2312" w:cs="仿宋_GB2312" w:hint="eastAsia"/>
          <w:bCs/>
          <w:color w:val="2A2F35"/>
          <w:kern w:val="0"/>
          <w:sz w:val="32"/>
          <w:szCs w:val="32"/>
        </w:rPr>
        <w:t>本科第七学期前，招生</w:t>
      </w:r>
      <w:proofErr w:type="gramStart"/>
      <w:r>
        <w:rPr>
          <w:rFonts w:ascii="仿宋_GB2312" w:eastAsia="仿宋_GB2312" w:hAnsi="仿宋_GB2312" w:cs="仿宋_GB2312" w:hint="eastAsia"/>
          <w:bCs/>
          <w:color w:val="2A2F35"/>
          <w:kern w:val="0"/>
          <w:sz w:val="32"/>
          <w:szCs w:val="32"/>
        </w:rPr>
        <w:t>学院本硕一体化</w:t>
      </w:r>
      <w:proofErr w:type="gramEnd"/>
      <w:r>
        <w:rPr>
          <w:rFonts w:ascii="仿宋_GB2312" w:eastAsia="仿宋_GB2312" w:hAnsi="仿宋_GB2312" w:cs="仿宋_GB2312" w:hint="eastAsia"/>
          <w:bCs/>
          <w:color w:val="2A2F35"/>
          <w:kern w:val="0"/>
          <w:sz w:val="32"/>
          <w:szCs w:val="32"/>
        </w:rPr>
        <w:t>培养工作小组制定本</w:t>
      </w:r>
      <w:proofErr w:type="gramStart"/>
      <w:r>
        <w:rPr>
          <w:rFonts w:ascii="仿宋_GB2312" w:eastAsia="仿宋_GB2312" w:hAnsi="仿宋_GB2312" w:cs="仿宋_GB2312" w:hint="eastAsia"/>
          <w:bCs/>
          <w:color w:val="2A2F35"/>
          <w:kern w:val="0"/>
          <w:sz w:val="32"/>
          <w:szCs w:val="32"/>
        </w:rPr>
        <w:t>硕</w:t>
      </w:r>
      <w:proofErr w:type="gramEnd"/>
      <w:r>
        <w:rPr>
          <w:rFonts w:ascii="仿宋_GB2312" w:eastAsia="仿宋_GB2312" w:hAnsi="仿宋_GB2312" w:cs="仿宋_GB2312" w:hint="eastAsia"/>
          <w:bCs/>
          <w:color w:val="2A2F35"/>
          <w:kern w:val="0"/>
          <w:sz w:val="32"/>
          <w:szCs w:val="32"/>
        </w:rPr>
        <w:t>一体化培养学生选拔方案，</w:t>
      </w:r>
      <w:bookmarkStart w:id="16" w:name="OLE_LINK15"/>
      <w:r>
        <w:rPr>
          <w:rFonts w:ascii="仿宋_GB2312" w:eastAsia="仿宋_GB2312" w:hAnsi="仿宋_GB2312" w:cs="仿宋_GB2312" w:hint="eastAsia"/>
          <w:bCs/>
          <w:color w:val="2A2F35"/>
          <w:kern w:val="0"/>
          <w:sz w:val="32"/>
          <w:szCs w:val="32"/>
        </w:rPr>
        <w:t>明确选拔对象、选拔程序、录取办法等。选拔工作与校区推荐免试研究生工作同步进行，执行相同的综合成绩计算方法，在专业推荐免试研究生名额范围内，从已</w:t>
      </w:r>
      <w:proofErr w:type="gramStart"/>
      <w:r>
        <w:rPr>
          <w:rFonts w:ascii="仿宋_GB2312" w:eastAsia="仿宋_GB2312" w:hAnsi="仿宋_GB2312" w:cs="仿宋_GB2312" w:hint="eastAsia"/>
          <w:bCs/>
          <w:color w:val="2A2F35"/>
          <w:kern w:val="0"/>
          <w:sz w:val="32"/>
          <w:szCs w:val="32"/>
        </w:rPr>
        <w:t>通过本硕一体化</w:t>
      </w:r>
      <w:proofErr w:type="gramEnd"/>
      <w:r>
        <w:rPr>
          <w:rFonts w:ascii="仿宋_GB2312" w:eastAsia="仿宋_GB2312" w:hAnsi="仿宋_GB2312" w:cs="仿宋_GB2312" w:hint="eastAsia"/>
          <w:bCs/>
          <w:color w:val="2A2F35"/>
          <w:kern w:val="0"/>
          <w:sz w:val="32"/>
          <w:szCs w:val="32"/>
        </w:rPr>
        <w:t>培育科研训练考核的学生中，依据专业综合成绩排名百分比择优推荐符合校区推荐免试研究生条件、具有突出创新潜力的本科生，</w:t>
      </w:r>
      <w:proofErr w:type="gramStart"/>
      <w:r>
        <w:rPr>
          <w:rFonts w:ascii="仿宋_GB2312" w:eastAsia="仿宋_GB2312" w:hAnsi="仿宋_GB2312" w:cs="仿宋_GB2312" w:hint="eastAsia"/>
          <w:bCs/>
          <w:color w:val="2A2F35"/>
          <w:kern w:val="0"/>
          <w:sz w:val="32"/>
          <w:szCs w:val="32"/>
        </w:rPr>
        <w:t>进入本硕一体化</w:t>
      </w:r>
      <w:proofErr w:type="gramEnd"/>
      <w:r>
        <w:rPr>
          <w:rFonts w:ascii="仿宋_GB2312" w:eastAsia="仿宋_GB2312" w:hAnsi="仿宋_GB2312" w:cs="仿宋_GB2312" w:hint="eastAsia"/>
          <w:bCs/>
          <w:color w:val="2A2F35"/>
          <w:kern w:val="0"/>
          <w:sz w:val="32"/>
          <w:szCs w:val="32"/>
        </w:rPr>
        <w:t>培养阶段。</w:t>
      </w:r>
      <w:bookmarkEnd w:id="14"/>
      <w:bookmarkEnd w:id="15"/>
      <w:bookmarkEnd w:id="16"/>
    </w:p>
    <w:p w14:paraId="6BC03AB3" w14:textId="77777777" w:rsidR="00AF16D4" w:rsidRDefault="00000000" w:rsidP="00667FE0">
      <w:pPr>
        <w:snapToGrid w:val="0"/>
        <w:spacing w:line="554" w:lineRule="exact"/>
        <w:ind w:firstLineChars="200" w:firstLine="643"/>
        <w:rPr>
          <w:rFonts w:ascii="仿宋_GB2312" w:eastAsia="仿宋_GB2312" w:hAnsi="仿宋_GB2312" w:cs="仿宋_GB2312" w:hint="eastAsia"/>
          <w:bCs/>
          <w:color w:val="2A2F35"/>
          <w:kern w:val="0"/>
          <w:sz w:val="32"/>
          <w:szCs w:val="32"/>
        </w:rPr>
      </w:pPr>
      <w:r>
        <w:rPr>
          <w:rFonts w:ascii="仿宋_GB2312" w:eastAsia="仿宋_GB2312" w:hAnsi="仿宋_GB2312" w:cs="仿宋_GB2312" w:hint="eastAsia"/>
          <w:b/>
          <w:bCs/>
          <w:color w:val="2A2F35"/>
          <w:kern w:val="0"/>
          <w:sz w:val="32"/>
          <w:szCs w:val="32"/>
        </w:rPr>
        <w:t xml:space="preserve">第十一条 </w:t>
      </w:r>
      <w:r>
        <w:rPr>
          <w:rFonts w:ascii="仿宋_GB2312" w:eastAsia="仿宋_GB2312" w:hAnsi="仿宋_GB2312" w:cs="仿宋_GB2312" w:hint="eastAsia"/>
          <w:color w:val="2A2F35"/>
          <w:kern w:val="0"/>
          <w:sz w:val="32"/>
          <w:szCs w:val="32"/>
        </w:rPr>
        <w:t>学院</w:t>
      </w:r>
      <w:r>
        <w:rPr>
          <w:rFonts w:ascii="仿宋_GB2312" w:eastAsia="仿宋_GB2312" w:hAnsi="仿宋_GB2312" w:cs="仿宋_GB2312" w:hint="eastAsia"/>
          <w:bCs/>
          <w:color w:val="2A2F35"/>
          <w:kern w:val="0"/>
          <w:sz w:val="32"/>
          <w:szCs w:val="32"/>
        </w:rPr>
        <w:t>选拔</w:t>
      </w:r>
      <w:proofErr w:type="gramStart"/>
      <w:r>
        <w:rPr>
          <w:rFonts w:ascii="仿宋_GB2312" w:eastAsia="仿宋_GB2312" w:hAnsi="仿宋_GB2312" w:cs="仿宋_GB2312" w:hint="eastAsia"/>
          <w:bCs/>
          <w:color w:val="2A2F35"/>
          <w:kern w:val="0"/>
          <w:sz w:val="32"/>
          <w:szCs w:val="32"/>
        </w:rPr>
        <w:t>的本硕一体化</w:t>
      </w:r>
      <w:proofErr w:type="gramEnd"/>
      <w:r>
        <w:rPr>
          <w:rFonts w:ascii="仿宋_GB2312" w:eastAsia="仿宋_GB2312" w:hAnsi="仿宋_GB2312" w:cs="仿宋_GB2312" w:hint="eastAsia"/>
          <w:bCs/>
          <w:color w:val="2A2F35"/>
          <w:kern w:val="0"/>
          <w:sz w:val="32"/>
          <w:szCs w:val="32"/>
        </w:rPr>
        <w:t>培养学生建议名单报送教务部、研究生部</w:t>
      </w:r>
      <w:proofErr w:type="gramStart"/>
      <w:r>
        <w:rPr>
          <w:rFonts w:ascii="仿宋_GB2312" w:eastAsia="仿宋_GB2312" w:hAnsi="仿宋_GB2312" w:cs="仿宋_GB2312" w:hint="eastAsia"/>
          <w:bCs/>
          <w:color w:val="2A2F35"/>
          <w:kern w:val="0"/>
          <w:sz w:val="32"/>
          <w:szCs w:val="32"/>
        </w:rPr>
        <w:t>和推免工作</w:t>
      </w:r>
      <w:proofErr w:type="gramEnd"/>
      <w:r>
        <w:rPr>
          <w:rFonts w:ascii="仿宋_GB2312" w:eastAsia="仿宋_GB2312" w:hAnsi="仿宋_GB2312" w:cs="仿宋_GB2312" w:hint="eastAsia"/>
          <w:bCs/>
          <w:color w:val="2A2F35"/>
          <w:kern w:val="0"/>
          <w:sz w:val="32"/>
          <w:szCs w:val="32"/>
        </w:rPr>
        <w:t>领导小组进行复核，复核通过后由研究生部统一</w:t>
      </w:r>
      <w:proofErr w:type="gramStart"/>
      <w:r>
        <w:rPr>
          <w:rFonts w:ascii="仿宋_GB2312" w:eastAsia="仿宋_GB2312" w:hAnsi="仿宋_GB2312" w:cs="仿宋_GB2312" w:hint="eastAsia"/>
          <w:bCs/>
          <w:color w:val="2A2F35"/>
          <w:kern w:val="0"/>
          <w:sz w:val="32"/>
          <w:szCs w:val="32"/>
        </w:rPr>
        <w:t>公布本硕一体化</w:t>
      </w:r>
      <w:proofErr w:type="gramEnd"/>
      <w:r>
        <w:rPr>
          <w:rFonts w:ascii="仿宋_GB2312" w:eastAsia="仿宋_GB2312" w:hAnsi="仿宋_GB2312" w:cs="仿宋_GB2312" w:hint="eastAsia"/>
          <w:bCs/>
          <w:color w:val="2A2F35"/>
          <w:kern w:val="0"/>
          <w:sz w:val="32"/>
          <w:szCs w:val="32"/>
        </w:rPr>
        <w:t>培养学生名单。</w:t>
      </w:r>
    </w:p>
    <w:p w14:paraId="4898C4C9" w14:textId="77777777" w:rsidR="00AF16D4" w:rsidRDefault="00000000" w:rsidP="00667FE0">
      <w:pPr>
        <w:spacing w:line="554" w:lineRule="exact"/>
        <w:ind w:firstLineChars="200" w:firstLine="643"/>
        <w:rPr>
          <w:rFonts w:ascii="仿宋_GB2312" w:eastAsia="仿宋_GB2312" w:hAnsi="仿宋_GB2312" w:cs="仿宋_GB2312" w:hint="eastAsia"/>
          <w:color w:val="2A2F35"/>
          <w:kern w:val="0"/>
          <w:sz w:val="32"/>
          <w:szCs w:val="32"/>
        </w:rPr>
      </w:pPr>
      <w:r>
        <w:rPr>
          <w:rFonts w:ascii="仿宋_GB2312" w:eastAsia="仿宋_GB2312" w:hAnsi="仿宋_GB2312" w:cs="仿宋_GB2312" w:hint="eastAsia"/>
          <w:b/>
          <w:color w:val="2A2F35"/>
          <w:kern w:val="0"/>
          <w:sz w:val="32"/>
          <w:szCs w:val="32"/>
        </w:rPr>
        <w:t>第十二条</w:t>
      </w:r>
      <w:r>
        <w:rPr>
          <w:rFonts w:ascii="仿宋_GB2312" w:eastAsia="仿宋_GB2312" w:hAnsi="仿宋_GB2312" w:cs="仿宋_GB2312" w:hint="eastAsia"/>
          <w:bCs/>
          <w:color w:val="2A2F35"/>
          <w:kern w:val="0"/>
          <w:sz w:val="32"/>
          <w:szCs w:val="32"/>
        </w:rPr>
        <w:t xml:space="preserve"> </w:t>
      </w:r>
      <w:bookmarkStart w:id="17" w:name="_Hlk211944285"/>
      <w:r>
        <w:rPr>
          <w:rFonts w:ascii="仿宋_GB2312" w:eastAsia="仿宋_GB2312" w:hAnsi="仿宋_GB2312" w:cs="仿宋_GB2312" w:hint="eastAsia"/>
          <w:color w:val="2A2F35"/>
          <w:kern w:val="0"/>
          <w:sz w:val="32"/>
          <w:szCs w:val="32"/>
        </w:rPr>
        <w:t>入选本</w:t>
      </w:r>
      <w:proofErr w:type="gramStart"/>
      <w:r>
        <w:rPr>
          <w:rFonts w:ascii="仿宋_GB2312" w:eastAsia="仿宋_GB2312" w:hAnsi="仿宋_GB2312" w:cs="仿宋_GB2312" w:hint="eastAsia"/>
          <w:color w:val="2A2F35"/>
          <w:kern w:val="0"/>
          <w:sz w:val="32"/>
          <w:szCs w:val="32"/>
        </w:rPr>
        <w:t>硕</w:t>
      </w:r>
      <w:proofErr w:type="gramEnd"/>
      <w:r>
        <w:rPr>
          <w:rFonts w:ascii="仿宋_GB2312" w:eastAsia="仿宋_GB2312" w:hAnsi="仿宋_GB2312" w:cs="仿宋_GB2312" w:hint="eastAsia"/>
          <w:color w:val="2A2F35"/>
          <w:kern w:val="0"/>
          <w:sz w:val="32"/>
          <w:szCs w:val="32"/>
        </w:rPr>
        <w:t>一体化培养的学生，自动获得推荐免试</w:t>
      </w:r>
      <w:r>
        <w:rPr>
          <w:rFonts w:ascii="仿宋_GB2312" w:eastAsia="仿宋_GB2312" w:hAnsi="仿宋_GB2312" w:cs="仿宋_GB2312" w:hint="eastAsia"/>
          <w:color w:val="2A2F35"/>
          <w:kern w:val="0"/>
          <w:sz w:val="32"/>
          <w:szCs w:val="32"/>
        </w:rPr>
        <w:lastRenderedPageBreak/>
        <w:t>研究生资格。入选本</w:t>
      </w:r>
      <w:proofErr w:type="gramStart"/>
      <w:r>
        <w:rPr>
          <w:rFonts w:ascii="仿宋_GB2312" w:eastAsia="仿宋_GB2312" w:hAnsi="仿宋_GB2312" w:cs="仿宋_GB2312" w:hint="eastAsia"/>
          <w:color w:val="2A2F35"/>
          <w:kern w:val="0"/>
          <w:sz w:val="32"/>
          <w:szCs w:val="32"/>
        </w:rPr>
        <w:t>硕</w:t>
      </w:r>
      <w:proofErr w:type="gramEnd"/>
      <w:r>
        <w:rPr>
          <w:rFonts w:ascii="仿宋_GB2312" w:eastAsia="仿宋_GB2312" w:hAnsi="仿宋_GB2312" w:cs="仿宋_GB2312" w:hint="eastAsia"/>
          <w:color w:val="2A2F35"/>
          <w:kern w:val="0"/>
          <w:sz w:val="32"/>
          <w:szCs w:val="32"/>
        </w:rPr>
        <w:t>一体化培养的学生，</w:t>
      </w:r>
      <w:proofErr w:type="gramStart"/>
      <w:r>
        <w:rPr>
          <w:rFonts w:ascii="仿宋_GB2312" w:eastAsia="仿宋_GB2312" w:hAnsi="仿宋_GB2312" w:cs="仿宋_GB2312" w:hint="eastAsia"/>
          <w:color w:val="2A2F35"/>
          <w:kern w:val="0"/>
          <w:sz w:val="32"/>
          <w:szCs w:val="32"/>
        </w:rPr>
        <w:t>放弃本硕一体化</w:t>
      </w:r>
      <w:proofErr w:type="gramEnd"/>
      <w:r>
        <w:rPr>
          <w:rFonts w:ascii="仿宋_GB2312" w:eastAsia="仿宋_GB2312" w:hAnsi="仿宋_GB2312" w:cs="仿宋_GB2312" w:hint="eastAsia"/>
          <w:color w:val="2A2F35"/>
          <w:kern w:val="0"/>
          <w:sz w:val="32"/>
          <w:szCs w:val="32"/>
        </w:rPr>
        <w:t>培养资格的，其推荐免试研究生资格自动取消。</w:t>
      </w:r>
      <w:bookmarkEnd w:id="17"/>
      <w:r>
        <w:rPr>
          <w:rFonts w:ascii="仿宋_GB2312" w:eastAsia="仿宋_GB2312" w:hAnsi="仿宋_GB2312" w:cs="仿宋_GB2312" w:hint="eastAsia"/>
          <w:color w:val="2A2F35"/>
          <w:kern w:val="0"/>
          <w:sz w:val="32"/>
          <w:szCs w:val="32"/>
        </w:rPr>
        <w:t>入选本</w:t>
      </w:r>
      <w:proofErr w:type="gramStart"/>
      <w:r>
        <w:rPr>
          <w:rFonts w:ascii="仿宋_GB2312" w:eastAsia="仿宋_GB2312" w:hAnsi="仿宋_GB2312" w:cs="仿宋_GB2312" w:hint="eastAsia"/>
          <w:color w:val="2A2F35"/>
          <w:kern w:val="0"/>
          <w:sz w:val="32"/>
          <w:szCs w:val="32"/>
        </w:rPr>
        <w:t>硕</w:t>
      </w:r>
      <w:proofErr w:type="gramEnd"/>
      <w:r>
        <w:rPr>
          <w:rFonts w:ascii="仿宋_GB2312" w:eastAsia="仿宋_GB2312" w:hAnsi="仿宋_GB2312" w:cs="仿宋_GB2312" w:hint="eastAsia"/>
          <w:color w:val="2A2F35"/>
          <w:kern w:val="0"/>
          <w:sz w:val="32"/>
          <w:szCs w:val="32"/>
        </w:rPr>
        <w:t>一体化培育但放弃或未入选培养的学生，继续按所在本科专业培养方案培养。</w:t>
      </w:r>
    </w:p>
    <w:p w14:paraId="27C23241" w14:textId="77777777" w:rsidR="00AF16D4" w:rsidRDefault="00000000" w:rsidP="00667FE0">
      <w:pPr>
        <w:snapToGrid w:val="0"/>
        <w:spacing w:line="554" w:lineRule="exact"/>
        <w:jc w:val="center"/>
        <w:rPr>
          <w:rFonts w:ascii="黑体" w:eastAsia="黑体" w:hAnsi="黑体" w:cs="黑体" w:hint="eastAsia"/>
          <w:color w:val="2A2F35"/>
          <w:kern w:val="0"/>
          <w:sz w:val="32"/>
          <w:szCs w:val="32"/>
        </w:rPr>
      </w:pPr>
      <w:r>
        <w:rPr>
          <w:rFonts w:ascii="黑体" w:eastAsia="黑体" w:hAnsi="黑体" w:cs="黑体" w:hint="eastAsia"/>
          <w:color w:val="2A2F35"/>
          <w:kern w:val="0"/>
          <w:sz w:val="32"/>
          <w:szCs w:val="32"/>
        </w:rPr>
        <w:t>第五章 培养</w:t>
      </w:r>
    </w:p>
    <w:p w14:paraId="600EBC48" w14:textId="77777777" w:rsidR="00AF16D4" w:rsidRDefault="00000000" w:rsidP="00667FE0">
      <w:pPr>
        <w:snapToGrid w:val="0"/>
        <w:spacing w:line="554" w:lineRule="exact"/>
        <w:ind w:firstLineChars="200" w:firstLine="643"/>
        <w:rPr>
          <w:rFonts w:ascii="仿宋_GB2312" w:eastAsia="仿宋_GB2312" w:hAnsi="仿宋_GB2312" w:cs="仿宋_GB2312" w:hint="eastAsia"/>
          <w:color w:val="2A2F35"/>
          <w:kern w:val="0"/>
          <w:sz w:val="32"/>
          <w:szCs w:val="32"/>
        </w:rPr>
      </w:pPr>
      <w:r>
        <w:rPr>
          <w:rFonts w:ascii="仿宋_GB2312" w:eastAsia="仿宋_GB2312" w:hAnsi="仿宋_GB2312" w:cs="仿宋_GB2312" w:hint="eastAsia"/>
          <w:b/>
          <w:kern w:val="0"/>
          <w:sz w:val="32"/>
          <w:szCs w:val="32"/>
        </w:rPr>
        <w:t>第十三条</w:t>
      </w:r>
      <w:r>
        <w:rPr>
          <w:rFonts w:ascii="仿宋_GB2312" w:eastAsia="仿宋_GB2312" w:hAnsi="仿宋_GB2312" w:cs="仿宋_GB2312" w:hint="eastAsia"/>
          <w:bCs/>
          <w:kern w:val="0"/>
          <w:sz w:val="32"/>
          <w:szCs w:val="32"/>
        </w:rPr>
        <w:t xml:space="preserve"> </w:t>
      </w:r>
      <w:r>
        <w:rPr>
          <w:rFonts w:ascii="仿宋_GB2312" w:eastAsia="仿宋_GB2312" w:hAnsi="仿宋_GB2312" w:cs="仿宋_GB2312" w:hint="eastAsia"/>
          <w:color w:val="2A2F35"/>
          <w:kern w:val="0"/>
          <w:sz w:val="32"/>
          <w:szCs w:val="32"/>
        </w:rPr>
        <w:t>学院以本科、硕士研究生阶段培养目标为指引，</w:t>
      </w:r>
      <w:bookmarkStart w:id="18" w:name="OLE_LINK3"/>
      <w:r>
        <w:rPr>
          <w:rFonts w:ascii="仿宋_GB2312" w:eastAsia="仿宋_GB2312" w:hAnsi="仿宋_GB2312" w:cs="仿宋_GB2312" w:hint="eastAsia"/>
          <w:color w:val="2A2F35"/>
          <w:kern w:val="0"/>
          <w:sz w:val="32"/>
          <w:szCs w:val="32"/>
        </w:rPr>
        <w:t>指导学科和相关专业加强顶层设计，优化本科及研究生阶段课程体系，确保知识结构的渐进性和连贯性。</w:t>
      </w:r>
      <w:bookmarkStart w:id="19" w:name="OLE_LINK16"/>
      <w:r>
        <w:rPr>
          <w:rFonts w:ascii="仿宋_GB2312" w:eastAsia="仿宋_GB2312" w:hAnsi="仿宋_GB2312" w:cs="仿宋_GB2312" w:hint="eastAsia"/>
          <w:bCs/>
          <w:color w:val="2A2F35"/>
          <w:kern w:val="0"/>
          <w:sz w:val="32"/>
          <w:szCs w:val="32"/>
        </w:rPr>
        <w:t>本科第七学期开始修读研究生课程，</w:t>
      </w:r>
      <w:r>
        <w:rPr>
          <w:rFonts w:ascii="仿宋_GB2312" w:eastAsia="仿宋_GB2312" w:hAnsi="仿宋_GB2312" w:cs="仿宋_GB2312" w:hint="eastAsia"/>
          <w:color w:val="2A2F35"/>
          <w:kern w:val="0"/>
          <w:sz w:val="32"/>
          <w:szCs w:val="32"/>
        </w:rPr>
        <w:t>鼓励以高阶课程替代低阶课程，实现</w:t>
      </w:r>
      <w:proofErr w:type="gramStart"/>
      <w:r>
        <w:rPr>
          <w:rFonts w:ascii="仿宋_GB2312" w:eastAsia="仿宋_GB2312" w:hAnsi="仿宋_GB2312" w:cs="仿宋_GB2312" w:hint="eastAsia"/>
          <w:color w:val="2A2F35"/>
          <w:kern w:val="0"/>
          <w:sz w:val="32"/>
          <w:szCs w:val="32"/>
        </w:rPr>
        <w:t>不</w:t>
      </w:r>
      <w:proofErr w:type="gramEnd"/>
      <w:r>
        <w:rPr>
          <w:rFonts w:ascii="仿宋_GB2312" w:eastAsia="仿宋_GB2312" w:hAnsi="仿宋_GB2312" w:cs="仿宋_GB2312" w:hint="eastAsia"/>
          <w:color w:val="2A2F35"/>
          <w:kern w:val="0"/>
          <w:sz w:val="32"/>
          <w:szCs w:val="32"/>
        </w:rPr>
        <w:t>同学段课程贯通与衔接。</w:t>
      </w:r>
      <w:bookmarkEnd w:id="18"/>
      <w:bookmarkEnd w:id="19"/>
    </w:p>
    <w:p w14:paraId="3059F9BD" w14:textId="28601AE8" w:rsidR="00AF16D4" w:rsidRDefault="00000000" w:rsidP="00667FE0">
      <w:pPr>
        <w:snapToGrid w:val="0"/>
        <w:spacing w:line="554" w:lineRule="exact"/>
        <w:ind w:firstLineChars="200" w:firstLine="643"/>
        <w:rPr>
          <w:rFonts w:ascii="黑体" w:eastAsia="黑体" w:hAnsi="黑体" w:cs="黑体" w:hint="eastAsia"/>
          <w:color w:val="2A2F35"/>
          <w:kern w:val="0"/>
          <w:sz w:val="32"/>
          <w:szCs w:val="32"/>
        </w:rPr>
      </w:pPr>
      <w:r>
        <w:rPr>
          <w:rFonts w:ascii="仿宋_GB2312" w:eastAsia="仿宋_GB2312" w:hAnsi="仿宋_GB2312" w:cs="仿宋_GB2312" w:hint="eastAsia"/>
          <w:b/>
          <w:bCs/>
          <w:color w:val="2A2F35"/>
          <w:kern w:val="0"/>
          <w:sz w:val="32"/>
          <w:szCs w:val="32"/>
        </w:rPr>
        <w:t xml:space="preserve">第十四条 </w:t>
      </w:r>
      <w:r>
        <w:rPr>
          <w:rFonts w:ascii="仿宋_GB2312" w:eastAsia="仿宋_GB2312" w:hAnsi="仿宋_GB2312" w:cs="仿宋_GB2312" w:hint="eastAsia"/>
          <w:color w:val="2A2F35"/>
          <w:kern w:val="0"/>
          <w:sz w:val="32"/>
          <w:szCs w:val="32"/>
        </w:rPr>
        <w:t>导师应为学生制定本</w:t>
      </w:r>
      <w:proofErr w:type="gramStart"/>
      <w:r>
        <w:rPr>
          <w:rFonts w:ascii="仿宋_GB2312" w:eastAsia="仿宋_GB2312" w:hAnsi="仿宋_GB2312" w:cs="仿宋_GB2312" w:hint="eastAsia"/>
          <w:color w:val="2A2F35"/>
          <w:kern w:val="0"/>
          <w:sz w:val="32"/>
          <w:szCs w:val="32"/>
        </w:rPr>
        <w:t>硕</w:t>
      </w:r>
      <w:proofErr w:type="gramEnd"/>
      <w:r>
        <w:rPr>
          <w:rFonts w:ascii="仿宋_GB2312" w:eastAsia="仿宋_GB2312" w:hAnsi="仿宋_GB2312" w:cs="仿宋_GB2312" w:hint="eastAsia"/>
          <w:color w:val="2A2F35"/>
          <w:kern w:val="0"/>
          <w:sz w:val="32"/>
          <w:szCs w:val="32"/>
        </w:rPr>
        <w:t>贯通的培养计划，</w:t>
      </w:r>
      <w:bookmarkStart w:id="20" w:name="OLE_LINK14"/>
      <w:r>
        <w:rPr>
          <w:rFonts w:ascii="仿宋_GB2312" w:eastAsia="仿宋_GB2312" w:hAnsi="仿宋_GB2312" w:cs="仿宋_GB2312" w:hint="eastAsia"/>
          <w:bCs/>
          <w:color w:val="2A2F35"/>
          <w:kern w:val="0"/>
          <w:sz w:val="32"/>
          <w:szCs w:val="32"/>
        </w:rPr>
        <w:t>鼓励</w:t>
      </w:r>
      <w:proofErr w:type="gramStart"/>
      <w:r>
        <w:rPr>
          <w:rFonts w:ascii="仿宋_GB2312" w:eastAsia="仿宋_GB2312" w:hAnsi="仿宋_GB2312" w:cs="仿宋_GB2312" w:hint="eastAsia"/>
          <w:bCs/>
          <w:color w:val="2A2F35"/>
          <w:kern w:val="0"/>
          <w:sz w:val="32"/>
          <w:szCs w:val="32"/>
        </w:rPr>
        <w:t>将本硕一体化</w:t>
      </w:r>
      <w:proofErr w:type="gramEnd"/>
      <w:r w:rsidR="00E937DB" w:rsidRPr="00E937DB">
        <w:rPr>
          <w:rFonts w:ascii="仿宋_GB2312" w:eastAsia="仿宋_GB2312" w:hAnsi="仿宋_GB2312" w:cs="仿宋_GB2312" w:hint="eastAsia"/>
          <w:bCs/>
          <w:color w:val="2A2F35"/>
          <w:kern w:val="0"/>
          <w:sz w:val="32"/>
          <w:szCs w:val="32"/>
        </w:rPr>
        <w:t>培育</w:t>
      </w:r>
      <w:r>
        <w:rPr>
          <w:rFonts w:ascii="仿宋_GB2312" w:eastAsia="仿宋_GB2312" w:hAnsi="仿宋_GB2312" w:cs="仿宋_GB2312" w:hint="eastAsia"/>
          <w:color w:val="2A2F35"/>
          <w:kern w:val="0"/>
          <w:sz w:val="32"/>
          <w:szCs w:val="32"/>
        </w:rPr>
        <w:t>科研训练项目作为本科生毕业设计（论文）的基础，科学</w:t>
      </w:r>
      <w:proofErr w:type="gramStart"/>
      <w:r>
        <w:rPr>
          <w:rFonts w:ascii="仿宋_GB2312" w:eastAsia="仿宋_GB2312" w:hAnsi="仿宋_GB2312" w:cs="仿宋_GB2312" w:hint="eastAsia"/>
          <w:color w:val="2A2F35"/>
          <w:kern w:val="0"/>
          <w:sz w:val="32"/>
          <w:szCs w:val="32"/>
        </w:rPr>
        <w:t>规划本硕一体化</w:t>
      </w:r>
      <w:proofErr w:type="gramEnd"/>
      <w:r w:rsidR="00E937DB" w:rsidRPr="00E937DB">
        <w:rPr>
          <w:rFonts w:ascii="仿宋_GB2312" w:eastAsia="仿宋_GB2312" w:hAnsi="仿宋_GB2312" w:cs="仿宋_GB2312" w:hint="eastAsia"/>
          <w:color w:val="2A2F35"/>
          <w:kern w:val="0"/>
          <w:sz w:val="32"/>
          <w:szCs w:val="32"/>
        </w:rPr>
        <w:t>培育</w:t>
      </w:r>
      <w:r>
        <w:rPr>
          <w:rFonts w:ascii="仿宋_GB2312" w:eastAsia="仿宋_GB2312" w:hAnsi="仿宋_GB2312" w:cs="仿宋_GB2312" w:hint="eastAsia"/>
          <w:color w:val="2A2F35"/>
          <w:kern w:val="0"/>
          <w:sz w:val="32"/>
          <w:szCs w:val="32"/>
        </w:rPr>
        <w:t>科研训练、本科毕业设计（论文）、</w:t>
      </w:r>
      <w:r>
        <w:rPr>
          <w:rFonts w:ascii="仿宋_GB2312" w:eastAsia="仿宋_GB2312" w:hAnsi="仿宋_GB2312" w:cs="仿宋_GB2312" w:hint="eastAsia"/>
          <w:bCs/>
          <w:color w:val="2A2F35"/>
          <w:kern w:val="0"/>
          <w:sz w:val="32"/>
          <w:szCs w:val="32"/>
        </w:rPr>
        <w:t>硕士研究生科研训练、硕士学位论文或实践成果之间的有序衔接。</w:t>
      </w:r>
      <w:bookmarkEnd w:id="20"/>
    </w:p>
    <w:p w14:paraId="06CE8A80" w14:textId="77777777" w:rsidR="00AF16D4" w:rsidRDefault="00000000" w:rsidP="00667FE0">
      <w:pPr>
        <w:snapToGrid w:val="0"/>
        <w:spacing w:line="554" w:lineRule="exact"/>
        <w:jc w:val="center"/>
        <w:rPr>
          <w:rFonts w:ascii="黑体" w:eastAsia="黑体" w:hAnsi="黑体" w:cs="黑体" w:hint="eastAsia"/>
          <w:color w:val="2A2F35"/>
          <w:kern w:val="0"/>
          <w:sz w:val="32"/>
          <w:szCs w:val="32"/>
        </w:rPr>
      </w:pPr>
      <w:r>
        <w:rPr>
          <w:rFonts w:ascii="黑体" w:eastAsia="黑体" w:hAnsi="黑体" w:cs="黑体" w:hint="eastAsia"/>
          <w:color w:val="2A2F35"/>
          <w:kern w:val="0"/>
          <w:sz w:val="32"/>
          <w:szCs w:val="32"/>
        </w:rPr>
        <w:t>第六章 组织与保障</w:t>
      </w:r>
    </w:p>
    <w:p w14:paraId="3CA404E0" w14:textId="77777777" w:rsidR="00AF16D4" w:rsidRDefault="00000000" w:rsidP="00667FE0">
      <w:pPr>
        <w:snapToGrid w:val="0"/>
        <w:spacing w:line="554" w:lineRule="exact"/>
        <w:ind w:firstLineChars="200" w:firstLine="643"/>
        <w:rPr>
          <w:rFonts w:ascii="仿宋_GB2312" w:eastAsia="仿宋_GB2312" w:hAnsi="仿宋_GB2312" w:cs="仿宋_GB2312" w:hint="eastAsia"/>
          <w:color w:val="2A2F35"/>
          <w:kern w:val="0"/>
          <w:sz w:val="32"/>
          <w:szCs w:val="32"/>
        </w:rPr>
      </w:pPr>
      <w:r>
        <w:rPr>
          <w:rFonts w:ascii="仿宋_GB2312" w:eastAsia="仿宋_GB2312" w:hAnsi="仿宋_GB2312" w:cs="仿宋_GB2312" w:hint="eastAsia"/>
          <w:b/>
          <w:bCs/>
          <w:color w:val="2A2F35"/>
          <w:kern w:val="0"/>
          <w:sz w:val="32"/>
          <w:szCs w:val="32"/>
        </w:rPr>
        <w:t xml:space="preserve">第十五条 </w:t>
      </w:r>
      <w:r>
        <w:rPr>
          <w:rFonts w:ascii="仿宋_GB2312" w:eastAsia="仿宋_GB2312" w:hAnsi="仿宋_GB2312" w:cs="仿宋_GB2312" w:hint="eastAsia"/>
          <w:color w:val="2A2F35"/>
          <w:kern w:val="0"/>
          <w:sz w:val="32"/>
          <w:szCs w:val="32"/>
        </w:rPr>
        <w:t>职责分工</w:t>
      </w:r>
    </w:p>
    <w:p w14:paraId="7B5BDDF0" w14:textId="77777777" w:rsidR="00AF16D4" w:rsidRDefault="00000000" w:rsidP="00667FE0">
      <w:pPr>
        <w:snapToGrid w:val="0"/>
        <w:spacing w:line="554" w:lineRule="exact"/>
        <w:ind w:firstLineChars="200" w:firstLine="640"/>
        <w:rPr>
          <w:rFonts w:ascii="仿宋_GB2312" w:eastAsia="仿宋_GB2312" w:hAnsi="仿宋_GB2312" w:cs="仿宋_GB2312" w:hint="eastAsia"/>
          <w:color w:val="2A2F35"/>
          <w:kern w:val="0"/>
          <w:sz w:val="32"/>
          <w:szCs w:val="32"/>
        </w:rPr>
      </w:pPr>
      <w:r>
        <w:rPr>
          <w:rFonts w:ascii="仿宋_GB2312" w:eastAsia="仿宋_GB2312" w:hAnsi="仿宋_GB2312" w:cs="仿宋_GB2312" w:hint="eastAsia"/>
          <w:color w:val="2A2F35"/>
          <w:kern w:val="0"/>
          <w:sz w:val="32"/>
          <w:szCs w:val="32"/>
        </w:rPr>
        <w:t>（一）研究生部</w:t>
      </w:r>
      <w:proofErr w:type="gramStart"/>
      <w:r>
        <w:rPr>
          <w:rFonts w:ascii="仿宋_GB2312" w:eastAsia="仿宋_GB2312" w:hAnsi="仿宋_GB2312" w:cs="仿宋_GB2312" w:hint="eastAsia"/>
          <w:color w:val="2A2F35"/>
          <w:kern w:val="0"/>
          <w:sz w:val="32"/>
          <w:szCs w:val="32"/>
        </w:rPr>
        <w:t>为</w:t>
      </w:r>
      <w:bookmarkStart w:id="21" w:name="OLE_LINK4"/>
      <w:r>
        <w:rPr>
          <w:rFonts w:ascii="仿宋_GB2312" w:eastAsia="仿宋_GB2312" w:hAnsi="仿宋_GB2312" w:cs="仿宋_GB2312" w:hint="eastAsia"/>
          <w:color w:val="2A2F35"/>
          <w:kern w:val="0"/>
          <w:sz w:val="32"/>
          <w:szCs w:val="32"/>
        </w:rPr>
        <w:t>本硕一体化</w:t>
      </w:r>
      <w:proofErr w:type="gramEnd"/>
      <w:r>
        <w:rPr>
          <w:rFonts w:ascii="仿宋_GB2312" w:eastAsia="仿宋_GB2312" w:hAnsi="仿宋_GB2312" w:cs="仿宋_GB2312" w:hint="eastAsia"/>
          <w:color w:val="2A2F35"/>
          <w:kern w:val="0"/>
          <w:sz w:val="32"/>
          <w:szCs w:val="32"/>
        </w:rPr>
        <w:t>培育培养工作</w:t>
      </w:r>
      <w:bookmarkEnd w:id="21"/>
      <w:r>
        <w:rPr>
          <w:rFonts w:ascii="仿宋_GB2312" w:eastAsia="仿宋_GB2312" w:hAnsi="仿宋_GB2312" w:cs="仿宋_GB2312" w:hint="eastAsia"/>
          <w:color w:val="2A2F35"/>
          <w:kern w:val="0"/>
          <w:sz w:val="32"/>
          <w:szCs w:val="32"/>
        </w:rPr>
        <w:t>组织实施的牵头单位，会同教务部（创新创业学院）、各相关部门及学院推进</w:t>
      </w:r>
      <w:proofErr w:type="gramStart"/>
      <w:r>
        <w:rPr>
          <w:rFonts w:ascii="仿宋_GB2312" w:eastAsia="仿宋_GB2312" w:hAnsi="仿宋_GB2312" w:cs="仿宋_GB2312" w:hint="eastAsia"/>
          <w:color w:val="2A2F35"/>
          <w:kern w:val="0"/>
          <w:sz w:val="32"/>
          <w:szCs w:val="32"/>
        </w:rPr>
        <w:t>落实本硕一体化</w:t>
      </w:r>
      <w:proofErr w:type="gramEnd"/>
      <w:r>
        <w:rPr>
          <w:rFonts w:ascii="仿宋_GB2312" w:eastAsia="仿宋_GB2312" w:hAnsi="仿宋_GB2312" w:cs="仿宋_GB2312" w:hint="eastAsia"/>
          <w:color w:val="2A2F35"/>
          <w:kern w:val="0"/>
          <w:sz w:val="32"/>
          <w:szCs w:val="32"/>
        </w:rPr>
        <w:t>培育培养工作方案，</w:t>
      </w:r>
      <w:bookmarkStart w:id="22" w:name="OLE_LINK6"/>
      <w:r>
        <w:rPr>
          <w:rFonts w:ascii="仿宋_GB2312" w:eastAsia="仿宋_GB2312" w:hAnsi="仿宋_GB2312" w:cs="仿宋_GB2312" w:hint="eastAsia"/>
          <w:color w:val="2A2F35"/>
          <w:kern w:val="0"/>
          <w:sz w:val="32"/>
          <w:szCs w:val="32"/>
        </w:rPr>
        <w:t>主要确定培养计划指标、复核并公示培养名单、导师资格审核、监督管理等工作。</w:t>
      </w:r>
      <w:bookmarkEnd w:id="22"/>
    </w:p>
    <w:p w14:paraId="0E5E34DB" w14:textId="77777777" w:rsidR="00AF16D4" w:rsidRDefault="00000000" w:rsidP="00667FE0">
      <w:pPr>
        <w:snapToGrid w:val="0"/>
        <w:spacing w:line="554" w:lineRule="exact"/>
        <w:ind w:firstLineChars="200" w:firstLine="640"/>
        <w:rPr>
          <w:rFonts w:ascii="仿宋_GB2312" w:eastAsia="仿宋_GB2312" w:hAnsi="仿宋_GB2312" w:cs="仿宋_GB2312" w:hint="eastAsia"/>
          <w:color w:val="2A2F35"/>
          <w:kern w:val="0"/>
          <w:sz w:val="32"/>
          <w:szCs w:val="32"/>
        </w:rPr>
      </w:pPr>
      <w:r>
        <w:rPr>
          <w:rFonts w:ascii="仿宋_GB2312" w:eastAsia="仿宋_GB2312" w:hAnsi="仿宋_GB2312" w:cs="仿宋_GB2312" w:hint="eastAsia"/>
          <w:color w:val="2A2F35"/>
          <w:kern w:val="0"/>
          <w:sz w:val="32"/>
          <w:szCs w:val="32"/>
        </w:rPr>
        <w:t>（二）教务部（创新创业学院）负责与研究生部协同</w:t>
      </w:r>
      <w:proofErr w:type="gramStart"/>
      <w:r>
        <w:rPr>
          <w:rFonts w:ascii="仿宋_GB2312" w:eastAsia="仿宋_GB2312" w:hAnsi="仿宋_GB2312" w:cs="仿宋_GB2312" w:hint="eastAsia"/>
          <w:color w:val="2A2F35"/>
          <w:kern w:val="0"/>
          <w:sz w:val="32"/>
          <w:szCs w:val="32"/>
        </w:rPr>
        <w:t>推动本硕一体</w:t>
      </w:r>
      <w:proofErr w:type="gramEnd"/>
      <w:r>
        <w:rPr>
          <w:rFonts w:ascii="仿宋_GB2312" w:eastAsia="仿宋_GB2312" w:hAnsi="仿宋_GB2312" w:cs="仿宋_GB2312" w:hint="eastAsia"/>
          <w:color w:val="2A2F35"/>
          <w:kern w:val="0"/>
          <w:sz w:val="32"/>
          <w:szCs w:val="32"/>
        </w:rPr>
        <w:t>化工作的组织实施，主要负责科研训练项目管理、复核培育和培养名单、监督管理等工作。</w:t>
      </w:r>
    </w:p>
    <w:p w14:paraId="4F1E61FE" w14:textId="77777777" w:rsidR="00AF16D4" w:rsidRDefault="00000000" w:rsidP="00667FE0">
      <w:pPr>
        <w:snapToGrid w:val="0"/>
        <w:spacing w:line="554" w:lineRule="exact"/>
        <w:ind w:firstLineChars="200" w:firstLine="640"/>
        <w:rPr>
          <w:rFonts w:ascii="仿宋_GB2312" w:eastAsia="仿宋_GB2312" w:hAnsi="仿宋_GB2312" w:cs="仿宋_GB2312" w:hint="eastAsia"/>
          <w:color w:val="2A2F35"/>
          <w:kern w:val="0"/>
          <w:sz w:val="32"/>
          <w:szCs w:val="32"/>
        </w:rPr>
      </w:pPr>
      <w:r>
        <w:rPr>
          <w:rFonts w:ascii="仿宋_GB2312" w:eastAsia="仿宋_GB2312" w:hAnsi="仿宋_GB2312" w:cs="仿宋_GB2312" w:hint="eastAsia"/>
          <w:color w:val="2A2F35"/>
          <w:kern w:val="0"/>
          <w:sz w:val="32"/>
          <w:szCs w:val="32"/>
        </w:rPr>
        <w:t>（三）各学院</w:t>
      </w:r>
      <w:proofErr w:type="gramStart"/>
      <w:r>
        <w:rPr>
          <w:rFonts w:ascii="仿宋_GB2312" w:eastAsia="仿宋_GB2312" w:hAnsi="仿宋_GB2312" w:cs="仿宋_GB2312" w:hint="eastAsia"/>
          <w:color w:val="2A2F35"/>
          <w:kern w:val="0"/>
          <w:sz w:val="32"/>
          <w:szCs w:val="32"/>
        </w:rPr>
        <w:t>为本硕一体化</w:t>
      </w:r>
      <w:proofErr w:type="gramEnd"/>
      <w:r>
        <w:rPr>
          <w:rFonts w:ascii="仿宋_GB2312" w:eastAsia="仿宋_GB2312" w:hAnsi="仿宋_GB2312" w:cs="仿宋_GB2312" w:hint="eastAsia"/>
          <w:color w:val="2A2F35"/>
          <w:kern w:val="0"/>
          <w:sz w:val="32"/>
          <w:szCs w:val="32"/>
        </w:rPr>
        <w:t>培育培养工作的具体实施单位，</w:t>
      </w:r>
      <w:proofErr w:type="gramStart"/>
      <w:r>
        <w:rPr>
          <w:rFonts w:ascii="仿宋_GB2312" w:eastAsia="仿宋_GB2312" w:hAnsi="仿宋_GB2312" w:cs="仿宋_GB2312" w:hint="eastAsia"/>
          <w:bCs/>
          <w:color w:val="2A2F35"/>
          <w:kern w:val="0"/>
          <w:sz w:val="32"/>
          <w:szCs w:val="32"/>
        </w:rPr>
        <w:lastRenderedPageBreak/>
        <w:t>成立本硕一体化</w:t>
      </w:r>
      <w:proofErr w:type="gramEnd"/>
      <w:r>
        <w:rPr>
          <w:rFonts w:ascii="仿宋_GB2312" w:eastAsia="仿宋_GB2312" w:hAnsi="仿宋_GB2312" w:cs="仿宋_GB2312" w:hint="eastAsia"/>
          <w:bCs/>
          <w:color w:val="2A2F35"/>
          <w:kern w:val="0"/>
          <w:sz w:val="32"/>
          <w:szCs w:val="32"/>
        </w:rPr>
        <w:t>培养工作小组，</w:t>
      </w:r>
      <w:r>
        <w:rPr>
          <w:rFonts w:ascii="仿宋_GB2312" w:eastAsia="仿宋_GB2312" w:hAnsi="仿宋_GB2312" w:cs="仿宋_GB2312" w:hint="eastAsia"/>
          <w:color w:val="2A2F35"/>
          <w:kern w:val="0"/>
          <w:sz w:val="32"/>
          <w:szCs w:val="32"/>
        </w:rPr>
        <w:t>主要负责制定培育培养选拔实施细则，并开展培育、选拔、培养等工作。</w:t>
      </w:r>
    </w:p>
    <w:p w14:paraId="5BA21C19" w14:textId="09F508C8" w:rsidR="00AF16D4" w:rsidRDefault="00000000" w:rsidP="00667FE0">
      <w:pPr>
        <w:snapToGrid w:val="0"/>
        <w:spacing w:line="554" w:lineRule="exact"/>
        <w:ind w:firstLineChars="200" w:firstLine="643"/>
        <w:rPr>
          <w:rFonts w:ascii="仿宋_GB2312" w:eastAsia="仿宋_GB2312" w:hAnsi="仿宋_GB2312" w:cs="仿宋_GB2312" w:hint="eastAsia"/>
          <w:color w:val="2A2F35"/>
          <w:kern w:val="0"/>
          <w:sz w:val="32"/>
          <w:szCs w:val="32"/>
        </w:rPr>
      </w:pPr>
      <w:r>
        <w:rPr>
          <w:rFonts w:ascii="仿宋_GB2312" w:eastAsia="仿宋_GB2312" w:hAnsi="仿宋_GB2312" w:cs="仿宋_GB2312" w:hint="eastAsia"/>
          <w:b/>
          <w:bCs/>
          <w:color w:val="2A2F35"/>
          <w:kern w:val="0"/>
          <w:sz w:val="32"/>
          <w:szCs w:val="32"/>
        </w:rPr>
        <w:t xml:space="preserve">第十六条 </w:t>
      </w:r>
      <w:proofErr w:type="gramStart"/>
      <w:r>
        <w:rPr>
          <w:rFonts w:ascii="仿宋_GB2312" w:eastAsia="仿宋_GB2312" w:hAnsi="仿宋_GB2312" w:cs="仿宋_GB2312" w:hint="eastAsia"/>
          <w:color w:val="2A2F35"/>
          <w:kern w:val="0"/>
          <w:sz w:val="32"/>
          <w:szCs w:val="32"/>
        </w:rPr>
        <w:t>提供本硕一体化</w:t>
      </w:r>
      <w:proofErr w:type="gramEnd"/>
      <w:r w:rsidR="00E937DB">
        <w:rPr>
          <w:rFonts w:ascii="仿宋_GB2312" w:eastAsia="仿宋_GB2312" w:hAnsi="仿宋_GB2312" w:cs="仿宋_GB2312" w:hint="eastAsia"/>
          <w:color w:val="2A2F35"/>
          <w:kern w:val="0"/>
          <w:sz w:val="32"/>
          <w:szCs w:val="32"/>
        </w:rPr>
        <w:t>培育</w:t>
      </w:r>
      <w:r>
        <w:rPr>
          <w:rFonts w:ascii="仿宋_GB2312" w:eastAsia="仿宋_GB2312" w:hAnsi="仿宋_GB2312" w:cs="仿宋_GB2312" w:hint="eastAsia"/>
          <w:color w:val="2A2F35"/>
          <w:kern w:val="0"/>
          <w:sz w:val="32"/>
          <w:szCs w:val="32"/>
        </w:rPr>
        <w:t>科研训练题目的导师应当为指导</w:t>
      </w:r>
      <w:proofErr w:type="gramStart"/>
      <w:r>
        <w:rPr>
          <w:rFonts w:ascii="仿宋_GB2312" w:eastAsia="仿宋_GB2312" w:hAnsi="仿宋_GB2312" w:cs="仿宋_GB2312" w:hint="eastAsia"/>
          <w:color w:val="2A2F35"/>
          <w:kern w:val="0"/>
          <w:sz w:val="32"/>
          <w:szCs w:val="32"/>
        </w:rPr>
        <w:t>的本硕一体化</w:t>
      </w:r>
      <w:proofErr w:type="gramEnd"/>
      <w:r>
        <w:rPr>
          <w:rFonts w:ascii="仿宋_GB2312" w:eastAsia="仿宋_GB2312" w:hAnsi="仿宋_GB2312" w:cs="仿宋_GB2312" w:hint="eastAsia"/>
          <w:color w:val="2A2F35"/>
          <w:kern w:val="0"/>
          <w:sz w:val="32"/>
          <w:szCs w:val="32"/>
        </w:rPr>
        <w:t>培育学生提供必要的科研条件支持，如提供实验防护用品、实验材料、检测条件、科研补助等。学生</w:t>
      </w:r>
      <w:proofErr w:type="gramStart"/>
      <w:r>
        <w:rPr>
          <w:rFonts w:ascii="仿宋_GB2312" w:eastAsia="仿宋_GB2312" w:hAnsi="仿宋_GB2312" w:cs="仿宋_GB2312" w:hint="eastAsia"/>
          <w:color w:val="2A2F35"/>
          <w:kern w:val="0"/>
          <w:sz w:val="32"/>
          <w:szCs w:val="32"/>
        </w:rPr>
        <w:t>进入本硕一体化</w:t>
      </w:r>
      <w:proofErr w:type="gramEnd"/>
      <w:r>
        <w:rPr>
          <w:rFonts w:ascii="仿宋_GB2312" w:eastAsia="仿宋_GB2312" w:hAnsi="仿宋_GB2312" w:cs="仿宋_GB2312" w:hint="eastAsia"/>
          <w:color w:val="2A2F35"/>
          <w:kern w:val="0"/>
          <w:sz w:val="32"/>
          <w:szCs w:val="32"/>
        </w:rPr>
        <w:t>培养阶段后，导师原则上应按学生承担的科研工作量发放助研津贴。</w:t>
      </w:r>
    </w:p>
    <w:p w14:paraId="751CC837" w14:textId="77777777" w:rsidR="00AF16D4" w:rsidRDefault="00000000" w:rsidP="00667FE0">
      <w:pPr>
        <w:snapToGrid w:val="0"/>
        <w:spacing w:line="554"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第十七条</w:t>
      </w:r>
      <w:r>
        <w:rPr>
          <w:rFonts w:ascii="仿宋_GB2312" w:eastAsia="仿宋_GB2312"/>
          <w:b/>
          <w:color w:val="000000"/>
          <w:sz w:val="32"/>
          <w:szCs w:val="32"/>
        </w:rPr>
        <w:t xml:space="preserve"> </w:t>
      </w:r>
      <w:r>
        <w:rPr>
          <w:rFonts w:ascii="仿宋_GB2312" w:eastAsia="仿宋_GB2312" w:hint="eastAsia"/>
          <w:color w:val="000000"/>
          <w:sz w:val="32"/>
          <w:szCs w:val="32"/>
        </w:rPr>
        <w:t>优先推荐入选本</w:t>
      </w:r>
      <w:proofErr w:type="gramStart"/>
      <w:r>
        <w:rPr>
          <w:rFonts w:ascii="仿宋_GB2312" w:eastAsia="仿宋_GB2312" w:hint="eastAsia"/>
          <w:color w:val="000000"/>
          <w:sz w:val="32"/>
          <w:szCs w:val="32"/>
        </w:rPr>
        <w:t>硕</w:t>
      </w:r>
      <w:proofErr w:type="gramEnd"/>
      <w:r>
        <w:rPr>
          <w:rFonts w:ascii="仿宋_GB2312" w:eastAsia="仿宋_GB2312" w:hint="eastAsia"/>
          <w:color w:val="000000"/>
          <w:sz w:val="32"/>
          <w:szCs w:val="32"/>
        </w:rPr>
        <w:t>一体化培育培养的学生申请国家留学基金委公派出国留学项目。</w:t>
      </w:r>
    </w:p>
    <w:p w14:paraId="6C39DDB7" w14:textId="77777777" w:rsidR="00AF16D4" w:rsidRDefault="00000000" w:rsidP="00667FE0">
      <w:pPr>
        <w:snapToGrid w:val="0"/>
        <w:spacing w:line="554" w:lineRule="exact"/>
        <w:ind w:firstLineChars="200" w:firstLine="643"/>
        <w:rPr>
          <w:rFonts w:ascii="仿宋_GB2312" w:eastAsia="仿宋_GB2312"/>
          <w:color w:val="000000"/>
          <w:sz w:val="32"/>
          <w:szCs w:val="32"/>
        </w:rPr>
      </w:pPr>
      <w:r>
        <w:rPr>
          <w:rFonts w:ascii="仿宋_GB2312" w:eastAsia="仿宋_GB2312" w:hint="eastAsia"/>
          <w:b/>
          <w:bCs/>
          <w:color w:val="000000"/>
          <w:sz w:val="32"/>
          <w:szCs w:val="32"/>
        </w:rPr>
        <w:t>第</w:t>
      </w:r>
      <w:r>
        <w:rPr>
          <w:rFonts w:ascii="仿宋_GB2312" w:eastAsia="仿宋_GB2312" w:hint="eastAsia"/>
          <w:b/>
          <w:color w:val="000000"/>
          <w:sz w:val="32"/>
          <w:szCs w:val="32"/>
        </w:rPr>
        <w:t>十八</w:t>
      </w:r>
      <w:r>
        <w:rPr>
          <w:rFonts w:ascii="仿宋_GB2312" w:eastAsia="仿宋_GB2312" w:hint="eastAsia"/>
          <w:b/>
          <w:bCs/>
          <w:color w:val="000000"/>
          <w:sz w:val="32"/>
          <w:szCs w:val="32"/>
        </w:rPr>
        <w:t>条</w:t>
      </w:r>
      <w:r>
        <w:rPr>
          <w:rFonts w:ascii="仿宋_GB2312" w:eastAsia="仿宋_GB2312" w:hint="eastAsia"/>
          <w:color w:val="000000"/>
          <w:sz w:val="32"/>
          <w:szCs w:val="32"/>
        </w:rPr>
        <w:t xml:space="preserve"> 研究生部和教务部每两年对学院</w:t>
      </w:r>
      <w:proofErr w:type="gramStart"/>
      <w:r>
        <w:rPr>
          <w:rFonts w:ascii="仿宋_GB2312" w:eastAsia="仿宋_GB2312" w:hint="eastAsia"/>
          <w:color w:val="000000"/>
          <w:sz w:val="32"/>
          <w:szCs w:val="32"/>
        </w:rPr>
        <w:t>完成本硕一体化</w:t>
      </w:r>
      <w:proofErr w:type="gramEnd"/>
      <w:r>
        <w:rPr>
          <w:rFonts w:ascii="仿宋_GB2312" w:eastAsia="仿宋_GB2312" w:hint="eastAsia"/>
          <w:color w:val="000000"/>
          <w:sz w:val="32"/>
          <w:szCs w:val="32"/>
        </w:rPr>
        <w:t>培育培养工作情况进行考核，对导师指导质量进行评估，根据考核评估结果，对学院硕士生招生指标进行奖励或扣减。</w:t>
      </w:r>
    </w:p>
    <w:p w14:paraId="02FB9984" w14:textId="77777777" w:rsidR="00AF16D4" w:rsidRDefault="00000000" w:rsidP="00667FE0">
      <w:pPr>
        <w:snapToGrid w:val="0"/>
        <w:spacing w:line="554" w:lineRule="exact"/>
        <w:ind w:firstLineChars="200" w:firstLine="643"/>
        <w:rPr>
          <w:rFonts w:ascii="仿宋_GB2312" w:eastAsia="仿宋_GB2312" w:hAnsi="仿宋_GB2312" w:cs="仿宋_GB2312" w:hint="eastAsia"/>
          <w:color w:val="2A2F35"/>
          <w:kern w:val="0"/>
          <w:sz w:val="32"/>
          <w:szCs w:val="32"/>
        </w:rPr>
      </w:pPr>
      <w:r>
        <w:rPr>
          <w:rFonts w:ascii="仿宋_GB2312" w:eastAsia="仿宋_GB2312" w:hAnsi="仿宋_GB2312" w:cs="仿宋_GB2312" w:hint="eastAsia"/>
          <w:b/>
          <w:bCs/>
          <w:color w:val="2A2F35"/>
          <w:kern w:val="0"/>
          <w:sz w:val="32"/>
          <w:szCs w:val="32"/>
        </w:rPr>
        <w:t>第</w:t>
      </w:r>
      <w:r>
        <w:rPr>
          <w:rFonts w:ascii="仿宋_GB2312" w:eastAsia="仿宋_GB2312" w:hint="eastAsia"/>
          <w:b/>
          <w:color w:val="000000"/>
          <w:sz w:val="32"/>
          <w:szCs w:val="32"/>
        </w:rPr>
        <w:t>十九</w:t>
      </w:r>
      <w:r>
        <w:rPr>
          <w:rFonts w:ascii="仿宋_GB2312" w:eastAsia="仿宋_GB2312" w:hAnsi="仿宋_GB2312" w:cs="仿宋_GB2312" w:hint="eastAsia"/>
          <w:b/>
          <w:bCs/>
          <w:color w:val="2A2F35"/>
          <w:kern w:val="0"/>
          <w:sz w:val="32"/>
          <w:szCs w:val="32"/>
        </w:rPr>
        <w:t xml:space="preserve">条 </w:t>
      </w:r>
      <w:r>
        <w:rPr>
          <w:rFonts w:ascii="仿宋_GB2312" w:eastAsia="仿宋_GB2312" w:hint="eastAsia"/>
          <w:color w:val="000000"/>
          <w:sz w:val="32"/>
          <w:szCs w:val="32"/>
        </w:rPr>
        <w:t>学院应制定本</w:t>
      </w:r>
      <w:proofErr w:type="gramStart"/>
      <w:r>
        <w:rPr>
          <w:rFonts w:ascii="仿宋_GB2312" w:eastAsia="仿宋_GB2312" w:hint="eastAsia"/>
          <w:color w:val="000000"/>
          <w:sz w:val="32"/>
          <w:szCs w:val="32"/>
        </w:rPr>
        <w:t>硕</w:t>
      </w:r>
      <w:proofErr w:type="gramEnd"/>
      <w:r>
        <w:rPr>
          <w:rFonts w:ascii="仿宋_GB2312" w:eastAsia="仿宋_GB2312" w:hint="eastAsia"/>
          <w:color w:val="000000"/>
          <w:sz w:val="32"/>
          <w:szCs w:val="32"/>
        </w:rPr>
        <w:t>一体化培育培养的配套政策，吸引优秀生源，激励硕士生导师积极</w:t>
      </w:r>
      <w:proofErr w:type="gramStart"/>
      <w:r>
        <w:rPr>
          <w:rFonts w:ascii="仿宋_GB2312" w:eastAsia="仿宋_GB2312" w:hint="eastAsia"/>
          <w:color w:val="000000"/>
          <w:sz w:val="32"/>
          <w:szCs w:val="32"/>
        </w:rPr>
        <w:t>投入本硕一体化</w:t>
      </w:r>
      <w:proofErr w:type="gramEnd"/>
      <w:r>
        <w:rPr>
          <w:rFonts w:ascii="仿宋_GB2312" w:eastAsia="仿宋_GB2312" w:hint="eastAsia"/>
          <w:color w:val="000000"/>
          <w:sz w:val="32"/>
          <w:szCs w:val="32"/>
        </w:rPr>
        <w:t>培育培养。</w:t>
      </w:r>
    </w:p>
    <w:p w14:paraId="093CFCF4" w14:textId="77777777" w:rsidR="00AF16D4" w:rsidRDefault="00000000" w:rsidP="00667FE0">
      <w:pPr>
        <w:snapToGrid w:val="0"/>
        <w:spacing w:line="554" w:lineRule="exact"/>
        <w:jc w:val="center"/>
        <w:rPr>
          <w:rFonts w:ascii="黑体" w:eastAsia="黑体" w:hAnsi="黑体" w:cs="黑体" w:hint="eastAsia"/>
          <w:color w:val="2A2F35"/>
          <w:kern w:val="0"/>
          <w:sz w:val="32"/>
          <w:szCs w:val="32"/>
        </w:rPr>
      </w:pPr>
      <w:r>
        <w:rPr>
          <w:rFonts w:ascii="黑体" w:eastAsia="黑体" w:hAnsi="黑体" w:cs="黑体" w:hint="eastAsia"/>
          <w:color w:val="2A2F35"/>
          <w:kern w:val="0"/>
          <w:sz w:val="32"/>
          <w:szCs w:val="32"/>
        </w:rPr>
        <w:t>第七章 附则</w:t>
      </w:r>
    </w:p>
    <w:p w14:paraId="03C0BF44" w14:textId="77777777" w:rsidR="00AF16D4" w:rsidRDefault="00000000" w:rsidP="00667FE0">
      <w:pPr>
        <w:snapToGrid w:val="0"/>
        <w:spacing w:line="554" w:lineRule="exact"/>
        <w:ind w:firstLineChars="200" w:firstLine="643"/>
        <w:rPr>
          <w:rFonts w:ascii="仿宋_GB2312" w:eastAsia="仿宋_GB2312" w:hAnsi="仿宋_GB2312" w:cs="仿宋_GB2312" w:hint="eastAsia"/>
          <w:color w:val="2A2F35"/>
          <w:kern w:val="0"/>
          <w:sz w:val="32"/>
          <w:szCs w:val="32"/>
        </w:rPr>
      </w:pPr>
      <w:r>
        <w:rPr>
          <w:rFonts w:ascii="仿宋_GB2312" w:eastAsia="仿宋_GB2312" w:hAnsi="仿宋_GB2312" w:cs="仿宋_GB2312" w:hint="eastAsia"/>
          <w:b/>
          <w:bCs/>
          <w:color w:val="2A2F35"/>
          <w:kern w:val="0"/>
          <w:sz w:val="32"/>
          <w:szCs w:val="32"/>
        </w:rPr>
        <w:t xml:space="preserve">第二十条 </w:t>
      </w:r>
      <w:r>
        <w:rPr>
          <w:rFonts w:ascii="仿宋_GB2312" w:eastAsia="仿宋_GB2312" w:hAnsi="仿宋_GB2312" w:cs="仿宋_GB2312" w:hint="eastAsia"/>
          <w:color w:val="2A2F35"/>
          <w:kern w:val="0"/>
          <w:sz w:val="32"/>
          <w:szCs w:val="32"/>
        </w:rPr>
        <w:t>本办法经2025年第26次校区校长办公会议审议通过，由研究生部、教务部负责解释。</w:t>
      </w:r>
    </w:p>
    <w:p w14:paraId="147634AA" w14:textId="4057CC05" w:rsidR="00AF16D4" w:rsidRDefault="00000000" w:rsidP="00667FE0">
      <w:pPr>
        <w:snapToGrid w:val="0"/>
        <w:spacing w:line="554" w:lineRule="exact"/>
        <w:ind w:firstLineChars="200" w:firstLine="643"/>
        <w:rPr>
          <w:rFonts w:ascii="仿宋_GB2312" w:eastAsia="仿宋_GB2312" w:hAnsi="仿宋_GB2312" w:cs="仿宋_GB2312" w:hint="eastAsia"/>
          <w:kern w:val="0"/>
          <w:sz w:val="32"/>
          <w:szCs w:val="32"/>
        </w:rPr>
      </w:pPr>
      <w:r>
        <w:rPr>
          <w:rFonts w:ascii="仿宋_GB2312" w:eastAsia="仿宋_GB2312" w:hAnsi="仿宋_GB2312" w:cs="仿宋_GB2312" w:hint="eastAsia"/>
          <w:b/>
          <w:bCs/>
          <w:color w:val="2A2F35"/>
          <w:kern w:val="0"/>
          <w:sz w:val="32"/>
          <w:szCs w:val="32"/>
        </w:rPr>
        <w:t xml:space="preserve">第二十一条 </w:t>
      </w:r>
      <w:r>
        <w:rPr>
          <w:rFonts w:ascii="仿宋_GB2312" w:eastAsia="仿宋_GB2312" w:hAnsi="仿宋_GB2312" w:cs="仿宋_GB2312" w:hint="eastAsia"/>
          <w:color w:val="2A2F35"/>
          <w:kern w:val="0"/>
          <w:sz w:val="32"/>
          <w:szCs w:val="32"/>
        </w:rPr>
        <w:t>本办法自发布之日起施行，原《中国石油大学（北京）克拉玛依校区本研一体化培养实施办法（修订）》（中石大克校区</w:t>
      </w:r>
      <w:proofErr w:type="gramStart"/>
      <w:r w:rsidR="00A622C1">
        <w:rPr>
          <w:rFonts w:ascii="仿宋_GB2312" w:eastAsia="仿宋_GB2312" w:hAnsi="仿宋_GB2312" w:cs="仿宋_GB2312" w:hint="eastAsia"/>
          <w:color w:val="2A2F35"/>
          <w:kern w:val="0"/>
          <w:sz w:val="32"/>
          <w:szCs w:val="32"/>
        </w:rPr>
        <w:t>研</w:t>
      </w:r>
      <w:proofErr w:type="gramEnd"/>
      <w:r>
        <w:rPr>
          <w:rFonts w:ascii="仿宋_GB2312" w:eastAsia="仿宋_GB2312" w:hAnsi="仿宋_GB2312" w:cs="仿宋_GB2312" w:hint="eastAsia"/>
          <w:color w:val="2A2F35"/>
          <w:kern w:val="0"/>
          <w:sz w:val="32"/>
          <w:szCs w:val="32"/>
        </w:rPr>
        <w:t>〔2024〕5号）</w:t>
      </w:r>
      <w:r>
        <w:rPr>
          <w:rFonts w:ascii="仿宋_GB2312" w:eastAsia="仿宋_GB2312" w:hAnsi="仿宋_GB2312" w:cs="仿宋_GB2312" w:hint="eastAsia"/>
          <w:sz w:val="32"/>
          <w:szCs w:val="32"/>
        </w:rPr>
        <w:t>同时废止。</w:t>
      </w:r>
    </w:p>
    <w:p w14:paraId="7F30AE1C" w14:textId="77777777" w:rsidR="00AF16D4" w:rsidRDefault="00AF16D4" w:rsidP="00667FE0">
      <w:pPr>
        <w:snapToGrid w:val="0"/>
        <w:spacing w:line="554" w:lineRule="exact"/>
        <w:jc w:val="center"/>
        <w:rPr>
          <w:rFonts w:ascii="仿宋" w:eastAsia="仿宋" w:hAnsi="仿宋" w:hint="eastAsia"/>
          <w:b/>
          <w:sz w:val="18"/>
          <w:szCs w:val="18"/>
        </w:rPr>
      </w:pPr>
    </w:p>
    <w:sectPr w:rsidR="00AF16D4">
      <w:footerReference w:type="default" r:id="rId7"/>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793F3" w14:textId="77777777" w:rsidR="002C0612" w:rsidRDefault="002C0612">
      <w:r>
        <w:separator/>
      </w:r>
    </w:p>
  </w:endnote>
  <w:endnote w:type="continuationSeparator" w:id="0">
    <w:p w14:paraId="526A7C0B" w14:textId="77777777" w:rsidR="002C0612" w:rsidRDefault="002C0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814907"/>
    </w:sdtPr>
    <w:sdtEndPr>
      <w:rPr>
        <w:rFonts w:ascii="宋体" w:eastAsia="宋体" w:hAnsi="宋体"/>
        <w:sz w:val="24"/>
        <w:szCs w:val="24"/>
      </w:rPr>
    </w:sdtEndPr>
    <w:sdtContent>
      <w:p w14:paraId="19C04EE0" w14:textId="77777777" w:rsidR="00AF16D4" w:rsidRDefault="00000000">
        <w:pPr>
          <w:pStyle w:val="ad"/>
          <w:jc w:val="center"/>
          <w:rPr>
            <w:rFonts w:ascii="宋体" w:eastAsia="宋体" w:hAnsi="宋体" w:hint="eastAsia"/>
            <w:sz w:val="24"/>
            <w:szCs w:val="24"/>
          </w:rPr>
        </w:pPr>
        <w:r>
          <w:rPr>
            <w:rFonts w:ascii="宋体" w:eastAsia="宋体" w:hAnsi="宋体"/>
            <w:sz w:val="24"/>
            <w:szCs w:val="24"/>
          </w:rPr>
          <w:fldChar w:fldCharType="begin"/>
        </w:r>
        <w:r>
          <w:rPr>
            <w:rFonts w:ascii="宋体" w:eastAsia="宋体" w:hAnsi="宋体"/>
            <w:sz w:val="24"/>
            <w:szCs w:val="24"/>
          </w:rPr>
          <w:instrText>PAGE   \* MERGEFORMAT</w:instrText>
        </w:r>
        <w:r>
          <w:rPr>
            <w:rFonts w:ascii="宋体" w:eastAsia="宋体" w:hAnsi="宋体"/>
            <w:sz w:val="24"/>
            <w:szCs w:val="24"/>
          </w:rPr>
          <w:fldChar w:fldCharType="separate"/>
        </w:r>
        <w:r>
          <w:rPr>
            <w:rFonts w:ascii="宋体" w:eastAsia="宋体" w:hAnsi="宋体"/>
            <w:sz w:val="24"/>
            <w:szCs w:val="24"/>
            <w:lang w:val="zh-CN"/>
          </w:rPr>
          <w:t>4</w:t>
        </w:r>
        <w:r>
          <w:rPr>
            <w:rFonts w:ascii="宋体" w:eastAsia="宋体" w:hAnsi="宋体"/>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3AE89" w14:textId="77777777" w:rsidR="002C0612" w:rsidRDefault="002C0612">
      <w:r>
        <w:separator/>
      </w:r>
    </w:p>
  </w:footnote>
  <w:footnote w:type="continuationSeparator" w:id="0">
    <w:p w14:paraId="73C0F34E" w14:textId="77777777" w:rsidR="002C0612" w:rsidRDefault="002C06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VkYmM2ZjQ5OWNlY2E5MTY1ODIzMGI1MzJjNGQ3YmMifQ=="/>
  </w:docVars>
  <w:rsids>
    <w:rsidRoot w:val="0024517C"/>
    <w:rsid w:val="000017E4"/>
    <w:rsid w:val="00005846"/>
    <w:rsid w:val="00016496"/>
    <w:rsid w:val="00024BBF"/>
    <w:rsid w:val="000270E3"/>
    <w:rsid w:val="0003302A"/>
    <w:rsid w:val="0004063C"/>
    <w:rsid w:val="000601C9"/>
    <w:rsid w:val="00060949"/>
    <w:rsid w:val="0006215A"/>
    <w:rsid w:val="0006672F"/>
    <w:rsid w:val="00067A45"/>
    <w:rsid w:val="00067E46"/>
    <w:rsid w:val="000877D3"/>
    <w:rsid w:val="00092C3B"/>
    <w:rsid w:val="000A53AB"/>
    <w:rsid w:val="000A7805"/>
    <w:rsid w:val="000C1A38"/>
    <w:rsid w:val="000D2D83"/>
    <w:rsid w:val="000E713A"/>
    <w:rsid w:val="000F0041"/>
    <w:rsid w:val="000F7197"/>
    <w:rsid w:val="001005F7"/>
    <w:rsid w:val="00111B8A"/>
    <w:rsid w:val="00120BF5"/>
    <w:rsid w:val="00123E8D"/>
    <w:rsid w:val="00132AEC"/>
    <w:rsid w:val="00134C3B"/>
    <w:rsid w:val="0014254F"/>
    <w:rsid w:val="00145C79"/>
    <w:rsid w:val="001500C6"/>
    <w:rsid w:val="00150D53"/>
    <w:rsid w:val="001538DF"/>
    <w:rsid w:val="0016040D"/>
    <w:rsid w:val="00160E8C"/>
    <w:rsid w:val="00164384"/>
    <w:rsid w:val="00165C8E"/>
    <w:rsid w:val="00171FC1"/>
    <w:rsid w:val="00181B29"/>
    <w:rsid w:val="001A2BE6"/>
    <w:rsid w:val="001A37CA"/>
    <w:rsid w:val="001A7DB4"/>
    <w:rsid w:val="001B195B"/>
    <w:rsid w:val="001C0DDA"/>
    <w:rsid w:val="001C47CF"/>
    <w:rsid w:val="001D16D6"/>
    <w:rsid w:val="001D1C10"/>
    <w:rsid w:val="001D3181"/>
    <w:rsid w:val="001D5B35"/>
    <w:rsid w:val="001E58C2"/>
    <w:rsid w:val="001F340A"/>
    <w:rsid w:val="001F3992"/>
    <w:rsid w:val="001F6996"/>
    <w:rsid w:val="00201D76"/>
    <w:rsid w:val="002120DB"/>
    <w:rsid w:val="00214617"/>
    <w:rsid w:val="00215944"/>
    <w:rsid w:val="00216CC7"/>
    <w:rsid w:val="00224F2D"/>
    <w:rsid w:val="002253E5"/>
    <w:rsid w:val="00231CF4"/>
    <w:rsid w:val="0024032F"/>
    <w:rsid w:val="002431EA"/>
    <w:rsid w:val="0024321A"/>
    <w:rsid w:val="00244EC1"/>
    <w:rsid w:val="0024517C"/>
    <w:rsid w:val="00254933"/>
    <w:rsid w:val="00271EF4"/>
    <w:rsid w:val="002726B1"/>
    <w:rsid w:val="00272CEF"/>
    <w:rsid w:val="00280169"/>
    <w:rsid w:val="002810B0"/>
    <w:rsid w:val="00284A0B"/>
    <w:rsid w:val="0028747A"/>
    <w:rsid w:val="0029010E"/>
    <w:rsid w:val="002A0951"/>
    <w:rsid w:val="002A2104"/>
    <w:rsid w:val="002A46CF"/>
    <w:rsid w:val="002A637F"/>
    <w:rsid w:val="002B008E"/>
    <w:rsid w:val="002B572B"/>
    <w:rsid w:val="002B735D"/>
    <w:rsid w:val="002B76EA"/>
    <w:rsid w:val="002C0612"/>
    <w:rsid w:val="002C3B4A"/>
    <w:rsid w:val="002C6393"/>
    <w:rsid w:val="002D4759"/>
    <w:rsid w:val="002E280B"/>
    <w:rsid w:val="002E45E9"/>
    <w:rsid w:val="002E539C"/>
    <w:rsid w:val="002F145E"/>
    <w:rsid w:val="002F2EC0"/>
    <w:rsid w:val="0032608D"/>
    <w:rsid w:val="003262CC"/>
    <w:rsid w:val="003304DC"/>
    <w:rsid w:val="003337DF"/>
    <w:rsid w:val="003369AE"/>
    <w:rsid w:val="00337533"/>
    <w:rsid w:val="00354E08"/>
    <w:rsid w:val="0037037F"/>
    <w:rsid w:val="00371A2E"/>
    <w:rsid w:val="00373F6C"/>
    <w:rsid w:val="00380164"/>
    <w:rsid w:val="00385A22"/>
    <w:rsid w:val="00393B1D"/>
    <w:rsid w:val="003A0448"/>
    <w:rsid w:val="003B046C"/>
    <w:rsid w:val="003B0E50"/>
    <w:rsid w:val="003B14FE"/>
    <w:rsid w:val="003B1A5E"/>
    <w:rsid w:val="003B236A"/>
    <w:rsid w:val="003B2825"/>
    <w:rsid w:val="003C12CF"/>
    <w:rsid w:val="003C3B61"/>
    <w:rsid w:val="003C6F93"/>
    <w:rsid w:val="003D1428"/>
    <w:rsid w:val="003D1636"/>
    <w:rsid w:val="003D3786"/>
    <w:rsid w:val="003E0613"/>
    <w:rsid w:val="003E351B"/>
    <w:rsid w:val="003E4874"/>
    <w:rsid w:val="003E6016"/>
    <w:rsid w:val="003F0405"/>
    <w:rsid w:val="003F39ED"/>
    <w:rsid w:val="003F617D"/>
    <w:rsid w:val="003F66C6"/>
    <w:rsid w:val="003F7962"/>
    <w:rsid w:val="00400CB0"/>
    <w:rsid w:val="00403AED"/>
    <w:rsid w:val="00410BD4"/>
    <w:rsid w:val="004152F8"/>
    <w:rsid w:val="00415368"/>
    <w:rsid w:val="00416334"/>
    <w:rsid w:val="00422EAD"/>
    <w:rsid w:val="00426F99"/>
    <w:rsid w:val="004520AA"/>
    <w:rsid w:val="0045318E"/>
    <w:rsid w:val="004563D6"/>
    <w:rsid w:val="004610AE"/>
    <w:rsid w:val="00465944"/>
    <w:rsid w:val="00475D8B"/>
    <w:rsid w:val="00487236"/>
    <w:rsid w:val="0049685E"/>
    <w:rsid w:val="004B01E9"/>
    <w:rsid w:val="004C33F8"/>
    <w:rsid w:val="004C48F9"/>
    <w:rsid w:val="004C5999"/>
    <w:rsid w:val="004D0EE8"/>
    <w:rsid w:val="004D1627"/>
    <w:rsid w:val="004D49EF"/>
    <w:rsid w:val="004D698E"/>
    <w:rsid w:val="004F0D20"/>
    <w:rsid w:val="004F2DDB"/>
    <w:rsid w:val="004F2EF3"/>
    <w:rsid w:val="00501444"/>
    <w:rsid w:val="0050159E"/>
    <w:rsid w:val="00506CA7"/>
    <w:rsid w:val="00512ABF"/>
    <w:rsid w:val="00514CA2"/>
    <w:rsid w:val="005179EE"/>
    <w:rsid w:val="00520692"/>
    <w:rsid w:val="0052214D"/>
    <w:rsid w:val="00527F48"/>
    <w:rsid w:val="005356CE"/>
    <w:rsid w:val="005357BF"/>
    <w:rsid w:val="0053757F"/>
    <w:rsid w:val="00540471"/>
    <w:rsid w:val="00550CF9"/>
    <w:rsid w:val="005535F4"/>
    <w:rsid w:val="005578A5"/>
    <w:rsid w:val="00557F58"/>
    <w:rsid w:val="00563512"/>
    <w:rsid w:val="00563625"/>
    <w:rsid w:val="005869A6"/>
    <w:rsid w:val="005879CF"/>
    <w:rsid w:val="005A7541"/>
    <w:rsid w:val="005A7F1F"/>
    <w:rsid w:val="005B34E5"/>
    <w:rsid w:val="005B422A"/>
    <w:rsid w:val="005B6125"/>
    <w:rsid w:val="005D283D"/>
    <w:rsid w:val="005E0669"/>
    <w:rsid w:val="005E3D9A"/>
    <w:rsid w:val="005E4339"/>
    <w:rsid w:val="005E6D60"/>
    <w:rsid w:val="005F0D5C"/>
    <w:rsid w:val="005F2D87"/>
    <w:rsid w:val="005F6190"/>
    <w:rsid w:val="005F7734"/>
    <w:rsid w:val="00613B4F"/>
    <w:rsid w:val="00620F88"/>
    <w:rsid w:val="00626095"/>
    <w:rsid w:val="006274D7"/>
    <w:rsid w:val="00635E23"/>
    <w:rsid w:val="00636E2A"/>
    <w:rsid w:val="00647837"/>
    <w:rsid w:val="00652DD8"/>
    <w:rsid w:val="00656950"/>
    <w:rsid w:val="00657EBE"/>
    <w:rsid w:val="00662964"/>
    <w:rsid w:val="00667FE0"/>
    <w:rsid w:val="00676B8A"/>
    <w:rsid w:val="006817A9"/>
    <w:rsid w:val="006865E2"/>
    <w:rsid w:val="006872C8"/>
    <w:rsid w:val="006A30BF"/>
    <w:rsid w:val="006B14F3"/>
    <w:rsid w:val="006B4630"/>
    <w:rsid w:val="006B5D72"/>
    <w:rsid w:val="006C118A"/>
    <w:rsid w:val="006C2F6B"/>
    <w:rsid w:val="006C4205"/>
    <w:rsid w:val="006D52E9"/>
    <w:rsid w:val="006E17F2"/>
    <w:rsid w:val="006F4929"/>
    <w:rsid w:val="00701357"/>
    <w:rsid w:val="00701D6C"/>
    <w:rsid w:val="007115B4"/>
    <w:rsid w:val="00715B70"/>
    <w:rsid w:val="00715E38"/>
    <w:rsid w:val="00723316"/>
    <w:rsid w:val="00725D73"/>
    <w:rsid w:val="00740089"/>
    <w:rsid w:val="00740E5C"/>
    <w:rsid w:val="007512FD"/>
    <w:rsid w:val="0075354D"/>
    <w:rsid w:val="00757F5D"/>
    <w:rsid w:val="00762E83"/>
    <w:rsid w:val="00767856"/>
    <w:rsid w:val="007728B2"/>
    <w:rsid w:val="00775754"/>
    <w:rsid w:val="00776D83"/>
    <w:rsid w:val="0077774F"/>
    <w:rsid w:val="00782C3A"/>
    <w:rsid w:val="00783E3D"/>
    <w:rsid w:val="00784366"/>
    <w:rsid w:val="007847DB"/>
    <w:rsid w:val="00784C7E"/>
    <w:rsid w:val="00785069"/>
    <w:rsid w:val="007927C0"/>
    <w:rsid w:val="0079459A"/>
    <w:rsid w:val="007B1642"/>
    <w:rsid w:val="007B6FA5"/>
    <w:rsid w:val="007D72BA"/>
    <w:rsid w:val="007E3F16"/>
    <w:rsid w:val="007F0430"/>
    <w:rsid w:val="007F1691"/>
    <w:rsid w:val="007F1F53"/>
    <w:rsid w:val="007F4565"/>
    <w:rsid w:val="008057DA"/>
    <w:rsid w:val="008106A5"/>
    <w:rsid w:val="00812C91"/>
    <w:rsid w:val="008215E7"/>
    <w:rsid w:val="0083333C"/>
    <w:rsid w:val="008350AC"/>
    <w:rsid w:val="008455BD"/>
    <w:rsid w:val="00850098"/>
    <w:rsid w:val="00850B38"/>
    <w:rsid w:val="008541AF"/>
    <w:rsid w:val="008661F1"/>
    <w:rsid w:val="00867B8B"/>
    <w:rsid w:val="0087122B"/>
    <w:rsid w:val="0087229A"/>
    <w:rsid w:val="008739CE"/>
    <w:rsid w:val="00883007"/>
    <w:rsid w:val="00893BB3"/>
    <w:rsid w:val="00897350"/>
    <w:rsid w:val="008A5166"/>
    <w:rsid w:val="008A52FE"/>
    <w:rsid w:val="008A5559"/>
    <w:rsid w:val="008A5B2D"/>
    <w:rsid w:val="008A64FF"/>
    <w:rsid w:val="008B076B"/>
    <w:rsid w:val="008B100B"/>
    <w:rsid w:val="008B1470"/>
    <w:rsid w:val="008D67C3"/>
    <w:rsid w:val="008E6C70"/>
    <w:rsid w:val="008E6FAA"/>
    <w:rsid w:val="008F0BD0"/>
    <w:rsid w:val="008F375C"/>
    <w:rsid w:val="008F41F9"/>
    <w:rsid w:val="008F63DD"/>
    <w:rsid w:val="0091074B"/>
    <w:rsid w:val="009123C2"/>
    <w:rsid w:val="00914F5C"/>
    <w:rsid w:val="009173BB"/>
    <w:rsid w:val="0092500A"/>
    <w:rsid w:val="00934701"/>
    <w:rsid w:val="00944BD0"/>
    <w:rsid w:val="009508CC"/>
    <w:rsid w:val="009529C7"/>
    <w:rsid w:val="009663BD"/>
    <w:rsid w:val="00973BB7"/>
    <w:rsid w:val="0098252A"/>
    <w:rsid w:val="0098787A"/>
    <w:rsid w:val="009901A9"/>
    <w:rsid w:val="00994521"/>
    <w:rsid w:val="00996533"/>
    <w:rsid w:val="009A3507"/>
    <w:rsid w:val="009A5121"/>
    <w:rsid w:val="009B0A26"/>
    <w:rsid w:val="009B1727"/>
    <w:rsid w:val="009C0A72"/>
    <w:rsid w:val="009C29E8"/>
    <w:rsid w:val="009C5C0D"/>
    <w:rsid w:val="009D115C"/>
    <w:rsid w:val="009D4CF5"/>
    <w:rsid w:val="009E06A7"/>
    <w:rsid w:val="009E77D4"/>
    <w:rsid w:val="009F051E"/>
    <w:rsid w:val="00A05BAE"/>
    <w:rsid w:val="00A16CE1"/>
    <w:rsid w:val="00A37C72"/>
    <w:rsid w:val="00A43BEE"/>
    <w:rsid w:val="00A44F00"/>
    <w:rsid w:val="00A50DA9"/>
    <w:rsid w:val="00A52FC8"/>
    <w:rsid w:val="00A53CBC"/>
    <w:rsid w:val="00A54625"/>
    <w:rsid w:val="00A55B7E"/>
    <w:rsid w:val="00A622C1"/>
    <w:rsid w:val="00A873F8"/>
    <w:rsid w:val="00AA280B"/>
    <w:rsid w:val="00AA4CF3"/>
    <w:rsid w:val="00AB4098"/>
    <w:rsid w:val="00AC18E4"/>
    <w:rsid w:val="00AC3DDE"/>
    <w:rsid w:val="00AC3F3A"/>
    <w:rsid w:val="00AC4C8E"/>
    <w:rsid w:val="00AD02B2"/>
    <w:rsid w:val="00AD76D1"/>
    <w:rsid w:val="00AF16D4"/>
    <w:rsid w:val="00AF42E4"/>
    <w:rsid w:val="00B030DA"/>
    <w:rsid w:val="00B07CA3"/>
    <w:rsid w:val="00B10F7B"/>
    <w:rsid w:val="00B14A60"/>
    <w:rsid w:val="00B20729"/>
    <w:rsid w:val="00B23484"/>
    <w:rsid w:val="00B240E9"/>
    <w:rsid w:val="00B24409"/>
    <w:rsid w:val="00B327B3"/>
    <w:rsid w:val="00B35593"/>
    <w:rsid w:val="00B4318F"/>
    <w:rsid w:val="00B432AB"/>
    <w:rsid w:val="00B5101D"/>
    <w:rsid w:val="00B53226"/>
    <w:rsid w:val="00B57CC1"/>
    <w:rsid w:val="00B62D00"/>
    <w:rsid w:val="00B806B3"/>
    <w:rsid w:val="00B81437"/>
    <w:rsid w:val="00B84B70"/>
    <w:rsid w:val="00B85195"/>
    <w:rsid w:val="00B957B2"/>
    <w:rsid w:val="00B96210"/>
    <w:rsid w:val="00B97E44"/>
    <w:rsid w:val="00BA7583"/>
    <w:rsid w:val="00BC26A9"/>
    <w:rsid w:val="00BC5808"/>
    <w:rsid w:val="00BC5836"/>
    <w:rsid w:val="00BC78D5"/>
    <w:rsid w:val="00BD525F"/>
    <w:rsid w:val="00BD66E2"/>
    <w:rsid w:val="00BE0C58"/>
    <w:rsid w:val="00BE2E41"/>
    <w:rsid w:val="00BF1F1B"/>
    <w:rsid w:val="00C02B19"/>
    <w:rsid w:val="00C120FC"/>
    <w:rsid w:val="00C24753"/>
    <w:rsid w:val="00C24DFB"/>
    <w:rsid w:val="00C30383"/>
    <w:rsid w:val="00C34410"/>
    <w:rsid w:val="00C346A0"/>
    <w:rsid w:val="00C36A3F"/>
    <w:rsid w:val="00C46CF3"/>
    <w:rsid w:val="00C47EBA"/>
    <w:rsid w:val="00C5045F"/>
    <w:rsid w:val="00C546A2"/>
    <w:rsid w:val="00C62977"/>
    <w:rsid w:val="00C63395"/>
    <w:rsid w:val="00C63979"/>
    <w:rsid w:val="00C65050"/>
    <w:rsid w:val="00C658EC"/>
    <w:rsid w:val="00C66E87"/>
    <w:rsid w:val="00C72B08"/>
    <w:rsid w:val="00C7371D"/>
    <w:rsid w:val="00C84300"/>
    <w:rsid w:val="00C84C41"/>
    <w:rsid w:val="00C85D40"/>
    <w:rsid w:val="00C87996"/>
    <w:rsid w:val="00C944BB"/>
    <w:rsid w:val="00CA1B44"/>
    <w:rsid w:val="00CB261B"/>
    <w:rsid w:val="00CC1C99"/>
    <w:rsid w:val="00CC6095"/>
    <w:rsid w:val="00CD1D8E"/>
    <w:rsid w:val="00CE45F3"/>
    <w:rsid w:val="00CF2DB7"/>
    <w:rsid w:val="00D05332"/>
    <w:rsid w:val="00D117AA"/>
    <w:rsid w:val="00D11E3E"/>
    <w:rsid w:val="00D174D3"/>
    <w:rsid w:val="00D21BEE"/>
    <w:rsid w:val="00D21DC9"/>
    <w:rsid w:val="00D2204F"/>
    <w:rsid w:val="00D25E36"/>
    <w:rsid w:val="00D26209"/>
    <w:rsid w:val="00D432F0"/>
    <w:rsid w:val="00D43C7A"/>
    <w:rsid w:val="00D5568C"/>
    <w:rsid w:val="00D66AD1"/>
    <w:rsid w:val="00D72031"/>
    <w:rsid w:val="00D75F60"/>
    <w:rsid w:val="00D91118"/>
    <w:rsid w:val="00D918AE"/>
    <w:rsid w:val="00D921EF"/>
    <w:rsid w:val="00D93264"/>
    <w:rsid w:val="00DA1479"/>
    <w:rsid w:val="00DA2B9A"/>
    <w:rsid w:val="00DC0C7B"/>
    <w:rsid w:val="00DC15ED"/>
    <w:rsid w:val="00DC1CAB"/>
    <w:rsid w:val="00DD6C58"/>
    <w:rsid w:val="00DD73BB"/>
    <w:rsid w:val="00DE3174"/>
    <w:rsid w:val="00DF5783"/>
    <w:rsid w:val="00E00113"/>
    <w:rsid w:val="00E148AD"/>
    <w:rsid w:val="00E16836"/>
    <w:rsid w:val="00E203E6"/>
    <w:rsid w:val="00E23DA4"/>
    <w:rsid w:val="00E30438"/>
    <w:rsid w:val="00E337D1"/>
    <w:rsid w:val="00E338C9"/>
    <w:rsid w:val="00E36399"/>
    <w:rsid w:val="00E36B01"/>
    <w:rsid w:val="00E37F86"/>
    <w:rsid w:val="00E438B6"/>
    <w:rsid w:val="00E43C28"/>
    <w:rsid w:val="00E459AE"/>
    <w:rsid w:val="00E46AFA"/>
    <w:rsid w:val="00E46CCA"/>
    <w:rsid w:val="00E676A1"/>
    <w:rsid w:val="00E73CFF"/>
    <w:rsid w:val="00E74C2D"/>
    <w:rsid w:val="00E85810"/>
    <w:rsid w:val="00E8624D"/>
    <w:rsid w:val="00E86ED5"/>
    <w:rsid w:val="00E91FC1"/>
    <w:rsid w:val="00E937DB"/>
    <w:rsid w:val="00E95528"/>
    <w:rsid w:val="00E964FA"/>
    <w:rsid w:val="00EA692E"/>
    <w:rsid w:val="00EB27A9"/>
    <w:rsid w:val="00EB40FE"/>
    <w:rsid w:val="00EB7C4E"/>
    <w:rsid w:val="00EC7A4B"/>
    <w:rsid w:val="00ED219A"/>
    <w:rsid w:val="00ED264F"/>
    <w:rsid w:val="00ED5F05"/>
    <w:rsid w:val="00EE137E"/>
    <w:rsid w:val="00EE1EED"/>
    <w:rsid w:val="00EE3D8F"/>
    <w:rsid w:val="00EE51F2"/>
    <w:rsid w:val="00EF1C02"/>
    <w:rsid w:val="00EF25B1"/>
    <w:rsid w:val="00EF574B"/>
    <w:rsid w:val="00F13EFC"/>
    <w:rsid w:val="00F17ED5"/>
    <w:rsid w:val="00F21602"/>
    <w:rsid w:val="00F438EA"/>
    <w:rsid w:val="00F43C00"/>
    <w:rsid w:val="00F44B3A"/>
    <w:rsid w:val="00F57027"/>
    <w:rsid w:val="00F65A2A"/>
    <w:rsid w:val="00F67D88"/>
    <w:rsid w:val="00F71248"/>
    <w:rsid w:val="00F7465F"/>
    <w:rsid w:val="00F74CE5"/>
    <w:rsid w:val="00F7743D"/>
    <w:rsid w:val="00F77FD8"/>
    <w:rsid w:val="00F913C3"/>
    <w:rsid w:val="00F915C9"/>
    <w:rsid w:val="00F9344A"/>
    <w:rsid w:val="00F96013"/>
    <w:rsid w:val="00FC7442"/>
    <w:rsid w:val="00FD1EAB"/>
    <w:rsid w:val="00FD55B8"/>
    <w:rsid w:val="00FD5FD3"/>
    <w:rsid w:val="00FD5FF3"/>
    <w:rsid w:val="00FE25A3"/>
    <w:rsid w:val="00FE30B8"/>
    <w:rsid w:val="00FE3795"/>
    <w:rsid w:val="00FE3A8D"/>
    <w:rsid w:val="0F9B0A3C"/>
    <w:rsid w:val="10B70CD7"/>
    <w:rsid w:val="3FD85D5B"/>
    <w:rsid w:val="50303C1D"/>
    <w:rsid w:val="574B7843"/>
    <w:rsid w:val="77EB7033"/>
    <w:rsid w:val="7E2B5717"/>
    <w:rsid w:val="7E940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7871E"/>
  <w15:docId w15:val="{4B07BFC6-2D59-47BA-A0E2-B55B6E37A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ody Text"/>
    <w:basedOn w:val="a"/>
    <w:link w:val="1"/>
    <w:qFormat/>
    <w:pPr>
      <w:spacing w:after="120"/>
    </w:pPr>
    <w:rPr>
      <w:rFonts w:ascii="Times New Roman" w:eastAsia="宋体" w:hAnsi="Times New Roman" w:cs="Times New Roman"/>
      <w:szCs w:val="24"/>
    </w:rPr>
  </w:style>
  <w:style w:type="paragraph" w:styleId="a6">
    <w:name w:val="Body Text Indent"/>
    <w:basedOn w:val="a"/>
    <w:link w:val="a7"/>
    <w:qFormat/>
    <w:pPr>
      <w:spacing w:after="120"/>
      <w:ind w:left="420"/>
    </w:pPr>
    <w:rPr>
      <w:rFonts w:ascii="Times New Roman" w:eastAsia="宋体" w:hAnsi="Times New Roman" w:cs="Times New Roman"/>
      <w:szCs w:val="24"/>
    </w:rPr>
  </w:style>
  <w:style w:type="paragraph" w:styleId="a8">
    <w:name w:val="Plain Text"/>
    <w:basedOn w:val="a"/>
    <w:link w:val="10"/>
    <w:qFormat/>
    <w:rPr>
      <w:rFonts w:ascii="宋体" w:eastAsia="宋体" w:hAnsi="Courier New" w:cs="Courier New"/>
      <w:szCs w:val="21"/>
    </w:rPr>
  </w:style>
  <w:style w:type="paragraph" w:styleId="a9">
    <w:name w:val="Date"/>
    <w:basedOn w:val="a"/>
    <w:next w:val="a"/>
    <w:link w:val="aa"/>
    <w:qFormat/>
    <w:pPr>
      <w:widowControl/>
    </w:pPr>
    <w:rPr>
      <w:rFonts w:ascii="仿宋_GB2312" w:eastAsia="仿宋_GB2312" w:hAnsi="Times New Roman" w:cs="Times New Roman"/>
      <w:b/>
      <w:kern w:val="0"/>
      <w:sz w:val="28"/>
      <w:szCs w:val="20"/>
    </w:rPr>
  </w:style>
  <w:style w:type="paragraph" w:styleId="ab">
    <w:name w:val="Balloon Text"/>
    <w:basedOn w:val="a"/>
    <w:link w:val="ac"/>
    <w:semiHidden/>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nhideWhenUsed/>
    <w:qFormat/>
    <w:pPr>
      <w:pBdr>
        <w:bottom w:val="single" w:sz="6" w:space="1" w:color="auto"/>
      </w:pBdr>
      <w:tabs>
        <w:tab w:val="center" w:pos="4153"/>
        <w:tab w:val="right" w:pos="8306"/>
      </w:tabs>
      <w:snapToGrid w:val="0"/>
      <w:jc w:val="center"/>
    </w:pPr>
    <w:rPr>
      <w:sz w:val="18"/>
      <w:szCs w:val="18"/>
    </w:rPr>
  </w:style>
  <w:style w:type="paragraph" w:styleId="af1">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af2">
    <w:name w:val="annotation subject"/>
    <w:basedOn w:val="a3"/>
    <w:next w:val="a3"/>
    <w:link w:val="af3"/>
    <w:uiPriority w:val="99"/>
    <w:semiHidden/>
    <w:unhideWhenUsed/>
    <w:qFormat/>
    <w:rPr>
      <w:b/>
      <w:bCs/>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qFormat/>
    <w:rPr>
      <w:b/>
      <w:bCs/>
    </w:rPr>
  </w:style>
  <w:style w:type="character" w:styleId="af6">
    <w:name w:val="annotation reference"/>
    <w:basedOn w:val="a0"/>
    <w:uiPriority w:val="99"/>
    <w:semiHidden/>
    <w:unhideWhenUsed/>
    <w:qFormat/>
    <w:rPr>
      <w:sz w:val="21"/>
      <w:szCs w:val="21"/>
    </w:rPr>
  </w:style>
  <w:style w:type="character" w:customStyle="1" w:styleId="af0">
    <w:name w:val="页眉 字符"/>
    <w:basedOn w:val="a0"/>
    <w:link w:val="af"/>
    <w:uiPriority w:val="99"/>
    <w:qFormat/>
    <w:rPr>
      <w:sz w:val="18"/>
      <w:szCs w:val="18"/>
    </w:rPr>
  </w:style>
  <w:style w:type="character" w:customStyle="1" w:styleId="ae">
    <w:name w:val="页脚 字符"/>
    <w:basedOn w:val="a0"/>
    <w:link w:val="ad"/>
    <w:uiPriority w:val="99"/>
    <w:qFormat/>
    <w:rPr>
      <w:sz w:val="18"/>
      <w:szCs w:val="18"/>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character" w:customStyle="1" w:styleId="ac">
    <w:name w:val="批注框文本 字符"/>
    <w:basedOn w:val="a0"/>
    <w:link w:val="ab"/>
    <w:uiPriority w:val="99"/>
    <w:semiHidden/>
    <w:qFormat/>
    <w:rPr>
      <w:sz w:val="18"/>
      <w:szCs w:val="18"/>
    </w:rPr>
  </w:style>
  <w:style w:type="character" w:customStyle="1" w:styleId="aa">
    <w:name w:val="日期 字符"/>
    <w:basedOn w:val="a0"/>
    <w:link w:val="a9"/>
    <w:qFormat/>
    <w:rPr>
      <w:rFonts w:ascii="仿宋_GB2312" w:eastAsia="仿宋_GB2312" w:hAnsi="Times New Roman" w:cs="Times New Roman"/>
      <w:b/>
      <w:kern w:val="0"/>
      <w:sz w:val="28"/>
      <w:szCs w:val="20"/>
    </w:rPr>
  </w:style>
  <w:style w:type="character" w:customStyle="1" w:styleId="af7">
    <w:name w:val="正文文本 字符"/>
    <w:basedOn w:val="a0"/>
    <w:uiPriority w:val="99"/>
    <w:semiHidden/>
    <w:qFormat/>
  </w:style>
  <w:style w:type="character" w:customStyle="1" w:styleId="1">
    <w:name w:val="正文文本 字符1"/>
    <w:link w:val="a5"/>
    <w:qFormat/>
    <w:rPr>
      <w:rFonts w:ascii="Times New Roman" w:eastAsia="宋体" w:hAnsi="Times New Roman" w:cs="Times New Roman"/>
      <w:szCs w:val="24"/>
    </w:rPr>
  </w:style>
  <w:style w:type="character" w:customStyle="1" w:styleId="a7">
    <w:name w:val="正文文本缩进 字符"/>
    <w:basedOn w:val="a0"/>
    <w:link w:val="a6"/>
    <w:qFormat/>
    <w:rPr>
      <w:rFonts w:ascii="Times New Roman" w:eastAsia="宋体" w:hAnsi="Times New Roman" w:cs="Times New Roman"/>
      <w:szCs w:val="24"/>
    </w:rPr>
  </w:style>
  <w:style w:type="character" w:customStyle="1" w:styleId="CharChar3">
    <w:name w:val="Char Char3"/>
    <w:qFormat/>
    <w:rPr>
      <w:rFonts w:ascii="Times New Roman" w:eastAsia="宋体" w:hAnsi="Times New Roman" w:cs="Times New Roman"/>
      <w:szCs w:val="24"/>
    </w:rPr>
  </w:style>
  <w:style w:type="paragraph" w:styleId="af8">
    <w:name w:val="List Paragraph"/>
    <w:basedOn w:val="a"/>
    <w:qFormat/>
    <w:pPr>
      <w:ind w:firstLineChars="200" w:firstLine="420"/>
    </w:pPr>
    <w:rPr>
      <w:rFonts w:ascii="Calibri" w:eastAsia="宋体" w:hAnsi="Calibri" w:cs="Times New Roman"/>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qFormat/>
    <w:pPr>
      <w:widowControl/>
      <w:spacing w:after="160" w:line="240" w:lineRule="exact"/>
      <w:jc w:val="left"/>
    </w:pPr>
    <w:rPr>
      <w:rFonts w:ascii="Verdana" w:eastAsia="宋体" w:hAnsi="Verdana" w:cs="Times New Roman"/>
      <w:kern w:val="0"/>
      <w:sz w:val="20"/>
      <w:szCs w:val="20"/>
      <w:lang w:eastAsia="en-US"/>
    </w:rPr>
  </w:style>
  <w:style w:type="paragraph" w:customStyle="1" w:styleId="Char">
    <w:name w:val="Char"/>
    <w:basedOn w:val="a"/>
    <w:qFormat/>
    <w:rPr>
      <w:rFonts w:ascii="Times New Roman" w:eastAsia="宋体" w:hAnsi="Times New Roman" w:cs="Times New Roman"/>
      <w:szCs w:val="24"/>
    </w:rPr>
  </w:style>
  <w:style w:type="character" w:customStyle="1" w:styleId="Char0">
    <w:name w:val="页眉 Char"/>
    <w:qFormat/>
    <w:rPr>
      <w:kern w:val="2"/>
      <w:sz w:val="18"/>
      <w:szCs w:val="18"/>
    </w:rPr>
  </w:style>
  <w:style w:type="character" w:customStyle="1" w:styleId="Char1">
    <w:name w:val="页脚 Char"/>
    <w:uiPriority w:val="99"/>
    <w:qFormat/>
    <w:rPr>
      <w:kern w:val="2"/>
      <w:sz w:val="18"/>
      <w:szCs w:val="18"/>
    </w:rPr>
  </w:style>
  <w:style w:type="character" w:customStyle="1" w:styleId="style81">
    <w:name w:val="style81"/>
    <w:qFormat/>
    <w:rPr>
      <w:b/>
      <w:bCs/>
      <w:spacing w:val="15"/>
      <w:sz w:val="24"/>
      <w:szCs w:val="24"/>
    </w:rPr>
  </w:style>
  <w:style w:type="character" w:customStyle="1" w:styleId="af9">
    <w:name w:val="纯文本 字符"/>
    <w:basedOn w:val="a0"/>
    <w:uiPriority w:val="99"/>
    <w:semiHidden/>
    <w:qFormat/>
    <w:rPr>
      <w:rFonts w:asciiTheme="minorEastAsia" w:hAnsi="Courier New" w:cs="Courier New"/>
    </w:rPr>
  </w:style>
  <w:style w:type="character" w:customStyle="1" w:styleId="10">
    <w:name w:val="纯文本 字符1"/>
    <w:link w:val="a8"/>
    <w:qFormat/>
    <w:rPr>
      <w:rFonts w:ascii="宋体" w:eastAsia="宋体" w:hAnsi="Courier New" w:cs="Courier New"/>
      <w:szCs w:val="21"/>
    </w:rPr>
  </w:style>
  <w:style w:type="character" w:customStyle="1" w:styleId="a4">
    <w:name w:val="批注文字 字符"/>
    <w:basedOn w:val="a0"/>
    <w:link w:val="a3"/>
    <w:uiPriority w:val="99"/>
    <w:qFormat/>
  </w:style>
  <w:style w:type="character" w:customStyle="1" w:styleId="af3">
    <w:name w:val="批注主题 字符"/>
    <w:basedOn w:val="a4"/>
    <w:link w:val="af2"/>
    <w:uiPriority w:val="99"/>
    <w:semiHidden/>
    <w:qFormat/>
    <w:rPr>
      <w:b/>
      <w:bCs/>
    </w:rPr>
  </w:style>
  <w:style w:type="paragraph" w:customStyle="1" w:styleId="afa">
    <w:name w:val="公文标题"/>
    <w:basedOn w:val="a"/>
    <w:qFormat/>
    <w:rPr>
      <w:rFonts w:ascii="方正小标宋简体" w:eastAsia="方正小标宋简体" w:hAnsi="Times New Roman" w:cs="Times New Roman"/>
      <w:sz w:val="44"/>
      <w:szCs w:val="24"/>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2">
    <w:name w:val="修订2"/>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2F6F2-D0BA-4891-81E0-316E913CC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385</Words>
  <Characters>2197</Characters>
  <Application>Microsoft Office Word</Application>
  <DocSecurity>0</DocSecurity>
  <Lines>18</Lines>
  <Paragraphs>5</Paragraphs>
  <ScaleCrop>false</ScaleCrop>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鹏 翟</cp:lastModifiedBy>
  <cp:revision>6</cp:revision>
  <cp:lastPrinted>2022-04-21T02:17:00Z</cp:lastPrinted>
  <dcterms:created xsi:type="dcterms:W3CDTF">2025-11-13T02:35:00Z</dcterms:created>
  <dcterms:modified xsi:type="dcterms:W3CDTF">2025-11-19T11:17:00Z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eyJoZGlkIjoiMmFmNjI2NzYwYjQxZDU3OGVhY2Q0ZGUwZmM0NjIxNmQiLCJ1c2VySWQiOiIxMTM5NjUyOTIxIn0=</vt:lpwstr>
  </property>
  <property fmtid="{D5CDD505-2E9C-101B-9397-08002B2CF9AE}" pid="3" name="KSOProductBuildVer">
    <vt:lpwstr>2052-12.1.0.23542</vt:lpwstr>
  </property>
  <property fmtid="{D5CDD505-2E9C-101B-9397-08002B2CF9AE}" pid="4" name="ICV">
    <vt:lpwstr>44A34C69E1714F6A8DF484CB9D97E6C1_13</vt:lpwstr>
  </property>
</Properties>
</file>