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left"/>
        <w:rPr>
          <w:rFonts w:hint="default" w:ascii="Times New Roman" w:hAnsi="Times New Roman" w:cs="Times New Roman"/>
        </w:rPr>
      </w:pPr>
      <w:r>
        <w:rPr>
          <w:rFonts w:hint="default" w:ascii="Times New Roman" w:hAnsi="Times New Roman" w:cs="Times New Roman"/>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pPr>
        <w:spacing w:line="480" w:lineRule="auto"/>
        <w:rPr>
          <w:rFonts w:hint="default" w:ascii="Times New Roman" w:hAnsi="Times New Roman" w:cs="Times New Roman"/>
          <w:color w:val="000000"/>
          <w:sz w:val="44"/>
          <w:szCs w:val="20"/>
        </w:rPr>
      </w:pPr>
    </w:p>
    <w:p>
      <w:pPr>
        <w:tabs>
          <w:tab w:val="left" w:pos="880"/>
        </w:tabs>
        <w:spacing w:line="480" w:lineRule="auto"/>
        <w:rPr>
          <w:rFonts w:hint="default" w:ascii="Times New Roman" w:hAnsi="Times New Roman" w:cs="Times New Roman"/>
          <w:color w:val="000000"/>
          <w:sz w:val="44"/>
          <w:szCs w:val="20"/>
        </w:rPr>
      </w:pPr>
      <w:r>
        <w:rPr>
          <w:rFonts w:hint="default" w:ascii="Times New Roman" w:hAnsi="Times New Roman" w:cs="Times New Roman"/>
          <w:color w:val="000000"/>
          <w:sz w:val="44"/>
          <w:szCs w:val="20"/>
        </w:rPr>
        <w:tab/>
      </w:r>
    </w:p>
    <w:p>
      <w:pPr>
        <w:spacing w:line="480" w:lineRule="auto"/>
        <w:rPr>
          <w:rFonts w:hint="default" w:ascii="Times New Roman" w:hAnsi="Times New Roman" w:cs="Times New Roman"/>
          <w:color w:val="000000"/>
          <w:sz w:val="44"/>
          <w:szCs w:val="20"/>
        </w:rPr>
      </w:pPr>
    </w:p>
    <w:p>
      <w:pPr>
        <w:spacing w:line="480" w:lineRule="auto"/>
        <w:jc w:val="center"/>
        <w:rPr>
          <w:rFonts w:hint="default" w:ascii="Times New Roman" w:hAnsi="Times New Roman" w:eastAsia="黑体" w:cs="Times New Roman"/>
          <w:color w:val="000000"/>
          <w:sz w:val="44"/>
        </w:rPr>
      </w:pPr>
      <w:r>
        <w:rPr>
          <w:rFonts w:hint="default" w:ascii="Times New Roman" w:hAnsi="Times New Roman" w:eastAsia="黑体" w:cs="Times New Roman"/>
          <w:color w:val="000000"/>
          <w:sz w:val="44"/>
        </w:rPr>
        <w:t>《</w:t>
      </w:r>
      <w:r>
        <w:rPr>
          <w:rFonts w:hint="default" w:ascii="Times New Roman" w:hAnsi="Times New Roman" w:eastAsia="黑体" w:cs="Times New Roman"/>
          <w:color w:val="0070C0"/>
          <w:sz w:val="44"/>
        </w:rPr>
        <w:t>完井工程课程设计</w:t>
      </w:r>
      <w:r>
        <w:rPr>
          <w:rFonts w:hint="default" w:ascii="Times New Roman" w:hAnsi="Times New Roman" w:eastAsia="黑体" w:cs="Times New Roman"/>
          <w:color w:val="000000"/>
          <w:sz w:val="44"/>
        </w:rPr>
        <w:t>》教学大纲</w:t>
      </w:r>
    </w:p>
    <w:p>
      <w:pPr>
        <w:spacing w:line="480" w:lineRule="auto"/>
        <w:jc w:val="center"/>
        <w:rPr>
          <w:rFonts w:hint="default" w:ascii="Times New Roman" w:hAnsi="Times New Roman" w:eastAsia="仿宋" w:cs="Times New Roman"/>
          <w:color w:val="000000"/>
          <w:sz w:val="28"/>
          <w:u w:val="single"/>
        </w:rPr>
      </w:pPr>
      <w:r>
        <w:rPr>
          <w:rFonts w:hint="default" w:ascii="Times New Roman" w:hAnsi="Times New Roman" w:eastAsia="仿宋" w:cs="Times New Roman"/>
          <w:color w:val="000000"/>
          <w:sz w:val="28"/>
          <w:u w:val="single"/>
        </w:rPr>
        <w:t>（第2版）</w:t>
      </w:r>
    </w:p>
    <w:p>
      <w:pPr>
        <w:spacing w:line="480" w:lineRule="auto"/>
        <w:rPr>
          <w:rFonts w:hint="default" w:ascii="Times New Roman" w:hAnsi="Times New Roman" w:cs="Times New Roman"/>
          <w:color w:val="000000"/>
          <w:sz w:val="32"/>
          <w:szCs w:val="20"/>
        </w:rPr>
      </w:pPr>
    </w:p>
    <w:p>
      <w:pPr>
        <w:spacing w:line="480" w:lineRule="auto"/>
        <w:rPr>
          <w:rFonts w:hint="default" w:ascii="Times New Roman" w:hAnsi="Times New Roman" w:cs="Times New Roman"/>
          <w:color w:val="000000"/>
          <w:sz w:val="32"/>
          <w:szCs w:val="20"/>
        </w:rPr>
      </w:pPr>
    </w:p>
    <w:p>
      <w:pPr>
        <w:spacing w:line="480" w:lineRule="auto"/>
        <w:rPr>
          <w:rFonts w:hint="default" w:ascii="Times New Roman" w:hAnsi="Times New Roman" w:cs="Times New Roman"/>
          <w:color w:val="000000"/>
          <w:sz w:val="32"/>
          <w:szCs w:val="20"/>
        </w:rPr>
      </w:pPr>
    </w:p>
    <w:p>
      <w:pPr>
        <w:spacing w:line="480" w:lineRule="auto"/>
        <w:rPr>
          <w:rFonts w:hint="default" w:ascii="Times New Roman" w:hAnsi="Times New Roman" w:cs="Times New Roman"/>
          <w:color w:val="000000"/>
          <w:sz w:val="32"/>
          <w:szCs w:val="20"/>
        </w:rPr>
      </w:pPr>
    </w:p>
    <w:p>
      <w:pPr>
        <w:spacing w:line="480" w:lineRule="auto"/>
        <w:rPr>
          <w:rFonts w:hint="default" w:ascii="Times New Roman" w:hAnsi="Times New Roman" w:cs="Times New Roman"/>
          <w:color w:val="000000"/>
          <w:sz w:val="32"/>
          <w:szCs w:val="20"/>
        </w:rPr>
      </w:pPr>
    </w:p>
    <w:p>
      <w:pPr>
        <w:spacing w:line="480" w:lineRule="auto"/>
        <w:rPr>
          <w:rFonts w:hint="default" w:ascii="Times New Roman" w:hAnsi="Times New Roman" w:cs="Times New Roman"/>
          <w:color w:val="000000"/>
          <w:sz w:val="32"/>
          <w:szCs w:val="20"/>
        </w:rPr>
      </w:pPr>
    </w:p>
    <w:p>
      <w:pPr>
        <w:spacing w:line="480" w:lineRule="auto"/>
        <w:rPr>
          <w:rFonts w:hint="default" w:ascii="Times New Roman" w:hAnsi="Times New Roman" w:cs="Times New Roman"/>
          <w:color w:val="000000"/>
          <w:sz w:val="32"/>
          <w:szCs w:val="20"/>
        </w:rPr>
      </w:pPr>
    </w:p>
    <w:p>
      <w:pPr>
        <w:spacing w:line="480" w:lineRule="auto"/>
        <w:rPr>
          <w:rFonts w:hint="default" w:ascii="Times New Roman" w:hAnsi="Times New Roman" w:cs="Times New Roman"/>
          <w:color w:val="000000"/>
          <w:sz w:val="28"/>
          <w:u w:val="single"/>
        </w:rPr>
      </w:pPr>
    </w:p>
    <w:tbl>
      <w:tblPr>
        <w:tblStyle w:val="9"/>
        <w:tblW w:w="0" w:type="auto"/>
        <w:jc w:val="center"/>
        <w:tblLayout w:type="autofit"/>
        <w:tblCellMar>
          <w:top w:w="0" w:type="dxa"/>
          <w:left w:w="108" w:type="dxa"/>
          <w:bottom w:w="0" w:type="dxa"/>
          <w:right w:w="108" w:type="dxa"/>
        </w:tblCellMar>
      </w:tblPr>
      <w:tblGrid>
        <w:gridCol w:w="2376"/>
        <w:gridCol w:w="3969"/>
      </w:tblGrid>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jc w:val="right"/>
              <w:rPr>
                <w:rFonts w:hint="default" w:ascii="Times New Roman" w:hAnsi="Times New Roman" w:eastAsia="仿宋" w:cs="Times New Roman"/>
                <w:b/>
                <w:bCs/>
                <w:color w:val="000000"/>
                <w:sz w:val="28"/>
              </w:rPr>
            </w:pPr>
            <w:r>
              <w:rPr>
                <w:rFonts w:hint="default" w:ascii="Times New Roman" w:hAnsi="Times New Roman" w:eastAsia="仿宋" w:cs="Times New Roman"/>
                <w:b/>
                <w:bCs/>
                <w:color w:val="000000"/>
                <w:sz w:val="28"/>
              </w:rPr>
              <w:t>执笔人：</w:t>
            </w:r>
          </w:p>
        </w:tc>
        <w:tc>
          <w:tcPr>
            <w:tcW w:w="3969" w:type="dxa"/>
            <w:tcBorders>
              <w:left w:val="nil"/>
              <w:bottom w:val="single" w:color="auto" w:sz="4" w:space="0"/>
            </w:tcBorders>
            <w:shd w:val="clear" w:color="auto" w:fill="auto"/>
            <w:vAlign w:val="center"/>
          </w:tcPr>
          <w:p>
            <w:pPr>
              <w:spacing w:line="480" w:lineRule="auto"/>
              <w:jc w:val="center"/>
              <w:rPr>
                <w:rFonts w:hint="default" w:ascii="Times New Roman" w:hAnsi="Times New Roman" w:cs="Times New Roman"/>
                <w:color w:val="000000"/>
                <w:sz w:val="28"/>
              </w:rPr>
            </w:pPr>
            <w:r>
              <w:rPr>
                <w:rFonts w:hint="default" w:ascii="Times New Roman" w:hAnsi="Times New Roman" w:cs="Times New Roman"/>
                <w:color w:val="000000"/>
                <w:sz w:val="28"/>
              </w:rPr>
              <w:t>赵岩龙</w:t>
            </w:r>
          </w:p>
        </w:tc>
      </w:tr>
      <w:tr>
        <w:tblPrEx>
          <w:tblCellMar>
            <w:top w:w="0" w:type="dxa"/>
            <w:left w:w="108" w:type="dxa"/>
            <w:bottom w:w="0" w:type="dxa"/>
            <w:right w:w="108" w:type="dxa"/>
          </w:tblCellMar>
        </w:tblPrEx>
        <w:trPr>
          <w:jc w:val="center"/>
        </w:trPr>
        <w:tc>
          <w:tcPr>
            <w:tcW w:w="2376" w:type="dxa"/>
            <w:shd w:val="clear" w:color="auto" w:fill="auto"/>
            <w:vAlign w:val="bottom"/>
          </w:tcPr>
          <w:p>
            <w:pPr>
              <w:spacing w:line="480" w:lineRule="auto"/>
              <w:jc w:val="right"/>
              <w:rPr>
                <w:rFonts w:hint="default" w:ascii="Times New Roman" w:hAnsi="Times New Roman" w:eastAsia="仿宋" w:cs="Times New Roman"/>
                <w:b/>
                <w:bCs/>
                <w:color w:val="000000"/>
                <w:sz w:val="28"/>
              </w:rPr>
            </w:pPr>
            <w:r>
              <w:rPr>
                <w:rFonts w:hint="default" w:ascii="Times New Roman" w:hAnsi="Times New Roman" w:eastAsia="仿宋" w:cs="Times New Roman"/>
                <w:b/>
                <w:bCs/>
                <w:color w:val="000000"/>
                <w:sz w:val="28"/>
              </w:rPr>
              <w:t>审核人：</w:t>
            </w:r>
          </w:p>
        </w:tc>
        <w:tc>
          <w:tcPr>
            <w:tcW w:w="3969" w:type="dxa"/>
            <w:tcBorders>
              <w:top w:val="single" w:color="auto" w:sz="4" w:space="0"/>
              <w:left w:val="nil"/>
              <w:bottom w:val="single" w:color="auto" w:sz="4" w:space="0"/>
            </w:tcBorders>
            <w:shd w:val="clear" w:color="auto" w:fill="auto"/>
            <w:vAlign w:val="center"/>
          </w:tcPr>
          <w:p>
            <w:pPr>
              <w:spacing w:line="480" w:lineRule="auto"/>
              <w:jc w:val="center"/>
              <w:rPr>
                <w:rFonts w:hint="eastAsia" w:ascii="Times New Roman" w:hAnsi="Times New Roman" w:eastAsia="宋体" w:cs="Times New Roman"/>
                <w:color w:val="000000"/>
                <w:sz w:val="28"/>
                <w:lang w:val="en-US" w:eastAsia="zh-CN"/>
              </w:rPr>
            </w:pPr>
            <w:r>
              <w:rPr>
                <w:rFonts w:hint="eastAsia" w:cs="Times New Roman"/>
                <w:color w:val="000000"/>
                <w:sz w:val="28"/>
                <w:lang w:val="en-US" w:eastAsia="zh-CN"/>
              </w:rPr>
              <w:t>刘红现</w:t>
            </w:r>
          </w:p>
        </w:tc>
      </w:tr>
    </w:tbl>
    <w:p>
      <w:pPr>
        <w:jc w:val="center"/>
        <w:rPr>
          <w:rFonts w:hint="default" w:ascii="Times New Roman" w:hAnsi="Times New Roman" w:eastAsia="仿宋" w:cs="Times New Roman"/>
          <w:color w:val="000000"/>
          <w:sz w:val="28"/>
          <w:u w:val="single"/>
        </w:rPr>
      </w:pPr>
    </w:p>
    <w:p>
      <w:pPr>
        <w:jc w:val="center"/>
        <w:rPr>
          <w:rFonts w:hint="default" w:ascii="Times New Roman" w:hAnsi="Times New Roman" w:eastAsia="仿宋" w:cs="Times New Roman"/>
          <w:color w:val="000000"/>
          <w:sz w:val="28"/>
          <w:u w:val="single"/>
        </w:rPr>
      </w:pPr>
    </w:p>
    <w:p>
      <w:pPr>
        <w:jc w:val="center"/>
        <w:rPr>
          <w:rFonts w:hint="default" w:ascii="Times New Roman" w:hAnsi="Times New Roman" w:eastAsia="仿宋" w:cs="Times New Roman"/>
          <w:color w:val="0070C0"/>
        </w:rPr>
      </w:pPr>
      <w:r>
        <w:rPr>
          <w:rFonts w:hint="default" w:ascii="Times New Roman" w:hAnsi="Times New Roman" w:eastAsia="仿宋" w:cs="Times New Roman"/>
          <w:color w:val="000000"/>
          <w:sz w:val="28"/>
          <w:u w:val="single"/>
        </w:rPr>
        <w:t>2024年3月制定</w:t>
      </w:r>
      <w:r>
        <w:rPr>
          <w:rFonts w:hint="default" w:ascii="Times New Roman" w:hAnsi="Times New Roman" w:eastAsia="仿宋_GB2312" w:cs="Times New Roman"/>
          <w:b/>
          <w:bCs/>
          <w:color w:val="000000"/>
          <w:sz w:val="28"/>
          <w:szCs w:val="28"/>
        </w:rPr>
        <w:br w:type="page"/>
      </w:r>
      <w:bookmarkStart w:id="0" w:name="_Toc231228604"/>
    </w:p>
    <w:p>
      <w:pPr>
        <w:spacing w:before="156" w:beforeLines="50" w:after="156" w:afterLines="50" w:line="360" w:lineRule="auto"/>
        <w:ind w:firstLine="560" w:firstLineChars="200"/>
        <w:jc w:val="left"/>
        <w:rPr>
          <w:rFonts w:hint="default" w:ascii="Times New Roman" w:hAnsi="Times New Roman" w:eastAsia="黑体" w:cs="Times New Roman"/>
          <w:color w:val="000000"/>
          <w:sz w:val="28"/>
          <w:szCs w:val="28"/>
        </w:rPr>
      </w:pPr>
      <w:r>
        <w:rPr>
          <w:rFonts w:hint="default" w:ascii="Times New Roman" w:hAnsi="Times New Roman" w:eastAsia="黑体" w:cs="Times New Roman"/>
          <w:color w:val="000000"/>
          <w:sz w:val="28"/>
          <w:szCs w:val="28"/>
        </w:rPr>
        <w:t>一、课程基本信息</w:t>
      </w:r>
    </w:p>
    <w:tbl>
      <w:tblPr>
        <w:tblStyle w:val="9"/>
        <w:tblW w:w="83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592"/>
        <w:gridCol w:w="1446"/>
        <w:gridCol w:w="247"/>
        <w:gridCol w:w="2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课程代码</w:t>
            </w:r>
          </w:p>
        </w:tc>
        <w:tc>
          <w:tcPr>
            <w:tcW w:w="2592" w:type="dxa"/>
            <w:vAlign w:val="center"/>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100203P004</w:t>
            </w:r>
          </w:p>
        </w:tc>
        <w:tc>
          <w:tcPr>
            <w:tcW w:w="1446" w:type="dxa"/>
            <w:vAlign w:val="center"/>
          </w:tcPr>
          <w:p>
            <w:pPr>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开课单位</w:t>
            </w:r>
          </w:p>
        </w:tc>
        <w:tc>
          <w:tcPr>
            <w:tcW w:w="2314" w:type="dxa"/>
            <w:gridSpan w:val="2"/>
            <w:vAlign w:val="center"/>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石油学院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课程名称（中文）</w:t>
            </w:r>
          </w:p>
        </w:tc>
        <w:tc>
          <w:tcPr>
            <w:tcW w:w="6352" w:type="dxa"/>
            <w:gridSpan w:val="4"/>
            <w:vAlign w:val="center"/>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完井工程课程设计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课程名称（英文）</w:t>
            </w:r>
          </w:p>
        </w:tc>
        <w:tc>
          <w:tcPr>
            <w:tcW w:w="6352" w:type="dxa"/>
            <w:gridSpan w:val="4"/>
            <w:vAlign w:val="center"/>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szCs w:val="21"/>
                <w:lang w:val="en-GB"/>
              </w:rPr>
              <w:t>Course Exercise of Well Completion Engineering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课程类别</w:t>
            </w:r>
          </w:p>
        </w:tc>
        <w:tc>
          <w:tcPr>
            <w:tcW w:w="6352" w:type="dxa"/>
            <w:gridSpan w:val="4"/>
            <w:vAlign w:val="center"/>
          </w:tcPr>
          <w:p>
            <w:pPr>
              <w:jc w:val="center"/>
              <w:rPr>
                <w:rFonts w:hint="default" w:ascii="Times New Roman" w:hAnsi="Times New Roman" w:eastAsia="仿宋" w:cs="Times New Roman"/>
                <w:color w:val="FF0000"/>
                <w:sz w:val="24"/>
              </w:rPr>
            </w:pPr>
            <w:r>
              <w:rPr>
                <w:rFonts w:hint="default" w:ascii="Times New Roman" w:hAnsi="Times New Roman" w:eastAsia="仿宋" w:cs="Times New Roman"/>
                <w:color w:val="000000"/>
                <w:sz w:val="24"/>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适用专业</w:t>
            </w:r>
          </w:p>
        </w:tc>
        <w:tc>
          <w:tcPr>
            <w:tcW w:w="6352" w:type="dxa"/>
            <w:gridSpan w:val="4"/>
            <w:vAlign w:val="center"/>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石油工程专业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总学分</w:t>
            </w:r>
          </w:p>
        </w:tc>
        <w:tc>
          <w:tcPr>
            <w:tcW w:w="2592" w:type="dxa"/>
            <w:vAlign w:val="center"/>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1</w:t>
            </w:r>
          </w:p>
        </w:tc>
        <w:tc>
          <w:tcPr>
            <w:tcW w:w="1693" w:type="dxa"/>
            <w:gridSpan w:val="2"/>
            <w:vAlign w:val="center"/>
          </w:tcPr>
          <w:p>
            <w:pPr>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总学时</w:t>
            </w:r>
          </w:p>
        </w:tc>
        <w:tc>
          <w:tcPr>
            <w:tcW w:w="2067" w:type="dxa"/>
            <w:vAlign w:val="center"/>
          </w:tcPr>
          <w:p>
            <w:pPr>
              <w:jc w:val="center"/>
              <w:rPr>
                <w:rFonts w:hint="eastAsia" w:ascii="Times New Roman" w:hAnsi="Times New Roman" w:eastAsia="仿宋" w:cs="Times New Roman"/>
                <w:color w:val="000000"/>
                <w:sz w:val="24"/>
                <w:lang w:val="en-US" w:eastAsia="zh-CN"/>
              </w:rPr>
            </w:pPr>
            <w:r>
              <w:rPr>
                <w:rFonts w:hint="default" w:ascii="Times New Roman" w:hAnsi="Times New Roman" w:eastAsia="仿宋" w:cs="Times New Roman"/>
                <w:color w:val="000000"/>
                <w:sz w:val="24"/>
              </w:rPr>
              <w:t>1</w:t>
            </w:r>
            <w:r>
              <w:rPr>
                <w:rFonts w:hint="eastAsia" w:eastAsia="仿宋" w:cs="Times New Roman"/>
                <w:color w:val="000000"/>
                <w:sz w:val="24"/>
                <w:lang w:val="en-US" w:eastAsia="zh-CN"/>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理论学时</w:t>
            </w:r>
          </w:p>
        </w:tc>
        <w:tc>
          <w:tcPr>
            <w:tcW w:w="2592" w:type="dxa"/>
            <w:vAlign w:val="center"/>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1</w:t>
            </w:r>
          </w:p>
        </w:tc>
        <w:tc>
          <w:tcPr>
            <w:tcW w:w="1693" w:type="dxa"/>
            <w:gridSpan w:val="2"/>
            <w:vAlign w:val="center"/>
          </w:tcPr>
          <w:p>
            <w:pPr>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实验学时</w:t>
            </w:r>
          </w:p>
        </w:tc>
        <w:tc>
          <w:tcPr>
            <w:tcW w:w="2067" w:type="dxa"/>
            <w:vAlign w:val="center"/>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上机学时</w:t>
            </w:r>
          </w:p>
        </w:tc>
        <w:tc>
          <w:tcPr>
            <w:tcW w:w="2592" w:type="dxa"/>
            <w:vAlign w:val="center"/>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0</w:t>
            </w:r>
          </w:p>
        </w:tc>
        <w:tc>
          <w:tcPr>
            <w:tcW w:w="1693" w:type="dxa"/>
            <w:gridSpan w:val="2"/>
            <w:vAlign w:val="center"/>
          </w:tcPr>
          <w:p>
            <w:pPr>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其他实践学时</w:t>
            </w:r>
          </w:p>
        </w:tc>
        <w:tc>
          <w:tcPr>
            <w:tcW w:w="2067" w:type="dxa"/>
            <w:vAlign w:val="center"/>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1" w:type="dxa"/>
            <w:vAlign w:val="center"/>
          </w:tcPr>
          <w:p>
            <w:pPr>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先修课程</w:t>
            </w:r>
          </w:p>
        </w:tc>
        <w:tc>
          <w:tcPr>
            <w:tcW w:w="6352" w:type="dxa"/>
            <w:gridSpan w:val="4"/>
            <w:vAlign w:val="center"/>
          </w:tcPr>
          <w:p>
            <w:pPr>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完井工程</w:t>
            </w:r>
          </w:p>
        </w:tc>
      </w:tr>
    </w:tbl>
    <w:p>
      <w:pPr>
        <w:tabs>
          <w:tab w:val="left" w:pos="-5670"/>
          <w:tab w:val="left" w:pos="-5245"/>
          <w:tab w:val="left" w:pos="1134"/>
        </w:tabs>
        <w:spacing w:before="156" w:beforeLines="50" w:after="156" w:afterLines="50" w:line="360" w:lineRule="auto"/>
        <w:ind w:firstLine="560" w:firstLineChars="200"/>
        <w:rPr>
          <w:rFonts w:hint="default" w:ascii="Times New Roman" w:hAnsi="Times New Roman" w:eastAsia="黑体" w:cs="Times New Roman"/>
          <w:color w:val="000000"/>
          <w:sz w:val="28"/>
          <w:szCs w:val="28"/>
        </w:rPr>
      </w:pPr>
      <w:r>
        <w:rPr>
          <w:rFonts w:hint="default" w:ascii="Times New Roman" w:hAnsi="Times New Roman" w:eastAsia="黑体" w:cs="Times New Roman"/>
          <w:color w:val="000000"/>
          <w:sz w:val="28"/>
          <w:szCs w:val="28"/>
        </w:rPr>
        <w:t>二、课程简介</w:t>
      </w:r>
    </w:p>
    <w:p>
      <w:pPr>
        <w:ind w:firstLine="480" w:firstLineChars="200"/>
        <w:rPr>
          <w:rFonts w:hint="default" w:ascii="Times New Roman" w:hAnsi="Times New Roman" w:eastAsia="仿宋" w:cs="Times New Roman"/>
          <w:sz w:val="24"/>
          <w:lang w:val="en-GB"/>
        </w:rPr>
      </w:pPr>
      <w:r>
        <w:rPr>
          <w:rFonts w:hint="default" w:ascii="Times New Roman" w:hAnsi="Times New Roman" w:eastAsia="仿宋" w:cs="Times New Roman"/>
          <w:sz w:val="24"/>
          <w:lang w:val="en-GB"/>
        </w:rPr>
        <w:t>完井工程是衔接钻井与采油工程，包括钻开储层、下生产管柱、固井、射孔、压裂等过程的一项系统工程。《完井工程课程设计》是为石油工程专业开设的一门专业实践课程，是从事油气勘探开发工作必不可少的专业实践环节之一。《完井工程课程设计》是石油工程课程设计的一部分，是完井工程课程的进一步延伸，本课程的任务是使学生掌握完井工程中的基本原理及概念、相关计算流程和优化设计方法，巩固已学过的完井工程系统知识。要求在复习完井工程相关设计原理和方法基础上，独立完成实例计算，增强综合运用知识和解决实际问题的能力。</w:t>
      </w:r>
    </w:p>
    <w:p>
      <w:pPr>
        <w:tabs>
          <w:tab w:val="left" w:pos="-5670"/>
          <w:tab w:val="left" w:pos="-5245"/>
          <w:tab w:val="left" w:pos="1134"/>
        </w:tabs>
        <w:spacing w:before="156" w:beforeLines="50" w:after="156" w:afterLines="50" w:line="360" w:lineRule="auto"/>
        <w:ind w:firstLine="560" w:firstLineChars="200"/>
        <w:rPr>
          <w:rFonts w:hint="default" w:ascii="Times New Roman" w:hAnsi="Times New Roman" w:eastAsia="黑体" w:cs="Times New Roman"/>
          <w:color w:val="000000"/>
          <w:sz w:val="28"/>
          <w:szCs w:val="28"/>
        </w:rPr>
      </w:pPr>
      <w:r>
        <w:rPr>
          <w:rFonts w:hint="default" w:ascii="Times New Roman" w:hAnsi="Times New Roman" w:eastAsia="黑体" w:cs="Times New Roman"/>
          <w:color w:val="000000"/>
          <w:sz w:val="28"/>
          <w:szCs w:val="28"/>
        </w:rPr>
        <w:t>三、课程目标及对毕业要求的支撑</w:t>
      </w:r>
    </w:p>
    <w:p>
      <w:pPr>
        <w:snapToGrid w:val="0"/>
        <w:spacing w:line="360" w:lineRule="auto"/>
        <w:ind w:firstLine="482" w:firstLineChars="200"/>
        <w:rPr>
          <w:rFonts w:hint="default" w:ascii="Times New Roman" w:hAnsi="Times New Roman" w:eastAsia="仿宋" w:cs="Times New Roman"/>
          <w:b/>
          <w:bCs/>
          <w:sz w:val="24"/>
        </w:rPr>
      </w:pPr>
      <w:r>
        <w:rPr>
          <w:rFonts w:hint="default" w:ascii="Times New Roman" w:hAnsi="Times New Roman" w:eastAsia="仿宋" w:cs="Times New Roman"/>
          <w:b/>
          <w:bCs/>
          <w:sz w:val="24"/>
        </w:rPr>
        <w:t>（一）课程目标</w:t>
      </w:r>
    </w:p>
    <w:p>
      <w:pPr>
        <w:spacing w:line="360" w:lineRule="auto"/>
        <w:ind w:firstLine="482" w:firstLineChars="200"/>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课程目标1：</w:t>
      </w:r>
    </w:p>
    <w:p>
      <w:pPr>
        <w:ind w:firstLine="480" w:firstLineChars="200"/>
        <w:rPr>
          <w:rFonts w:hint="default" w:ascii="Times New Roman" w:hAnsi="Times New Roman" w:eastAsia="仿宋" w:cs="Times New Roman"/>
          <w:sz w:val="24"/>
          <w:lang w:val="en-GB"/>
        </w:rPr>
      </w:pPr>
      <w:r>
        <w:rPr>
          <w:rFonts w:hint="default" w:ascii="Times New Roman" w:hAnsi="Times New Roman" w:eastAsia="仿宋" w:cs="Times New Roman"/>
          <w:sz w:val="24"/>
          <w:lang w:val="en-GB"/>
        </w:rPr>
        <w:t>通过在授课过程中引入课程思政内容，通过典型事迹及案例，培养学生探索精神、创新精神、爱国主义精神，加强学生科技强国、科技报国、攻坚克难的意识。</w:t>
      </w:r>
    </w:p>
    <w:p>
      <w:pPr>
        <w:spacing w:line="360" w:lineRule="auto"/>
        <w:ind w:firstLine="482" w:firstLineChars="200"/>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课程目标2：</w:t>
      </w:r>
    </w:p>
    <w:p>
      <w:pPr>
        <w:spacing w:line="360" w:lineRule="auto"/>
        <w:ind w:firstLine="480" w:firstLineChars="200"/>
        <w:rPr>
          <w:rFonts w:hint="default" w:ascii="Times New Roman" w:hAnsi="Times New Roman" w:eastAsia="仿宋" w:cs="Times New Roman"/>
          <w:bCs/>
          <w:color w:val="0070C0"/>
          <w:sz w:val="24"/>
        </w:rPr>
      </w:pPr>
      <w:r>
        <w:rPr>
          <w:rFonts w:hint="default" w:ascii="Times New Roman" w:hAnsi="Times New Roman" w:eastAsia="仿宋" w:cs="Times New Roman"/>
          <w:sz w:val="24"/>
          <w:lang w:val="en-GB"/>
        </w:rPr>
        <w:t>能够理解和掌握完井工程的基本概念、基本原理和基本研究方法，培养学生科学严谨的工程意识、发扬“我为祖国献石油”、“到祖国需要的地方去”的奉献精神。</w:t>
      </w:r>
    </w:p>
    <w:p>
      <w:pPr>
        <w:spacing w:line="360" w:lineRule="auto"/>
        <w:ind w:firstLine="482" w:firstLineChars="200"/>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课程目标3：</w:t>
      </w:r>
    </w:p>
    <w:p>
      <w:pPr>
        <w:suppressAutoHyphens/>
        <w:adjustRightInd w:val="0"/>
        <w:snapToGrid w:val="0"/>
        <w:spacing w:line="300" w:lineRule="auto"/>
        <w:ind w:right="102" w:firstLine="480" w:firstLineChars="200"/>
        <w:rPr>
          <w:rFonts w:hint="default" w:ascii="Times New Roman" w:hAnsi="Times New Roman" w:eastAsia="仿宋" w:cs="Times New Roman"/>
          <w:sz w:val="24"/>
          <w:lang w:val="en-GB"/>
        </w:rPr>
      </w:pPr>
      <w:r>
        <w:rPr>
          <w:rFonts w:hint="default" w:ascii="Times New Roman" w:hAnsi="Times New Roman" w:eastAsia="仿宋" w:cs="Times New Roman"/>
          <w:sz w:val="24"/>
          <w:lang w:val="en-GB"/>
        </w:rPr>
        <w:t>掌握完井工程中固井设计的主要内容、设计流程与基本原则，掌握固井设计常用术语和参数意义，参照任课教师提供的完井工程设计内容与基础数据，完成固井设计中主要环节的设计，并完成《完井工程课程设计》报告的撰写，提高解决复杂工程问题能力的基本素养。</w:t>
      </w:r>
    </w:p>
    <w:p>
      <w:pPr>
        <w:tabs>
          <w:tab w:val="left" w:pos="-5670"/>
          <w:tab w:val="left" w:pos="-5245"/>
          <w:tab w:val="left" w:pos="1134"/>
        </w:tabs>
        <w:spacing w:before="156" w:beforeLines="50" w:after="156" w:afterLines="50" w:line="360" w:lineRule="auto"/>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（二）课程目标对毕业要求的支撑</w:t>
      </w:r>
    </w:p>
    <w:tbl>
      <w:tblPr>
        <w:tblStyle w:val="9"/>
        <w:tblW w:w="5000" w:type="pct"/>
        <w:jc w:val="center"/>
        <w:tblLayout w:type="autofit"/>
        <w:tblCellMar>
          <w:top w:w="0" w:type="dxa"/>
          <w:left w:w="108" w:type="dxa"/>
          <w:bottom w:w="0" w:type="dxa"/>
          <w:right w:w="108" w:type="dxa"/>
        </w:tblCellMar>
      </w:tblPr>
      <w:tblGrid>
        <w:gridCol w:w="2519"/>
        <w:gridCol w:w="2408"/>
        <w:gridCol w:w="2129"/>
        <w:gridCol w:w="1466"/>
      </w:tblGrid>
      <w:tr>
        <w:tblPrEx>
          <w:tblCellMar>
            <w:top w:w="0" w:type="dxa"/>
            <w:left w:w="108" w:type="dxa"/>
            <w:bottom w:w="0" w:type="dxa"/>
            <w:right w:w="108" w:type="dxa"/>
          </w:tblCellMar>
        </w:tblPrEx>
        <w:trPr>
          <w:trHeight w:val="510" w:hRule="atLeast"/>
          <w:jc w:val="center"/>
        </w:trPr>
        <w:tc>
          <w:tcPr>
            <w:tcW w:w="147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76" w:lineRule="auto"/>
              <w:jc w:val="center"/>
              <w:rPr>
                <w:rFonts w:hint="default" w:ascii="Times New Roman" w:hAnsi="Times New Roman" w:eastAsia="仿宋" w:cs="Times New Roman"/>
                <w:b/>
                <w:color w:val="000000"/>
                <w:kern w:val="0"/>
                <w:sz w:val="24"/>
              </w:rPr>
            </w:pPr>
            <w:r>
              <w:rPr>
                <w:rFonts w:hint="default" w:ascii="Times New Roman" w:hAnsi="Times New Roman" w:eastAsia="仿宋" w:cs="Times New Roman"/>
                <w:b/>
                <w:color w:val="000000"/>
                <w:kern w:val="0"/>
                <w:sz w:val="24"/>
              </w:rPr>
              <w:t>毕业要求</w:t>
            </w:r>
          </w:p>
        </w:tc>
        <w:tc>
          <w:tcPr>
            <w:tcW w:w="1413" w:type="pct"/>
            <w:tcBorders>
              <w:top w:val="single" w:color="auto" w:sz="4" w:space="0"/>
              <w:left w:val="nil"/>
              <w:bottom w:val="single" w:color="auto" w:sz="4" w:space="0"/>
              <w:right w:val="single" w:color="auto" w:sz="4" w:space="0"/>
            </w:tcBorders>
            <w:shd w:val="clear" w:color="auto" w:fill="auto"/>
            <w:vAlign w:val="center"/>
          </w:tcPr>
          <w:p>
            <w:pPr>
              <w:widowControl/>
              <w:spacing w:line="276" w:lineRule="auto"/>
              <w:jc w:val="center"/>
              <w:rPr>
                <w:rFonts w:hint="default" w:ascii="Times New Roman" w:hAnsi="Times New Roman" w:eastAsia="仿宋" w:cs="Times New Roman"/>
                <w:b/>
                <w:color w:val="000000"/>
                <w:kern w:val="0"/>
                <w:sz w:val="24"/>
              </w:rPr>
            </w:pPr>
            <w:r>
              <w:rPr>
                <w:rFonts w:hint="default" w:ascii="Times New Roman" w:hAnsi="Times New Roman" w:eastAsia="仿宋" w:cs="Times New Roman"/>
                <w:b/>
                <w:color w:val="000000"/>
                <w:kern w:val="0"/>
                <w:sz w:val="24"/>
              </w:rPr>
              <w:t>观测点</w:t>
            </w:r>
          </w:p>
        </w:tc>
        <w:tc>
          <w:tcPr>
            <w:tcW w:w="1249" w:type="pct"/>
            <w:tcBorders>
              <w:top w:val="single" w:color="auto" w:sz="4" w:space="0"/>
              <w:left w:val="nil"/>
              <w:bottom w:val="single" w:color="auto" w:sz="4" w:space="0"/>
              <w:right w:val="single" w:color="auto" w:sz="4" w:space="0"/>
            </w:tcBorders>
          </w:tcPr>
          <w:p>
            <w:pPr>
              <w:widowControl/>
              <w:spacing w:line="276" w:lineRule="auto"/>
              <w:jc w:val="center"/>
              <w:rPr>
                <w:rFonts w:hint="default" w:ascii="Times New Roman" w:hAnsi="Times New Roman" w:eastAsia="仿宋" w:cs="Times New Roman"/>
                <w:b/>
                <w:color w:val="000000"/>
                <w:kern w:val="0"/>
                <w:sz w:val="24"/>
              </w:rPr>
            </w:pPr>
            <w:r>
              <w:rPr>
                <w:rFonts w:hint="default" w:ascii="Times New Roman" w:hAnsi="Times New Roman" w:eastAsia="仿宋" w:cs="Times New Roman"/>
                <w:b/>
                <w:color w:val="000000"/>
                <w:kern w:val="0"/>
                <w:sz w:val="24"/>
              </w:rPr>
              <w:t>课程目标</w:t>
            </w:r>
          </w:p>
        </w:tc>
        <w:tc>
          <w:tcPr>
            <w:tcW w:w="860" w:type="pct"/>
            <w:tcBorders>
              <w:top w:val="single" w:color="auto" w:sz="4" w:space="0"/>
              <w:left w:val="nil"/>
              <w:bottom w:val="single" w:color="auto" w:sz="4" w:space="0"/>
              <w:right w:val="single" w:color="auto" w:sz="4" w:space="0"/>
            </w:tcBorders>
          </w:tcPr>
          <w:p>
            <w:pPr>
              <w:widowControl/>
              <w:spacing w:line="276" w:lineRule="auto"/>
              <w:jc w:val="center"/>
              <w:rPr>
                <w:rFonts w:hint="default" w:ascii="Times New Roman" w:hAnsi="Times New Roman" w:eastAsia="仿宋" w:cs="Times New Roman"/>
                <w:b/>
                <w:color w:val="000000"/>
                <w:kern w:val="0"/>
                <w:sz w:val="24"/>
              </w:rPr>
            </w:pPr>
            <w:r>
              <w:rPr>
                <w:rFonts w:hint="default" w:ascii="Times New Roman" w:hAnsi="Times New Roman" w:eastAsia="仿宋" w:cs="Times New Roman"/>
                <w:b/>
                <w:color w:val="000000"/>
                <w:kern w:val="0"/>
                <w:sz w:val="24"/>
              </w:rPr>
              <w:t>支撑强度</w:t>
            </w:r>
          </w:p>
        </w:tc>
      </w:tr>
      <w:tr>
        <w:tblPrEx>
          <w:tblCellMar>
            <w:top w:w="0" w:type="dxa"/>
            <w:left w:w="108" w:type="dxa"/>
            <w:bottom w:w="0" w:type="dxa"/>
            <w:right w:w="108" w:type="dxa"/>
          </w:tblCellMar>
        </w:tblPrEx>
        <w:trPr>
          <w:trHeight w:val="1425" w:hRule="atLeast"/>
          <w:jc w:val="center"/>
        </w:trPr>
        <w:tc>
          <w:tcPr>
            <w:tcW w:w="1478" w:type="pct"/>
            <w:tcBorders>
              <w:top w:val="single" w:color="auto" w:sz="4" w:space="0"/>
              <w:left w:val="single" w:color="auto" w:sz="4" w:space="0"/>
              <w:bottom w:val="single" w:color="auto" w:sz="4" w:space="0"/>
              <w:right w:val="single" w:color="auto" w:sz="4" w:space="0"/>
            </w:tcBorders>
          </w:tcPr>
          <w:p>
            <w:pPr>
              <w:widowControl/>
              <w:spacing w:line="276" w:lineRule="auto"/>
              <w:rPr>
                <w:rFonts w:hint="default" w:ascii="Times New Roman" w:hAnsi="Times New Roman" w:eastAsia="仿宋" w:cs="Times New Roman"/>
                <w:color w:val="0070C0"/>
                <w:kern w:val="0"/>
                <w:sz w:val="24"/>
              </w:rPr>
            </w:pPr>
            <w:r>
              <w:rPr>
                <w:rFonts w:hint="default" w:ascii="Times New Roman" w:hAnsi="Times New Roman" w:eastAsia="仿宋" w:cs="Times New Roman"/>
                <w:b/>
                <w:bCs/>
                <w:sz w:val="24"/>
              </w:rPr>
              <w:t>毕业要求1：</w:t>
            </w:r>
            <w:r>
              <w:rPr>
                <w:rFonts w:hint="default" w:ascii="Times New Roman" w:hAnsi="Times New Roman" w:eastAsia="仿宋" w:cs="Times New Roman"/>
                <w:b/>
                <w:bCs/>
                <w:color w:val="000000" w:themeColor="text1"/>
                <w:szCs w:val="21"/>
                <w14:textFill>
                  <w14:solidFill>
                    <w14:schemeClr w14:val="tx1"/>
                  </w14:solidFill>
                </w14:textFill>
              </w:rPr>
              <w:t>工程知识：</w:t>
            </w:r>
            <w:r>
              <w:rPr>
                <w:rFonts w:hint="default" w:ascii="Times New Roman" w:hAnsi="Times New Roman" w:eastAsia="仿宋" w:cs="Times New Roman"/>
                <w:bCs/>
                <w:color w:val="000000" w:themeColor="text1"/>
                <w:szCs w:val="21"/>
                <w14:textFill>
                  <w14:solidFill>
                    <w14:schemeClr w14:val="tx1"/>
                  </w14:solidFill>
                </w14:textFill>
              </w:rPr>
              <w:t>能够将数学、自然科学、工程基础和专业知识用于解决石油工程领域内的复杂工程问题。</w:t>
            </w:r>
          </w:p>
        </w:tc>
        <w:tc>
          <w:tcPr>
            <w:tcW w:w="1413" w:type="pct"/>
            <w:tcBorders>
              <w:top w:val="single" w:color="auto" w:sz="4" w:space="0"/>
              <w:left w:val="nil"/>
              <w:bottom w:val="single" w:color="auto" w:sz="4" w:space="0"/>
              <w:right w:val="single" w:color="auto" w:sz="4" w:space="0"/>
            </w:tcBorders>
          </w:tcPr>
          <w:p>
            <w:pPr>
              <w:spacing w:line="276" w:lineRule="auto"/>
              <w:rPr>
                <w:rFonts w:hint="default" w:ascii="Times New Roman" w:hAnsi="Times New Roman" w:eastAsia="仿宋" w:cs="Times New Roman"/>
                <w:color w:val="0070C0"/>
                <w:sz w:val="24"/>
              </w:rPr>
            </w:pPr>
            <w:r>
              <w:rPr>
                <w:rFonts w:hint="default" w:ascii="Times New Roman" w:hAnsi="Times New Roman" w:eastAsia="仿宋" w:cs="Times New Roman"/>
                <w:b/>
                <w:bCs/>
                <w:sz w:val="24"/>
              </w:rPr>
              <w:t>观测点1-2：</w:t>
            </w:r>
            <w:r>
              <w:rPr>
                <w:rFonts w:hint="default" w:ascii="Times New Roman" w:hAnsi="Times New Roman" w:eastAsia="仿宋" w:cs="Times New Roman"/>
                <w:bCs/>
                <w:color w:val="000000" w:themeColor="text1"/>
                <w:szCs w:val="21"/>
                <w14:textFill>
                  <w14:solidFill>
                    <w14:schemeClr w14:val="tx1"/>
                  </w14:solidFill>
                </w14:textFill>
              </w:rPr>
              <w:t>熟练掌握石油工程专业相关的工程基础知识，包括工程力学、流体力学、机械设计、地质学等方面的知识，了解石油工程涉及的石油地质、石油机械、测井、物探、地球化学等方面的基础知识。</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default" w:ascii="Times New Roman" w:hAnsi="Times New Roman" w:eastAsia="仿宋" w:cs="Times New Roman"/>
                <w:color w:val="000000"/>
                <w:sz w:val="24"/>
              </w:rPr>
            </w:pPr>
            <w:r>
              <w:rPr>
                <w:rFonts w:hint="default" w:ascii="Times New Roman" w:hAnsi="Times New Roman" w:eastAsia="仿宋" w:cs="Times New Roman"/>
                <w:color w:val="000000"/>
                <w:kern w:val="0"/>
                <w:sz w:val="24"/>
              </w:rPr>
              <w:t>课程目标1</w:t>
            </w:r>
          </w:p>
        </w:tc>
        <w:tc>
          <w:tcPr>
            <w:tcW w:w="860" w:type="pct"/>
            <w:tcBorders>
              <w:top w:val="single" w:color="auto" w:sz="4" w:space="0"/>
              <w:left w:val="nil"/>
              <w:bottom w:val="single" w:color="auto" w:sz="4" w:space="0"/>
              <w:right w:val="single" w:color="auto" w:sz="4" w:space="0"/>
            </w:tcBorders>
            <w:vAlign w:val="center"/>
          </w:tcPr>
          <w:p>
            <w:pPr>
              <w:spacing w:line="276" w:lineRule="auto"/>
              <w:ind w:left="360"/>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highlight w:val="lightGray"/>
              </w:rPr>
              <w:sym w:font="Wingdings 2" w:char="F052"/>
            </w:r>
            <w:r>
              <w:rPr>
                <w:rFonts w:hint="default" w:ascii="Times New Roman" w:hAnsi="Times New Roman" w:eastAsia="仿宋" w:cs="Times New Roman"/>
                <w:color w:val="000000"/>
                <w:sz w:val="24"/>
              </w:rPr>
              <w:t xml:space="preserve"> H</w:t>
            </w:r>
          </w:p>
          <w:p>
            <w:pPr>
              <w:numPr>
                <w:ilvl w:val="0"/>
                <w:numId w:val="1"/>
              </w:numPr>
              <w:spacing w:line="276"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M</w:t>
            </w:r>
          </w:p>
          <w:p>
            <w:pPr>
              <w:numPr>
                <w:ilvl w:val="0"/>
                <w:numId w:val="1"/>
              </w:numPr>
              <w:spacing w:line="276"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L</w:t>
            </w:r>
          </w:p>
        </w:tc>
      </w:tr>
      <w:tr>
        <w:tblPrEx>
          <w:tblCellMar>
            <w:top w:w="0" w:type="dxa"/>
            <w:left w:w="108" w:type="dxa"/>
            <w:bottom w:w="0" w:type="dxa"/>
            <w:right w:w="108" w:type="dxa"/>
          </w:tblCellMar>
        </w:tblPrEx>
        <w:trPr>
          <w:trHeight w:val="690" w:hRule="atLeast"/>
          <w:jc w:val="center"/>
        </w:trPr>
        <w:tc>
          <w:tcPr>
            <w:tcW w:w="1478" w:type="pct"/>
            <w:tcBorders>
              <w:top w:val="single" w:color="auto" w:sz="4" w:space="0"/>
              <w:left w:val="single" w:color="auto" w:sz="4" w:space="0"/>
              <w:bottom w:val="single" w:color="auto" w:sz="4" w:space="0"/>
              <w:right w:val="single" w:color="auto" w:sz="4" w:space="0"/>
            </w:tcBorders>
            <w:vAlign w:val="center"/>
          </w:tcPr>
          <w:p>
            <w:pPr>
              <w:widowControl/>
              <w:spacing w:line="276" w:lineRule="auto"/>
              <w:rPr>
                <w:rFonts w:hint="default" w:ascii="Times New Roman" w:hAnsi="Times New Roman" w:eastAsia="仿宋" w:cs="Times New Roman"/>
                <w:b/>
                <w:bCs/>
                <w:color w:val="000000"/>
                <w:kern w:val="0"/>
                <w:sz w:val="24"/>
              </w:rPr>
            </w:pPr>
            <w:r>
              <w:rPr>
                <w:rFonts w:hint="default" w:ascii="Times New Roman" w:hAnsi="Times New Roman" w:eastAsia="仿宋" w:cs="Times New Roman"/>
                <w:b/>
                <w:bCs/>
                <w:color w:val="000000"/>
                <w:kern w:val="0"/>
                <w:sz w:val="24"/>
              </w:rPr>
              <w:t>毕业要求2：</w:t>
            </w:r>
            <w:r>
              <w:rPr>
                <w:rFonts w:hint="default" w:ascii="Times New Roman" w:hAnsi="Times New Roman" w:eastAsia="仿宋" w:cs="Times New Roman"/>
                <w:b/>
                <w:bCs/>
                <w:color w:val="000000" w:themeColor="text1"/>
                <w:szCs w:val="21"/>
                <w14:textFill>
                  <w14:solidFill>
                    <w14:schemeClr w14:val="tx1"/>
                  </w14:solidFill>
                </w14:textFill>
              </w:rPr>
              <w:t>问题分析：</w:t>
            </w:r>
            <w:r>
              <w:rPr>
                <w:rFonts w:hint="default" w:ascii="Times New Roman" w:hAnsi="Times New Roman" w:eastAsia="仿宋" w:cs="Times New Roman"/>
                <w:bCs/>
                <w:color w:val="000000" w:themeColor="text1"/>
                <w:szCs w:val="21"/>
                <w14:textFill>
                  <w14:solidFill>
                    <w14:schemeClr w14:val="tx1"/>
                  </w14:solidFill>
                </w14:textFill>
              </w:rPr>
              <w:t>能够应用数学、自然科学和工程科学的基本原理，识别、表达、并通过文献研究分析石油工程领域内的复杂工程问题。</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default" w:ascii="Times New Roman" w:hAnsi="Times New Roman" w:eastAsia="仿宋" w:cs="Times New Roman"/>
                <w:b/>
                <w:bCs/>
                <w:color w:val="000000"/>
                <w:sz w:val="24"/>
              </w:rPr>
            </w:pPr>
            <w:r>
              <w:rPr>
                <w:rFonts w:hint="default" w:ascii="Times New Roman" w:hAnsi="Times New Roman" w:eastAsia="仿宋" w:cs="Times New Roman"/>
                <w:b/>
                <w:bCs/>
                <w:color w:val="000000"/>
                <w:sz w:val="24"/>
              </w:rPr>
              <w:t>观测点</w:t>
            </w:r>
            <w:r>
              <w:rPr>
                <w:rFonts w:hint="default" w:ascii="Times New Roman" w:hAnsi="Times New Roman" w:eastAsia="仿宋" w:cs="Times New Roman"/>
                <w:b/>
                <w:bCs/>
                <w:sz w:val="24"/>
              </w:rPr>
              <w:t>2-3：</w:t>
            </w:r>
            <w:r>
              <w:rPr>
                <w:rFonts w:hint="default" w:ascii="Times New Roman" w:hAnsi="Times New Roman" w:eastAsia="仿宋" w:cs="Times New Roman"/>
                <w:bCs/>
                <w:color w:val="000000" w:themeColor="text1"/>
                <w:szCs w:val="21"/>
                <w14:textFill>
                  <w14:solidFill>
                    <w14:schemeClr w14:val="tx1"/>
                  </w14:solidFill>
                </w14:textFill>
              </w:rPr>
              <w:t>能够应用数学、自然科学和工程科学的基本原理，识别、表达、并通过文献研究分析石油工程相关的复杂工程问题。</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default" w:ascii="Times New Roman" w:hAnsi="Times New Roman" w:eastAsia="仿宋" w:cs="Times New Roman"/>
                <w:color w:val="000000"/>
                <w:sz w:val="24"/>
              </w:rPr>
            </w:pPr>
            <w:r>
              <w:rPr>
                <w:rFonts w:hint="default" w:ascii="Times New Roman" w:hAnsi="Times New Roman" w:eastAsia="仿宋" w:cs="Times New Roman"/>
                <w:color w:val="000000"/>
                <w:kern w:val="0"/>
                <w:sz w:val="24"/>
              </w:rPr>
              <w:t>课程目标2</w:t>
            </w:r>
          </w:p>
        </w:tc>
        <w:tc>
          <w:tcPr>
            <w:tcW w:w="860" w:type="pct"/>
            <w:tcBorders>
              <w:top w:val="single" w:color="auto" w:sz="4" w:space="0"/>
              <w:left w:val="nil"/>
              <w:bottom w:val="single" w:color="auto" w:sz="4" w:space="0"/>
              <w:right w:val="single" w:color="auto" w:sz="4" w:space="0"/>
            </w:tcBorders>
          </w:tcPr>
          <w:p>
            <w:pPr>
              <w:spacing w:line="276" w:lineRule="auto"/>
              <w:ind w:left="360"/>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highlight w:val="lightGray"/>
              </w:rPr>
              <w:sym w:font="Wingdings 2" w:char="F052"/>
            </w:r>
            <w:r>
              <w:rPr>
                <w:rFonts w:hint="default" w:ascii="Times New Roman" w:hAnsi="Times New Roman" w:eastAsia="仿宋" w:cs="Times New Roman"/>
                <w:color w:val="000000"/>
                <w:sz w:val="24"/>
              </w:rPr>
              <w:t xml:space="preserve"> H</w:t>
            </w:r>
          </w:p>
          <w:p>
            <w:pPr>
              <w:numPr>
                <w:ilvl w:val="0"/>
                <w:numId w:val="1"/>
              </w:numPr>
              <w:spacing w:line="276"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M</w:t>
            </w:r>
          </w:p>
          <w:p>
            <w:pPr>
              <w:numPr>
                <w:ilvl w:val="0"/>
                <w:numId w:val="1"/>
              </w:numPr>
              <w:spacing w:line="276"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L</w:t>
            </w:r>
          </w:p>
        </w:tc>
      </w:tr>
      <w:tr>
        <w:tblPrEx>
          <w:tblCellMar>
            <w:top w:w="0" w:type="dxa"/>
            <w:left w:w="108" w:type="dxa"/>
            <w:bottom w:w="0" w:type="dxa"/>
            <w:right w:w="108" w:type="dxa"/>
          </w:tblCellMar>
        </w:tblPrEx>
        <w:trPr>
          <w:trHeight w:val="690" w:hRule="atLeast"/>
          <w:jc w:val="center"/>
        </w:trPr>
        <w:tc>
          <w:tcPr>
            <w:tcW w:w="1478" w:type="pct"/>
            <w:tcBorders>
              <w:top w:val="single" w:color="auto" w:sz="4" w:space="0"/>
              <w:left w:val="single" w:color="auto" w:sz="4" w:space="0"/>
              <w:bottom w:val="single" w:color="auto" w:sz="4" w:space="0"/>
              <w:right w:val="single" w:color="auto" w:sz="4" w:space="0"/>
            </w:tcBorders>
            <w:vAlign w:val="center"/>
          </w:tcPr>
          <w:p>
            <w:pPr>
              <w:widowControl/>
              <w:spacing w:line="276" w:lineRule="auto"/>
              <w:jc w:val="center"/>
              <w:rPr>
                <w:rFonts w:hint="default" w:ascii="Times New Roman" w:hAnsi="Times New Roman" w:eastAsia="仿宋" w:cs="Times New Roman"/>
                <w:color w:val="000000"/>
                <w:kern w:val="0"/>
                <w:sz w:val="24"/>
              </w:rPr>
            </w:pPr>
            <w:r>
              <w:rPr>
                <w:rFonts w:hint="default" w:ascii="Times New Roman" w:hAnsi="Times New Roman" w:eastAsia="仿宋" w:cs="Times New Roman"/>
                <w:b/>
                <w:bCs/>
                <w:color w:val="000000"/>
                <w:kern w:val="0"/>
                <w:sz w:val="24"/>
              </w:rPr>
              <w:t>毕业要求3：</w:t>
            </w:r>
            <w:r>
              <w:rPr>
                <w:rFonts w:hint="default" w:ascii="Times New Roman" w:hAnsi="Times New Roman" w:eastAsia="仿宋" w:cs="Times New Roman"/>
                <w:bCs/>
                <w:color w:val="000000" w:themeColor="text1"/>
                <w:szCs w:val="21"/>
                <w14:textFill>
                  <w14:solidFill>
                    <w14:schemeClr w14:val="tx1"/>
                  </w14:solidFill>
                </w14:textFill>
              </w:rPr>
              <w:t>能够基于科学原理并采用科学方法对石油工程领域内的复杂工程问题进行研究，包括设计实验、分析与解释数据、并通过信息综合得到合理有效的结论。</w:t>
            </w:r>
          </w:p>
        </w:tc>
        <w:tc>
          <w:tcPr>
            <w:tcW w:w="1413" w:type="pct"/>
            <w:tcBorders>
              <w:top w:val="single" w:color="auto" w:sz="4" w:space="0"/>
              <w:left w:val="nil"/>
              <w:bottom w:val="single" w:color="auto" w:sz="4" w:space="0"/>
              <w:right w:val="single" w:color="auto" w:sz="4" w:space="0"/>
            </w:tcBorders>
            <w:vAlign w:val="center"/>
          </w:tcPr>
          <w:p>
            <w:pPr>
              <w:spacing w:line="276" w:lineRule="auto"/>
              <w:rPr>
                <w:rFonts w:hint="default" w:ascii="Times New Roman" w:hAnsi="Times New Roman" w:eastAsia="仿宋" w:cs="Times New Roman"/>
                <w:color w:val="000000"/>
                <w:sz w:val="24"/>
              </w:rPr>
            </w:pPr>
            <w:r>
              <w:rPr>
                <w:rFonts w:hint="default" w:ascii="Times New Roman" w:hAnsi="Times New Roman" w:eastAsia="仿宋" w:cs="Times New Roman"/>
                <w:b/>
                <w:bCs/>
                <w:color w:val="000000"/>
                <w:sz w:val="24"/>
              </w:rPr>
              <w:t>观测点3：</w:t>
            </w:r>
            <w:r>
              <w:rPr>
                <w:rFonts w:hint="default" w:ascii="Times New Roman" w:hAnsi="Times New Roman" w:eastAsia="仿宋" w:cs="Times New Roman"/>
                <w:bCs/>
                <w:color w:val="000000" w:themeColor="text1"/>
                <w:szCs w:val="21"/>
                <w14:textFill>
                  <w14:solidFill>
                    <w14:schemeClr w14:val="tx1"/>
                  </w14:solidFill>
                </w14:textFill>
              </w:rPr>
              <w:t>具有一定的创新精神和开展技术革新的创新意识，掌握设计实验、分析与解释数据等初步的科学研究技能。</w:t>
            </w:r>
          </w:p>
        </w:tc>
        <w:tc>
          <w:tcPr>
            <w:tcW w:w="1249" w:type="pct"/>
            <w:tcBorders>
              <w:top w:val="single" w:color="auto" w:sz="4" w:space="0"/>
              <w:left w:val="nil"/>
              <w:bottom w:val="single" w:color="auto" w:sz="4" w:space="0"/>
              <w:right w:val="single" w:color="auto" w:sz="4" w:space="0"/>
            </w:tcBorders>
            <w:vAlign w:val="center"/>
          </w:tcPr>
          <w:p>
            <w:pPr>
              <w:spacing w:line="276" w:lineRule="auto"/>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课程目标3</w:t>
            </w:r>
          </w:p>
        </w:tc>
        <w:tc>
          <w:tcPr>
            <w:tcW w:w="860" w:type="pct"/>
            <w:tcBorders>
              <w:top w:val="single" w:color="auto" w:sz="4" w:space="0"/>
              <w:left w:val="nil"/>
              <w:bottom w:val="single" w:color="auto" w:sz="4" w:space="0"/>
              <w:right w:val="single" w:color="auto" w:sz="4" w:space="0"/>
            </w:tcBorders>
          </w:tcPr>
          <w:p>
            <w:pPr>
              <w:spacing w:line="276" w:lineRule="auto"/>
              <w:ind w:left="360"/>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highlight w:val="lightGray"/>
              </w:rPr>
              <w:sym w:font="Wingdings 2" w:char="F052"/>
            </w:r>
            <w:r>
              <w:rPr>
                <w:rFonts w:hint="default" w:ascii="Times New Roman" w:hAnsi="Times New Roman" w:eastAsia="仿宋" w:cs="Times New Roman"/>
                <w:color w:val="000000"/>
                <w:sz w:val="24"/>
              </w:rPr>
              <w:t xml:space="preserve"> H</w:t>
            </w:r>
          </w:p>
          <w:p>
            <w:pPr>
              <w:numPr>
                <w:ilvl w:val="0"/>
                <w:numId w:val="1"/>
              </w:numPr>
              <w:spacing w:line="276"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M</w:t>
            </w:r>
          </w:p>
          <w:p>
            <w:pPr>
              <w:numPr>
                <w:ilvl w:val="0"/>
                <w:numId w:val="1"/>
              </w:numPr>
              <w:spacing w:line="276" w:lineRule="auto"/>
              <w:jc w:val="center"/>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L</w:t>
            </w:r>
          </w:p>
        </w:tc>
      </w:tr>
    </w:tbl>
    <w:p>
      <w:pPr>
        <w:tabs>
          <w:tab w:val="left" w:pos="-5670"/>
          <w:tab w:val="left" w:pos="-5245"/>
          <w:tab w:val="left" w:pos="1134"/>
        </w:tabs>
        <w:spacing w:before="156" w:beforeLines="50" w:after="156" w:afterLines="50" w:line="360" w:lineRule="auto"/>
        <w:ind w:firstLine="560" w:firstLineChars="200"/>
        <w:rPr>
          <w:rFonts w:hint="default" w:ascii="Times New Roman" w:hAnsi="Times New Roman" w:eastAsia="黑体" w:cs="Times New Roman"/>
          <w:color w:val="000000"/>
          <w:sz w:val="28"/>
          <w:szCs w:val="28"/>
        </w:rPr>
      </w:pPr>
    </w:p>
    <w:p>
      <w:pPr>
        <w:tabs>
          <w:tab w:val="left" w:pos="-5670"/>
          <w:tab w:val="left" w:pos="-5245"/>
          <w:tab w:val="left" w:pos="1134"/>
        </w:tabs>
        <w:spacing w:before="156" w:beforeLines="50" w:after="156" w:afterLines="50" w:line="360" w:lineRule="auto"/>
        <w:ind w:firstLine="560" w:firstLineChars="200"/>
        <w:rPr>
          <w:rFonts w:hint="default" w:ascii="Times New Roman" w:hAnsi="Times New Roman" w:eastAsia="黑体" w:cs="Times New Roman"/>
          <w:color w:val="000000"/>
          <w:sz w:val="28"/>
          <w:szCs w:val="28"/>
        </w:rPr>
      </w:pPr>
      <w:r>
        <w:rPr>
          <w:rFonts w:hint="default" w:ascii="Times New Roman" w:hAnsi="Times New Roman" w:eastAsia="黑体" w:cs="Times New Roman"/>
          <w:color w:val="000000"/>
          <w:sz w:val="28"/>
          <w:szCs w:val="28"/>
        </w:rPr>
        <w:t>四、课程教学内容及对课程目标的支撑</w:t>
      </w:r>
    </w:p>
    <w:p>
      <w:pPr>
        <w:tabs>
          <w:tab w:val="left" w:pos="-5670"/>
          <w:tab w:val="left" w:pos="-5245"/>
          <w:tab w:val="left" w:pos="1134"/>
        </w:tabs>
        <w:spacing w:before="156" w:beforeLines="50" w:after="156" w:afterLines="50" w:line="360" w:lineRule="auto"/>
        <w:ind w:firstLine="560" w:firstLineChars="200"/>
        <w:rPr>
          <w:rFonts w:hint="default" w:ascii="Times New Roman" w:hAnsi="Times New Roman" w:eastAsia="黑体" w:cs="Times New Roman"/>
          <w:color w:val="000000"/>
          <w:sz w:val="28"/>
          <w:szCs w:val="28"/>
        </w:rPr>
      </w:pPr>
      <w:r>
        <w:rPr>
          <w:rFonts w:hint="default" w:ascii="Times New Roman" w:hAnsi="Times New Roman" w:eastAsia="黑体" w:cs="Times New Roman"/>
          <w:color w:val="000000"/>
          <w:sz w:val="28"/>
          <w:szCs w:val="28"/>
        </w:rPr>
        <w:t>（一）课程教学内容</w:t>
      </w:r>
    </w:p>
    <w:tbl>
      <w:tblPr>
        <w:tblStyle w:val="9"/>
        <w:tblW w:w="447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
        <w:gridCol w:w="988"/>
        <w:gridCol w:w="1367"/>
        <w:gridCol w:w="463"/>
        <w:gridCol w:w="1830"/>
        <w:gridCol w:w="709"/>
        <w:gridCol w:w="728"/>
        <w:gridCol w:w="1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 w:type="pct"/>
            <w:shd w:val="clear" w:color="auto" w:fill="auto"/>
            <w:vAlign w:val="center"/>
          </w:tcPr>
          <w:p>
            <w:pPr>
              <w:suppressAutoHyphens/>
              <w:spacing w:before="156" w:beforeLines="50" w:after="156" w:afterLines="50" w:line="276" w:lineRule="auto"/>
              <w:jc w:val="center"/>
              <w:rPr>
                <w:rFonts w:hint="default" w:ascii="Times New Roman" w:hAnsi="Times New Roman" w:eastAsia="仿宋" w:cs="Times New Roman"/>
                <w:b/>
                <w:spacing w:val="-3"/>
                <w:sz w:val="24"/>
                <w:lang w:val="en-GB"/>
              </w:rPr>
            </w:pPr>
            <w:r>
              <w:rPr>
                <w:rFonts w:hint="default" w:ascii="Times New Roman" w:hAnsi="Times New Roman" w:eastAsia="仿宋" w:cs="Times New Roman"/>
                <w:b/>
                <w:spacing w:val="-3"/>
                <w:sz w:val="24"/>
                <w:lang w:val="en-GB"/>
              </w:rPr>
              <w:t>序号</w:t>
            </w:r>
          </w:p>
        </w:tc>
        <w:tc>
          <w:tcPr>
            <w:tcW w:w="647" w:type="pct"/>
            <w:shd w:val="clear" w:color="auto" w:fill="auto"/>
            <w:vAlign w:val="center"/>
          </w:tcPr>
          <w:p>
            <w:pPr>
              <w:suppressAutoHyphens/>
              <w:spacing w:before="156" w:beforeLines="50" w:after="156" w:afterLines="50" w:line="276" w:lineRule="auto"/>
              <w:jc w:val="center"/>
              <w:rPr>
                <w:rFonts w:hint="default" w:ascii="Times New Roman" w:hAnsi="Times New Roman" w:eastAsia="仿宋" w:cs="Times New Roman"/>
                <w:b/>
                <w:spacing w:val="-3"/>
                <w:sz w:val="24"/>
                <w:lang w:val="en-GB"/>
              </w:rPr>
            </w:pPr>
            <w:r>
              <w:rPr>
                <w:rFonts w:hint="default" w:ascii="Times New Roman" w:hAnsi="Times New Roman" w:eastAsia="仿宋" w:cs="Times New Roman"/>
                <w:b/>
                <w:spacing w:val="-3"/>
                <w:sz w:val="24"/>
                <w:lang w:val="en-GB"/>
              </w:rPr>
              <w:t>章节/教学单元</w:t>
            </w:r>
          </w:p>
        </w:tc>
        <w:tc>
          <w:tcPr>
            <w:tcW w:w="895" w:type="pct"/>
            <w:shd w:val="clear" w:color="auto" w:fill="auto"/>
            <w:vAlign w:val="center"/>
          </w:tcPr>
          <w:p>
            <w:pPr>
              <w:suppressAutoHyphens/>
              <w:spacing w:before="156" w:beforeLines="50" w:after="156" w:afterLines="50" w:line="276" w:lineRule="auto"/>
              <w:jc w:val="center"/>
              <w:rPr>
                <w:rFonts w:hint="default" w:ascii="Times New Roman" w:hAnsi="Times New Roman" w:eastAsia="仿宋" w:cs="Times New Roman"/>
                <w:b/>
                <w:spacing w:val="-3"/>
                <w:sz w:val="24"/>
                <w:lang w:val="en-GB"/>
              </w:rPr>
            </w:pPr>
            <w:r>
              <w:rPr>
                <w:rFonts w:hint="default" w:ascii="Times New Roman" w:hAnsi="Times New Roman" w:eastAsia="仿宋" w:cs="Times New Roman"/>
                <w:b/>
                <w:spacing w:val="-3"/>
                <w:sz w:val="24"/>
                <w:lang w:val="en-GB"/>
              </w:rPr>
              <w:t>教学内容</w:t>
            </w:r>
          </w:p>
        </w:tc>
        <w:tc>
          <w:tcPr>
            <w:tcW w:w="303" w:type="pct"/>
            <w:vAlign w:val="center"/>
          </w:tcPr>
          <w:p>
            <w:pPr>
              <w:suppressAutoHyphens/>
              <w:spacing w:before="156" w:beforeLines="50" w:after="156" w:afterLines="50" w:line="276" w:lineRule="auto"/>
              <w:jc w:val="center"/>
              <w:rPr>
                <w:rFonts w:hint="default" w:ascii="Times New Roman" w:hAnsi="Times New Roman" w:eastAsia="仿宋" w:cs="Times New Roman"/>
                <w:b/>
                <w:spacing w:val="-3"/>
                <w:sz w:val="24"/>
                <w:lang w:val="en-GB"/>
              </w:rPr>
            </w:pPr>
            <w:r>
              <w:rPr>
                <w:rFonts w:hint="default" w:ascii="Times New Roman" w:hAnsi="Times New Roman" w:eastAsia="仿宋" w:cs="Times New Roman"/>
                <w:b/>
                <w:spacing w:val="-3"/>
                <w:sz w:val="24"/>
                <w:lang w:val="en-GB"/>
              </w:rPr>
              <w:t>学时</w:t>
            </w:r>
          </w:p>
        </w:tc>
        <w:tc>
          <w:tcPr>
            <w:tcW w:w="1198" w:type="pct"/>
            <w:vAlign w:val="center"/>
          </w:tcPr>
          <w:p>
            <w:pPr>
              <w:suppressAutoHyphens/>
              <w:spacing w:before="156" w:beforeLines="50" w:after="156" w:afterLines="50" w:line="276" w:lineRule="auto"/>
              <w:jc w:val="center"/>
              <w:rPr>
                <w:rFonts w:hint="default" w:ascii="Times New Roman" w:hAnsi="Times New Roman" w:eastAsia="仿宋" w:cs="Times New Roman"/>
                <w:b/>
                <w:spacing w:val="-3"/>
                <w:sz w:val="24"/>
                <w:lang w:val="en-GB"/>
              </w:rPr>
            </w:pPr>
            <w:r>
              <w:rPr>
                <w:rFonts w:hint="default" w:ascii="Times New Roman" w:hAnsi="Times New Roman" w:eastAsia="仿宋" w:cs="Times New Roman"/>
                <w:b/>
                <w:spacing w:val="-3"/>
                <w:sz w:val="24"/>
                <w:lang w:val="en-GB"/>
              </w:rPr>
              <w:t>授课要点</w:t>
            </w:r>
          </w:p>
          <w:p>
            <w:pPr>
              <w:suppressAutoHyphens/>
              <w:spacing w:before="156" w:beforeLines="50" w:after="156" w:afterLines="50" w:line="276" w:lineRule="auto"/>
              <w:jc w:val="center"/>
              <w:rPr>
                <w:rFonts w:hint="default" w:ascii="Times New Roman" w:hAnsi="Times New Roman" w:eastAsia="仿宋" w:cs="Times New Roman"/>
                <w:b/>
                <w:spacing w:val="-3"/>
                <w:sz w:val="24"/>
                <w:lang w:val="en-GB"/>
              </w:rPr>
            </w:pPr>
            <w:r>
              <w:rPr>
                <w:rFonts w:hint="default" w:ascii="Times New Roman" w:hAnsi="Times New Roman" w:eastAsia="仿宋" w:cs="Times New Roman"/>
                <w:b/>
                <w:spacing w:val="-3"/>
                <w:sz w:val="13"/>
                <w:szCs w:val="13"/>
                <w:lang w:val="en-GB"/>
              </w:rPr>
              <w:t>（重点、难点、课程思政元素等）</w:t>
            </w:r>
          </w:p>
        </w:tc>
        <w:tc>
          <w:tcPr>
            <w:tcW w:w="464" w:type="pct"/>
            <w:vAlign w:val="center"/>
          </w:tcPr>
          <w:p>
            <w:pPr>
              <w:suppressAutoHyphens/>
              <w:spacing w:before="156" w:beforeLines="50" w:after="156" w:afterLines="50" w:line="276" w:lineRule="auto"/>
              <w:jc w:val="center"/>
              <w:rPr>
                <w:rFonts w:hint="default" w:ascii="Times New Roman" w:hAnsi="Times New Roman" w:eastAsia="仿宋" w:cs="Times New Roman"/>
                <w:b/>
                <w:spacing w:val="-3"/>
                <w:sz w:val="24"/>
                <w:lang w:val="en-GB"/>
              </w:rPr>
            </w:pPr>
            <w:r>
              <w:rPr>
                <w:rFonts w:hint="default" w:ascii="Times New Roman" w:hAnsi="Times New Roman" w:eastAsia="仿宋" w:cs="Times New Roman"/>
                <w:b/>
                <w:spacing w:val="-3"/>
                <w:sz w:val="24"/>
                <w:lang w:val="en-GB"/>
              </w:rPr>
              <w:t>教学方法</w:t>
            </w:r>
          </w:p>
        </w:tc>
        <w:tc>
          <w:tcPr>
            <w:tcW w:w="477" w:type="pct"/>
            <w:vAlign w:val="center"/>
          </w:tcPr>
          <w:p>
            <w:pPr>
              <w:suppressAutoHyphens/>
              <w:spacing w:before="156" w:beforeLines="50" w:after="156" w:afterLines="50" w:line="276" w:lineRule="auto"/>
              <w:jc w:val="center"/>
              <w:rPr>
                <w:rFonts w:hint="default" w:ascii="Times New Roman" w:hAnsi="Times New Roman" w:eastAsia="仿宋" w:cs="Times New Roman"/>
                <w:b/>
                <w:spacing w:val="-3"/>
                <w:sz w:val="24"/>
                <w:lang w:val="en-GB"/>
              </w:rPr>
            </w:pPr>
            <w:r>
              <w:rPr>
                <w:rFonts w:hint="default" w:ascii="Times New Roman" w:hAnsi="Times New Roman" w:eastAsia="仿宋" w:cs="Times New Roman"/>
                <w:b/>
                <w:spacing w:val="-3"/>
                <w:sz w:val="24"/>
                <w:lang w:val="en-GB"/>
              </w:rPr>
              <w:t>考核形式</w:t>
            </w:r>
          </w:p>
        </w:tc>
        <w:tc>
          <w:tcPr>
            <w:tcW w:w="712" w:type="pct"/>
            <w:vAlign w:val="center"/>
          </w:tcPr>
          <w:p>
            <w:pPr>
              <w:suppressAutoHyphens/>
              <w:spacing w:before="156" w:beforeLines="50" w:after="156" w:afterLines="50" w:line="276" w:lineRule="auto"/>
              <w:jc w:val="center"/>
              <w:rPr>
                <w:rFonts w:hint="default" w:ascii="Times New Roman" w:hAnsi="Times New Roman" w:eastAsia="仿宋" w:cs="Times New Roman"/>
                <w:b/>
                <w:spacing w:val="-3"/>
                <w:sz w:val="24"/>
                <w:lang w:val="en-GB"/>
              </w:rPr>
            </w:pPr>
            <w:r>
              <w:rPr>
                <w:rFonts w:hint="default" w:ascii="Times New Roman" w:hAnsi="Times New Roman" w:eastAsia="仿宋" w:cs="Times New Roman"/>
                <w:b/>
                <w:spacing w:val="-3"/>
                <w:sz w:val="24"/>
                <w:lang w:val="en-GB"/>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 w:type="pct"/>
            <w:shd w:val="clear" w:color="auto" w:fill="auto"/>
            <w:vAlign w:val="center"/>
          </w:tcPr>
          <w:p>
            <w:pPr>
              <w:suppressAutoHyphens/>
              <w:spacing w:before="156" w:beforeLines="50" w:after="156" w:afterLines="50" w:line="276" w:lineRule="auto"/>
              <w:jc w:val="center"/>
              <w:rPr>
                <w:rFonts w:hint="default" w:ascii="Times New Roman" w:hAnsi="Times New Roman" w:eastAsia="仿宋" w:cs="Times New Roman"/>
                <w:bCs/>
                <w:spacing w:val="-3"/>
                <w:sz w:val="18"/>
                <w:szCs w:val="21"/>
                <w:lang w:val="en-GB"/>
              </w:rPr>
            </w:pPr>
            <w:r>
              <w:rPr>
                <w:rFonts w:hint="default" w:ascii="Times New Roman" w:hAnsi="Times New Roman" w:eastAsia="仿宋" w:cs="Times New Roman"/>
                <w:bCs/>
                <w:spacing w:val="-3"/>
                <w:sz w:val="18"/>
                <w:szCs w:val="21"/>
                <w:lang w:val="en-GB"/>
              </w:rPr>
              <w:t>1</w:t>
            </w:r>
          </w:p>
        </w:tc>
        <w:tc>
          <w:tcPr>
            <w:tcW w:w="647" w:type="pct"/>
            <w:shd w:val="clear" w:color="auto" w:fill="auto"/>
            <w:vAlign w:val="center"/>
          </w:tcPr>
          <w:p>
            <w:pPr>
              <w:suppressAutoHyphens/>
              <w:spacing w:before="156" w:beforeLines="50" w:after="156" w:afterLines="50" w:line="276" w:lineRule="auto"/>
              <w:jc w:val="center"/>
              <w:rPr>
                <w:rFonts w:hint="eastAsia" w:ascii="Times New Roman" w:hAnsi="Times New Roman" w:eastAsia="仿宋" w:cs="Times New Roman"/>
                <w:spacing w:val="-3"/>
                <w:sz w:val="18"/>
                <w:szCs w:val="21"/>
                <w:lang w:val="en-US" w:eastAsia="zh-CN"/>
              </w:rPr>
            </w:pPr>
            <w:r>
              <w:rPr>
                <w:rFonts w:hint="default" w:ascii="Times New Roman" w:hAnsi="Times New Roman" w:eastAsia="仿宋" w:cs="Times New Roman"/>
                <w:spacing w:val="-3"/>
                <w:sz w:val="18"/>
                <w:szCs w:val="21"/>
                <w:lang w:val="en-GB"/>
              </w:rPr>
              <w:t>课程设计</w:t>
            </w:r>
            <w:r>
              <w:rPr>
                <w:rFonts w:hint="eastAsia" w:eastAsia="仿宋" w:cs="Times New Roman"/>
                <w:spacing w:val="-3"/>
                <w:sz w:val="18"/>
                <w:szCs w:val="21"/>
                <w:lang w:val="en-US" w:eastAsia="zh-CN"/>
              </w:rPr>
              <w:t>介绍</w:t>
            </w:r>
          </w:p>
        </w:tc>
        <w:tc>
          <w:tcPr>
            <w:tcW w:w="895" w:type="pct"/>
            <w:shd w:val="clear" w:color="auto" w:fill="auto"/>
            <w:vAlign w:val="center"/>
          </w:tcPr>
          <w:p>
            <w:pPr>
              <w:rPr>
                <w:rFonts w:hint="eastAsia" w:ascii="Times New Roman" w:hAnsi="Times New Roman" w:eastAsia="仿宋" w:cs="Times New Roman"/>
                <w:sz w:val="18"/>
                <w:szCs w:val="21"/>
                <w:lang w:val="en-US" w:eastAsia="zh-CN"/>
              </w:rPr>
            </w:pPr>
            <w:r>
              <w:rPr>
                <w:rFonts w:hint="default" w:ascii="Times New Roman" w:hAnsi="Times New Roman" w:eastAsia="仿宋" w:cs="Times New Roman"/>
                <w:sz w:val="18"/>
                <w:szCs w:val="21"/>
                <w:lang w:val="zh-CN"/>
              </w:rPr>
              <w:t>完井工程课程设计</w:t>
            </w:r>
            <w:r>
              <w:rPr>
                <w:rFonts w:hint="eastAsia" w:eastAsia="仿宋" w:cs="Times New Roman"/>
                <w:sz w:val="18"/>
                <w:szCs w:val="21"/>
                <w:lang w:val="en-US" w:eastAsia="zh-CN"/>
              </w:rPr>
              <w:t>要求</w:t>
            </w:r>
          </w:p>
        </w:tc>
        <w:tc>
          <w:tcPr>
            <w:tcW w:w="303" w:type="pct"/>
            <w:vAlign w:val="center"/>
          </w:tcPr>
          <w:p>
            <w:pPr>
              <w:suppressAutoHyphens/>
              <w:spacing w:before="156" w:beforeLines="50" w:after="156" w:afterLines="50" w:line="276" w:lineRule="auto"/>
              <w:jc w:val="center"/>
              <w:rPr>
                <w:rFonts w:hint="default" w:ascii="Times New Roman" w:hAnsi="Times New Roman" w:eastAsia="仿宋" w:cs="Times New Roman"/>
                <w:spacing w:val="-3"/>
                <w:sz w:val="18"/>
                <w:szCs w:val="21"/>
                <w:lang w:val="en-GB"/>
              </w:rPr>
            </w:pPr>
            <w:r>
              <w:rPr>
                <w:rFonts w:hint="default" w:ascii="Times New Roman" w:hAnsi="Times New Roman" w:eastAsia="仿宋" w:cs="Times New Roman"/>
                <w:spacing w:val="-3"/>
                <w:sz w:val="18"/>
                <w:szCs w:val="21"/>
                <w:lang w:val="en-GB"/>
              </w:rPr>
              <w:t>1</w:t>
            </w:r>
          </w:p>
        </w:tc>
        <w:tc>
          <w:tcPr>
            <w:tcW w:w="1198" w:type="pct"/>
            <w:vAlign w:val="center"/>
          </w:tcPr>
          <w:p>
            <w:pPr>
              <w:rPr>
                <w:rFonts w:hint="default" w:ascii="Times New Roman" w:hAnsi="Times New Roman" w:eastAsia="仿宋" w:cs="Times New Roman"/>
                <w:sz w:val="18"/>
                <w:szCs w:val="21"/>
                <w:lang w:val="zh-CN"/>
              </w:rPr>
            </w:pPr>
            <w:r>
              <w:rPr>
                <w:rFonts w:hint="default" w:ascii="Times New Roman" w:hAnsi="Times New Roman" w:eastAsia="仿宋" w:cs="Times New Roman"/>
                <w:sz w:val="18"/>
                <w:szCs w:val="21"/>
                <w:lang w:val="zh-CN"/>
              </w:rPr>
              <w:t>下发完井工程课程设计基础数据，介绍课程设计的设计内容、计算步骤和方法原理</w:t>
            </w:r>
          </w:p>
        </w:tc>
        <w:tc>
          <w:tcPr>
            <w:tcW w:w="464" w:type="pct"/>
            <w:vAlign w:val="center"/>
          </w:tcPr>
          <w:p>
            <w:pPr>
              <w:suppressAutoHyphens/>
              <w:jc w:val="center"/>
              <w:rPr>
                <w:rFonts w:hint="default" w:ascii="Times New Roman" w:hAnsi="Times New Roman" w:eastAsia="仿宋" w:cs="Times New Roman"/>
                <w:sz w:val="18"/>
                <w:szCs w:val="21"/>
                <w:lang w:val="en-GB"/>
              </w:rPr>
            </w:pPr>
            <w:r>
              <w:rPr>
                <w:rFonts w:hint="default" w:ascii="Times New Roman" w:hAnsi="Times New Roman" w:eastAsia="仿宋" w:cs="Times New Roman"/>
                <w:sz w:val="18"/>
                <w:szCs w:val="21"/>
                <w:lang w:val="zh-CN"/>
              </w:rPr>
              <w:t>课堂讲授</w:t>
            </w:r>
            <w:r>
              <w:rPr>
                <w:rFonts w:hint="eastAsia" w:ascii="Times New Roman" w:hAnsi="Times New Roman" w:eastAsia="仿宋" w:cs="Times New Roman"/>
                <w:sz w:val="18"/>
                <w:szCs w:val="21"/>
                <w:lang w:val="en-GB"/>
              </w:rPr>
              <w:t>+</w:t>
            </w:r>
          </w:p>
          <w:p>
            <w:pPr>
              <w:suppressAutoHyphens/>
              <w:jc w:val="center"/>
              <w:rPr>
                <w:rFonts w:hint="default" w:ascii="Times New Roman" w:hAnsi="Times New Roman" w:eastAsia="仿宋" w:cs="Times New Roman"/>
                <w:sz w:val="18"/>
                <w:szCs w:val="21"/>
                <w:lang w:val="zh-CN"/>
              </w:rPr>
            </w:pPr>
            <w:r>
              <w:rPr>
                <w:rFonts w:hint="eastAsia" w:ascii="Times New Roman" w:hAnsi="Times New Roman" w:eastAsia="仿宋" w:cs="Times New Roman"/>
                <w:sz w:val="18"/>
                <w:szCs w:val="21"/>
                <w:lang w:val="en-GB"/>
              </w:rPr>
              <w:t>案例</w:t>
            </w:r>
          </w:p>
        </w:tc>
        <w:tc>
          <w:tcPr>
            <w:tcW w:w="477" w:type="pct"/>
            <w:vAlign w:val="center"/>
          </w:tcPr>
          <w:p>
            <w:pPr>
              <w:suppressAutoHyphens/>
              <w:spacing w:before="156" w:beforeLines="50" w:after="156" w:afterLines="50" w:line="276" w:lineRule="auto"/>
              <w:jc w:val="center"/>
              <w:rPr>
                <w:rFonts w:hint="default" w:ascii="Times New Roman" w:hAnsi="Times New Roman" w:eastAsia="仿宋" w:cs="Times New Roman"/>
                <w:spacing w:val="-3"/>
                <w:sz w:val="18"/>
                <w:lang w:val="en-GB"/>
              </w:rPr>
            </w:pPr>
            <w:r>
              <w:rPr>
                <w:rFonts w:hint="default" w:ascii="Times New Roman" w:hAnsi="Times New Roman" w:eastAsia="仿宋" w:cs="Times New Roman"/>
                <w:spacing w:val="-3"/>
                <w:sz w:val="18"/>
                <w:lang w:val="en-GB"/>
              </w:rPr>
              <w:t>课程设计报告</w:t>
            </w:r>
          </w:p>
        </w:tc>
        <w:tc>
          <w:tcPr>
            <w:tcW w:w="712" w:type="pct"/>
            <w:vAlign w:val="center"/>
          </w:tcPr>
          <w:p>
            <w:pPr>
              <w:suppressAutoHyphens/>
              <w:spacing w:before="156" w:beforeLines="50" w:after="156" w:afterLines="50" w:line="276" w:lineRule="auto"/>
              <w:rPr>
                <w:rFonts w:hint="default" w:ascii="Times New Roman" w:hAnsi="Times New Roman" w:eastAsia="仿宋" w:cs="Times New Roman"/>
                <w:spacing w:val="-3"/>
                <w:sz w:val="18"/>
                <w:szCs w:val="21"/>
                <w:lang w:val="en-GB"/>
              </w:rPr>
            </w:pPr>
            <w:r>
              <w:rPr>
                <w:rFonts w:hint="default" w:ascii="Times New Roman" w:hAnsi="Times New Roman" w:eastAsia="仿宋" w:cs="Times New Roman"/>
                <w:spacing w:val="-3"/>
                <w:sz w:val="18"/>
                <w:szCs w:val="21"/>
                <w:lang w:val="en-GB"/>
              </w:rPr>
              <w:t>对课程目标1、2和3的贡献：掌握完井工程中固井设计的主要内容、设计流程与基本原则，掌握固井设计常用术语和参数意义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3" w:type="pct"/>
            <w:shd w:val="clear" w:color="auto" w:fill="auto"/>
            <w:vAlign w:val="center"/>
          </w:tcPr>
          <w:p>
            <w:pPr>
              <w:suppressAutoHyphens/>
              <w:spacing w:before="156" w:beforeLines="50" w:after="156" w:afterLines="50" w:line="276" w:lineRule="auto"/>
              <w:jc w:val="center"/>
              <w:rPr>
                <w:rFonts w:hint="default" w:ascii="Times New Roman" w:hAnsi="Times New Roman" w:eastAsia="仿宋" w:cs="Times New Roman"/>
                <w:bCs/>
                <w:spacing w:val="-3"/>
                <w:sz w:val="18"/>
                <w:szCs w:val="21"/>
                <w:lang w:val="en-GB"/>
              </w:rPr>
            </w:pPr>
            <w:r>
              <w:rPr>
                <w:rFonts w:hint="default" w:ascii="Times New Roman" w:hAnsi="Times New Roman" w:eastAsia="仿宋" w:cs="Times New Roman"/>
                <w:bCs/>
                <w:spacing w:val="-3"/>
                <w:sz w:val="18"/>
                <w:szCs w:val="21"/>
                <w:lang w:val="en-GB"/>
              </w:rPr>
              <w:t>2</w:t>
            </w:r>
          </w:p>
        </w:tc>
        <w:tc>
          <w:tcPr>
            <w:tcW w:w="647" w:type="pct"/>
            <w:shd w:val="clear" w:color="auto" w:fill="auto"/>
            <w:vAlign w:val="center"/>
          </w:tcPr>
          <w:p>
            <w:pPr>
              <w:suppressAutoHyphens/>
              <w:spacing w:before="156" w:beforeLines="50" w:after="156" w:afterLines="50" w:line="276" w:lineRule="auto"/>
              <w:jc w:val="center"/>
              <w:rPr>
                <w:rFonts w:hint="default" w:ascii="Times New Roman" w:hAnsi="Times New Roman" w:eastAsia="仿宋" w:cs="Times New Roman"/>
                <w:spacing w:val="-3"/>
                <w:sz w:val="18"/>
                <w:szCs w:val="21"/>
                <w:lang w:val="en-US" w:eastAsia="zh-CN"/>
              </w:rPr>
            </w:pPr>
            <w:r>
              <w:rPr>
                <w:rFonts w:hint="default" w:ascii="Times New Roman" w:hAnsi="Times New Roman" w:eastAsia="仿宋" w:cs="Times New Roman"/>
                <w:spacing w:val="-3"/>
                <w:sz w:val="18"/>
                <w:szCs w:val="21"/>
                <w:lang w:val="en-GB"/>
              </w:rPr>
              <w:t>答疑</w:t>
            </w:r>
            <w:r>
              <w:rPr>
                <w:rFonts w:hint="eastAsia" w:eastAsia="仿宋" w:cs="Times New Roman"/>
                <w:spacing w:val="-3"/>
                <w:sz w:val="18"/>
                <w:szCs w:val="21"/>
                <w:lang w:val="en-US" w:eastAsia="zh-CN"/>
              </w:rPr>
              <w:t>与撰写报告</w:t>
            </w:r>
          </w:p>
        </w:tc>
        <w:tc>
          <w:tcPr>
            <w:tcW w:w="895" w:type="pct"/>
            <w:shd w:val="clear" w:color="auto" w:fill="auto"/>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zh-CN"/>
              </w:rPr>
              <w:t>分散答疑</w:t>
            </w:r>
            <w:r>
              <w:rPr>
                <w:rFonts w:hint="eastAsia" w:eastAsia="仿宋" w:cs="Times New Roman"/>
                <w:sz w:val="18"/>
                <w:szCs w:val="18"/>
                <w:lang w:val="en-US" w:eastAsia="zh-CN"/>
              </w:rPr>
              <w:t>与撰写报告</w:t>
            </w:r>
          </w:p>
        </w:tc>
        <w:tc>
          <w:tcPr>
            <w:tcW w:w="303" w:type="pct"/>
            <w:vAlign w:val="center"/>
          </w:tcPr>
          <w:p>
            <w:pPr>
              <w:suppressAutoHyphens/>
              <w:spacing w:before="156" w:beforeLines="50" w:after="156" w:afterLines="50" w:line="276" w:lineRule="auto"/>
              <w:jc w:val="center"/>
              <w:rPr>
                <w:rFonts w:hint="eastAsia" w:ascii="Times New Roman" w:hAnsi="Times New Roman" w:eastAsia="仿宋" w:cs="Times New Roman"/>
                <w:spacing w:val="-3"/>
                <w:sz w:val="18"/>
                <w:szCs w:val="21"/>
                <w:lang w:val="en-GB" w:eastAsia="zh-CN"/>
              </w:rPr>
            </w:pPr>
            <w:r>
              <w:rPr>
                <w:rFonts w:hint="eastAsia" w:eastAsia="仿宋" w:cs="Times New Roman"/>
                <w:spacing w:val="-3"/>
                <w:sz w:val="18"/>
                <w:szCs w:val="21"/>
                <w:lang w:val="en-US" w:eastAsia="zh-CN"/>
              </w:rPr>
              <w:t>0</w:t>
            </w:r>
            <w:bookmarkStart w:id="2" w:name="_GoBack"/>
            <w:bookmarkEnd w:id="2"/>
          </w:p>
        </w:tc>
        <w:tc>
          <w:tcPr>
            <w:tcW w:w="1198" w:type="pct"/>
            <w:vAlign w:val="center"/>
          </w:tcPr>
          <w:p>
            <w:pPr>
              <w:suppressAutoHyphens/>
              <w:adjustRightInd w:val="0"/>
              <w:snapToGrid w:val="0"/>
              <w:spacing w:line="300" w:lineRule="auto"/>
              <w:ind w:right="102"/>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1.掌握完井工程中固井设计的主要内容、设计流程与基本原则；</w:t>
            </w:r>
          </w:p>
          <w:p>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2.掌握固井设计常用术语和参数意义；</w:t>
            </w:r>
          </w:p>
          <w:p>
            <w:pPr>
              <w:rPr>
                <w:rFonts w:hint="default" w:ascii="Times New Roman" w:hAnsi="Times New Roman" w:eastAsia="仿宋" w:cs="Times New Roman"/>
                <w:sz w:val="18"/>
                <w:szCs w:val="18"/>
                <w:lang w:val="zh-CN"/>
              </w:rPr>
            </w:pPr>
            <w:r>
              <w:rPr>
                <w:rFonts w:hint="default" w:ascii="Times New Roman" w:hAnsi="Times New Roman" w:eastAsia="仿宋" w:cs="Times New Roman"/>
                <w:sz w:val="18"/>
                <w:szCs w:val="18"/>
                <w:lang w:val="zh-CN"/>
              </w:rPr>
              <w:t>3.参照任课教师提供的完井工程设计内容与基础数据，完成固井设计中主要环节的设计，并完成《完井工程课程设计》报告的撰写；</w:t>
            </w:r>
          </w:p>
        </w:tc>
        <w:tc>
          <w:tcPr>
            <w:tcW w:w="464" w:type="pct"/>
            <w:vAlign w:val="center"/>
          </w:tcPr>
          <w:p>
            <w:pPr>
              <w:suppressAutoHyphens/>
              <w:spacing w:before="156" w:beforeLines="50" w:after="156" w:afterLines="50" w:line="276" w:lineRule="auto"/>
              <w:jc w:val="center"/>
              <w:rPr>
                <w:rFonts w:hint="default" w:ascii="Times New Roman" w:hAnsi="Times New Roman" w:eastAsia="仿宋" w:cs="Times New Roman"/>
                <w:spacing w:val="-3"/>
                <w:sz w:val="18"/>
                <w:lang w:val="en-GB"/>
              </w:rPr>
            </w:pPr>
            <w:r>
              <w:rPr>
                <w:rFonts w:hint="eastAsia" w:eastAsia="仿宋" w:cs="Times New Roman"/>
                <w:spacing w:val="-3"/>
                <w:sz w:val="18"/>
                <w:lang w:val="en-US" w:eastAsia="zh-CN"/>
              </w:rPr>
              <w:t>小组讨论+</w:t>
            </w:r>
            <w:r>
              <w:rPr>
                <w:rFonts w:hint="default" w:ascii="Times New Roman" w:hAnsi="Times New Roman" w:eastAsia="仿宋" w:cs="Times New Roman"/>
                <w:spacing w:val="-3"/>
                <w:sz w:val="18"/>
                <w:lang w:val="en-GB"/>
              </w:rPr>
              <w:t>分散答疑</w:t>
            </w:r>
          </w:p>
        </w:tc>
        <w:tc>
          <w:tcPr>
            <w:tcW w:w="477" w:type="pct"/>
            <w:vAlign w:val="center"/>
          </w:tcPr>
          <w:p>
            <w:pPr>
              <w:suppressAutoHyphens/>
              <w:spacing w:before="156" w:beforeLines="50" w:after="156" w:afterLines="50" w:line="276" w:lineRule="auto"/>
              <w:jc w:val="center"/>
              <w:rPr>
                <w:rFonts w:hint="default" w:ascii="Times New Roman" w:hAnsi="Times New Roman" w:eastAsia="仿宋" w:cs="Times New Roman"/>
                <w:spacing w:val="-3"/>
                <w:sz w:val="18"/>
                <w:lang w:val="en-GB"/>
              </w:rPr>
            </w:pPr>
            <w:r>
              <w:rPr>
                <w:rFonts w:hint="default" w:ascii="Times New Roman" w:hAnsi="Times New Roman" w:eastAsia="仿宋" w:cs="Times New Roman"/>
                <w:spacing w:val="-3"/>
                <w:sz w:val="18"/>
                <w:lang w:val="en-GB"/>
              </w:rPr>
              <w:t>课程设计报告</w:t>
            </w:r>
          </w:p>
        </w:tc>
        <w:tc>
          <w:tcPr>
            <w:tcW w:w="712" w:type="pct"/>
            <w:vAlign w:val="center"/>
          </w:tcPr>
          <w:p>
            <w:pPr>
              <w:suppressAutoHyphens/>
              <w:spacing w:before="156" w:beforeLines="50" w:after="156" w:afterLines="50" w:line="276" w:lineRule="auto"/>
              <w:jc w:val="center"/>
              <w:rPr>
                <w:rFonts w:hint="default" w:ascii="Times New Roman" w:hAnsi="Times New Roman" w:eastAsia="仿宋" w:cs="Times New Roman"/>
                <w:spacing w:val="-3"/>
                <w:sz w:val="18"/>
                <w:lang w:val="en-GB"/>
              </w:rPr>
            </w:pPr>
            <w:r>
              <w:rPr>
                <w:rFonts w:hint="default" w:ascii="Times New Roman" w:hAnsi="Times New Roman" w:eastAsia="仿宋" w:cs="Times New Roman"/>
                <w:spacing w:val="-3"/>
                <w:sz w:val="18"/>
                <w:szCs w:val="21"/>
                <w:lang w:val="en-GB"/>
              </w:rPr>
              <w:t>对课程目标1、2和3的贡献：解决学生在完成课程设计报告中遇到的问题，提高其专业素养</w:t>
            </w:r>
          </w:p>
        </w:tc>
      </w:tr>
    </w:tbl>
    <w:p>
      <w:pPr>
        <w:tabs>
          <w:tab w:val="left" w:pos="-5670"/>
          <w:tab w:val="left" w:pos="-5245"/>
          <w:tab w:val="left" w:pos="1134"/>
        </w:tabs>
        <w:spacing w:before="156" w:beforeLines="50" w:after="156" w:afterLines="50" w:line="360" w:lineRule="auto"/>
        <w:ind w:firstLine="482" w:firstLineChars="200"/>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（二）课程教学内容与思政元素</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6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696" w:type="dxa"/>
            <w:vAlign w:val="center"/>
          </w:tcPr>
          <w:p>
            <w:pPr>
              <w:tabs>
                <w:tab w:val="left" w:pos="-5670"/>
                <w:tab w:val="left" w:pos="-5245"/>
                <w:tab w:val="left" w:pos="1134"/>
              </w:tabs>
              <w:spacing w:before="156" w:beforeLines="50" w:after="156" w:afterLines="50" w:line="360" w:lineRule="auto"/>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教学内容</w:t>
            </w:r>
          </w:p>
        </w:tc>
        <w:tc>
          <w:tcPr>
            <w:tcW w:w="6600" w:type="dxa"/>
            <w:vAlign w:val="center"/>
          </w:tcPr>
          <w:p>
            <w:pPr>
              <w:tabs>
                <w:tab w:val="left" w:pos="-5670"/>
                <w:tab w:val="left" w:pos="-5245"/>
                <w:tab w:val="left" w:pos="1134"/>
              </w:tabs>
              <w:spacing w:before="156" w:beforeLines="50" w:after="156" w:afterLines="50" w:line="360" w:lineRule="auto"/>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思政元素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jc w:val="center"/>
        </w:trPr>
        <w:tc>
          <w:tcPr>
            <w:tcW w:w="1696" w:type="dxa"/>
            <w:vAlign w:val="center"/>
          </w:tcPr>
          <w:p>
            <w:pPr>
              <w:rPr>
                <w:rFonts w:hint="default" w:ascii="Times New Roman" w:hAnsi="Times New Roman" w:eastAsia="仿宋" w:cs="Times New Roman"/>
                <w:color w:val="000000"/>
                <w:sz w:val="24"/>
              </w:rPr>
            </w:pPr>
            <w:r>
              <w:rPr>
                <w:rFonts w:hint="default" w:ascii="Times New Roman" w:hAnsi="Times New Roman" w:eastAsia="仿宋" w:cs="Times New Roman"/>
                <w:sz w:val="18"/>
                <w:szCs w:val="21"/>
                <w:lang w:val="zh-CN"/>
              </w:rPr>
              <w:t>完井工程课程设计</w:t>
            </w:r>
          </w:p>
        </w:tc>
        <w:tc>
          <w:tcPr>
            <w:tcW w:w="6600" w:type="dxa"/>
            <w:vAlign w:val="center"/>
          </w:tcPr>
          <w:p>
            <w:pPr>
              <w:tabs>
                <w:tab w:val="left" w:pos="-5670"/>
                <w:tab w:val="left" w:pos="-5245"/>
                <w:tab w:val="left" w:pos="1134"/>
              </w:tabs>
              <w:spacing w:before="156" w:beforeLines="50" w:after="156" w:afterLines="50" w:line="360" w:lineRule="auto"/>
              <w:rPr>
                <w:rFonts w:hint="default" w:ascii="Times New Roman" w:hAnsi="Times New Roman" w:eastAsia="仿宋" w:cs="Times New Roman"/>
                <w:color w:val="000000"/>
                <w:sz w:val="24"/>
              </w:rPr>
            </w:pPr>
            <w:r>
              <w:rPr>
                <w:rFonts w:hint="default" w:ascii="Times New Roman" w:hAnsi="Times New Roman" w:eastAsia="仿宋" w:cs="Times New Roman"/>
                <w:sz w:val="18"/>
                <w:szCs w:val="18"/>
                <w:lang w:val="zh-CN"/>
              </w:rPr>
              <w:t>突出探索精神与科技自信。通过实际工程案例介绍，将探索精、科学精神和创新意识等有机地嵌入相关教学内容中。</w:t>
            </w:r>
          </w:p>
        </w:tc>
      </w:tr>
    </w:tbl>
    <w:p>
      <w:pPr>
        <w:tabs>
          <w:tab w:val="left" w:pos="-5670"/>
          <w:tab w:val="left" w:pos="-5245"/>
          <w:tab w:val="left" w:pos="1134"/>
        </w:tabs>
        <w:spacing w:before="156" w:beforeLines="50" w:after="156" w:afterLines="50" w:line="360" w:lineRule="auto"/>
        <w:ind w:firstLine="560" w:firstLineChars="200"/>
        <w:rPr>
          <w:rFonts w:hint="default" w:ascii="Times New Roman" w:hAnsi="Times New Roman" w:eastAsia="黑体" w:cs="Times New Roman"/>
          <w:color w:val="000000"/>
          <w:sz w:val="28"/>
          <w:szCs w:val="28"/>
        </w:rPr>
      </w:pPr>
      <w:r>
        <w:rPr>
          <w:rFonts w:hint="default" w:ascii="Times New Roman" w:hAnsi="Times New Roman" w:eastAsia="黑体" w:cs="Times New Roman"/>
          <w:color w:val="000000"/>
          <w:sz w:val="28"/>
          <w:szCs w:val="28"/>
        </w:rPr>
        <w:t>五、考核方式</w:t>
      </w:r>
    </w:p>
    <w:p>
      <w:pPr>
        <w:snapToGrid w:val="0"/>
        <w:spacing w:line="360" w:lineRule="auto"/>
        <w:ind w:firstLine="482" w:firstLineChars="200"/>
        <w:rPr>
          <w:rFonts w:hint="default" w:ascii="Times New Roman" w:hAnsi="Times New Roman" w:eastAsia="仿宋" w:cs="Times New Roman"/>
          <w:sz w:val="24"/>
        </w:rPr>
      </w:pPr>
      <w:r>
        <w:rPr>
          <w:rFonts w:hint="default" w:ascii="Times New Roman" w:hAnsi="Times New Roman" w:eastAsia="仿宋" w:cs="Times New Roman"/>
          <w:b/>
          <w:color w:val="000000"/>
          <w:sz w:val="24"/>
        </w:rPr>
        <w:t>（一）成绩评定方式：</w:t>
      </w:r>
      <w:r>
        <w:rPr>
          <w:rFonts w:hint="default" w:ascii="Times New Roman" w:hAnsi="Times New Roman" w:eastAsia="仿宋" w:cs="Times New Roman"/>
          <w:sz w:val="24"/>
        </w:rPr>
        <w:t xml:space="preserve"> 百分制</w:t>
      </w:r>
    </w:p>
    <w:p>
      <w:pPr>
        <w:snapToGrid w:val="0"/>
        <w:spacing w:line="360" w:lineRule="auto"/>
        <w:ind w:firstLine="482" w:firstLineChars="200"/>
        <w:rPr>
          <w:rFonts w:hint="default" w:ascii="Times New Roman" w:hAnsi="Times New Roman" w:eastAsia="仿宋" w:cs="Times New Roman"/>
          <w:sz w:val="24"/>
        </w:rPr>
      </w:pPr>
      <w:r>
        <w:rPr>
          <w:rFonts w:hint="default" w:ascii="Times New Roman" w:hAnsi="Times New Roman" w:eastAsia="仿宋" w:cs="Times New Roman"/>
          <w:b/>
          <w:color w:val="000000"/>
          <w:sz w:val="24"/>
        </w:rPr>
        <w:t>（二）成绩构成：</w:t>
      </w:r>
      <w:r>
        <w:rPr>
          <w:rFonts w:hint="default" w:ascii="Times New Roman" w:hAnsi="Times New Roman" w:eastAsia="仿宋" w:cs="Times New Roman"/>
          <w:sz w:val="24"/>
        </w:rPr>
        <w:t>手写设计报告成绩100%。</w:t>
      </w:r>
    </w:p>
    <w:p>
      <w:pPr>
        <w:snapToGrid w:val="0"/>
        <w:spacing w:line="360" w:lineRule="auto"/>
        <w:ind w:firstLine="482" w:firstLineChars="200"/>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（三）考核环节：</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761"/>
        <w:gridCol w:w="798"/>
        <w:gridCol w:w="2410"/>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8" w:type="dxa"/>
            <w:gridSpan w:val="2"/>
            <w:shd w:val="clear" w:color="auto" w:fill="auto"/>
            <w:vAlign w:val="center"/>
          </w:tcPr>
          <w:p>
            <w:pPr>
              <w:snapToGrid w:val="0"/>
              <w:spacing w:line="360" w:lineRule="auto"/>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考核环节</w:t>
            </w:r>
          </w:p>
        </w:tc>
        <w:tc>
          <w:tcPr>
            <w:tcW w:w="798" w:type="dxa"/>
            <w:vAlign w:val="center"/>
          </w:tcPr>
          <w:p>
            <w:pPr>
              <w:snapToGrid w:val="0"/>
              <w:spacing w:line="360" w:lineRule="auto"/>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分值</w:t>
            </w:r>
          </w:p>
        </w:tc>
        <w:tc>
          <w:tcPr>
            <w:tcW w:w="2410" w:type="dxa"/>
            <w:vAlign w:val="center"/>
          </w:tcPr>
          <w:p>
            <w:pPr>
              <w:snapToGrid w:val="0"/>
              <w:spacing w:line="360" w:lineRule="auto"/>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考核/评价细则</w:t>
            </w:r>
          </w:p>
        </w:tc>
        <w:tc>
          <w:tcPr>
            <w:tcW w:w="2035" w:type="dxa"/>
            <w:vAlign w:val="center"/>
          </w:tcPr>
          <w:p>
            <w:pPr>
              <w:snapToGrid w:val="0"/>
              <w:spacing w:line="360" w:lineRule="auto"/>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对应的课程目标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shd w:val="clear" w:color="auto" w:fill="auto"/>
            <w:vAlign w:val="center"/>
          </w:tcPr>
          <w:p>
            <w:pPr>
              <w:snapToGrid w:val="0"/>
              <w:spacing w:line="360" w:lineRule="auto"/>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结课考核</w:t>
            </w:r>
          </w:p>
        </w:tc>
        <w:tc>
          <w:tcPr>
            <w:tcW w:w="761" w:type="dxa"/>
            <w:shd w:val="clear" w:color="auto" w:fill="auto"/>
            <w:vAlign w:val="center"/>
          </w:tcPr>
          <w:p>
            <w:pPr>
              <w:snapToGrid w:val="0"/>
              <w:spacing w:line="360" w:lineRule="auto"/>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课程设计报告</w:t>
            </w:r>
          </w:p>
        </w:tc>
        <w:tc>
          <w:tcPr>
            <w:tcW w:w="798" w:type="dxa"/>
            <w:vAlign w:val="center"/>
          </w:tcPr>
          <w:p>
            <w:pPr>
              <w:snapToGrid w:val="0"/>
              <w:spacing w:line="360" w:lineRule="auto"/>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100</w:t>
            </w:r>
          </w:p>
        </w:tc>
        <w:tc>
          <w:tcPr>
            <w:tcW w:w="2410" w:type="dxa"/>
            <w:vAlign w:val="center"/>
          </w:tcPr>
          <w:p>
            <w:pPr>
              <w:tabs>
                <w:tab w:val="left" w:pos="-720"/>
              </w:tabs>
              <w:suppressAutoHyphens/>
              <w:adjustRightInd w:val="0"/>
              <w:snapToGrid w:val="0"/>
              <w:spacing w:line="300" w:lineRule="auto"/>
              <w:rPr>
                <w:rFonts w:hint="default" w:ascii="Times New Roman" w:hAnsi="Times New Roman" w:eastAsia="仿宋_GB2312" w:cs="Times New Roman"/>
                <w:bCs/>
                <w:szCs w:val="21"/>
              </w:rPr>
            </w:pPr>
            <w:r>
              <w:rPr>
                <w:rFonts w:hint="default" w:ascii="Times New Roman" w:hAnsi="Times New Roman" w:eastAsia="仿宋_GB2312" w:cs="Times New Roman"/>
                <w:bCs/>
                <w:szCs w:val="21"/>
              </w:rPr>
              <w:t>1.严格按照完井工程课程设计格式模板进行报告编写，不得缺少规定的设计内容。</w:t>
            </w:r>
          </w:p>
          <w:p>
            <w:pPr>
              <w:tabs>
                <w:tab w:val="left" w:pos="-720"/>
              </w:tabs>
              <w:suppressAutoHyphens/>
              <w:adjustRightInd w:val="0"/>
              <w:snapToGrid w:val="0"/>
              <w:spacing w:line="300" w:lineRule="auto"/>
              <w:rPr>
                <w:rFonts w:hint="default" w:ascii="Times New Roman" w:hAnsi="Times New Roman" w:eastAsia="仿宋_GB2312" w:cs="Times New Roman"/>
                <w:bCs/>
                <w:szCs w:val="21"/>
              </w:rPr>
            </w:pPr>
            <w:r>
              <w:rPr>
                <w:rFonts w:hint="default" w:ascii="Times New Roman" w:hAnsi="Times New Roman" w:eastAsia="仿宋_GB2312" w:cs="Times New Roman"/>
                <w:bCs/>
                <w:szCs w:val="21"/>
              </w:rPr>
              <w:t>2.报告中，需要介绍每个关键技术的基本原理、计算过程，并进行简要分析与说明。</w:t>
            </w:r>
          </w:p>
          <w:p>
            <w:pPr>
              <w:snapToGrid w:val="0"/>
              <w:spacing w:line="360" w:lineRule="auto"/>
              <w:jc w:val="left"/>
              <w:rPr>
                <w:rFonts w:hint="default" w:ascii="Times New Roman" w:hAnsi="Times New Roman" w:eastAsia="仿宋" w:cs="Times New Roman"/>
                <w:bCs/>
                <w:color w:val="0070C0"/>
                <w:sz w:val="24"/>
              </w:rPr>
            </w:pPr>
          </w:p>
        </w:tc>
        <w:tc>
          <w:tcPr>
            <w:tcW w:w="2035" w:type="dxa"/>
            <w:vAlign w:val="center"/>
          </w:tcPr>
          <w:p>
            <w:pPr>
              <w:snapToGrid w:val="0"/>
              <w:spacing w:line="360" w:lineRule="auto"/>
              <w:jc w:val="center"/>
              <w:rPr>
                <w:rFonts w:hint="default" w:ascii="Times New Roman" w:hAnsi="Times New Roman" w:eastAsia="仿宋" w:cs="Times New Roman"/>
                <w:b/>
                <w:color w:val="000000"/>
                <w:sz w:val="24"/>
              </w:rPr>
            </w:pPr>
            <w:r>
              <w:rPr>
                <w:rFonts w:hint="default" w:ascii="Times New Roman" w:hAnsi="Times New Roman" w:eastAsia="仿宋" w:cs="Times New Roman"/>
                <w:bCs/>
                <w:color w:val="000000" w:themeColor="text1"/>
                <w:szCs w:val="21"/>
                <w14:textFill>
                  <w14:solidFill>
                    <w14:schemeClr w14:val="tx1"/>
                  </w14:solidFill>
                </w14:textFill>
              </w:rPr>
              <w:t>目标1、2、3</w:t>
            </w:r>
          </w:p>
        </w:tc>
      </w:tr>
    </w:tbl>
    <w:p>
      <w:pPr>
        <w:snapToGrid w:val="0"/>
        <w:spacing w:line="360" w:lineRule="auto"/>
        <w:ind w:firstLine="482" w:firstLineChars="200"/>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（四）课程考核环节与课程目标的对应关系：</w:t>
      </w: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995"/>
        <w:gridCol w:w="1134"/>
        <w:gridCol w:w="1417"/>
        <w:gridCol w:w="1701"/>
        <w:gridCol w:w="15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2"/>
            <w:vMerge w:val="restart"/>
            <w:shd w:val="clear" w:color="auto" w:fill="auto"/>
            <w:vAlign w:val="center"/>
          </w:tcPr>
          <w:p>
            <w:pPr>
              <w:snapToGrid w:val="0"/>
              <w:spacing w:line="360" w:lineRule="auto"/>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考核环节</w:t>
            </w:r>
          </w:p>
        </w:tc>
        <w:tc>
          <w:tcPr>
            <w:tcW w:w="1134" w:type="dxa"/>
            <w:vMerge w:val="restart"/>
            <w:vAlign w:val="center"/>
          </w:tcPr>
          <w:p>
            <w:pPr>
              <w:snapToGrid w:val="0"/>
              <w:spacing w:line="360" w:lineRule="auto"/>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分值</w:t>
            </w:r>
          </w:p>
        </w:tc>
        <w:tc>
          <w:tcPr>
            <w:tcW w:w="4699" w:type="dxa"/>
            <w:gridSpan w:val="3"/>
            <w:shd w:val="clear" w:color="auto" w:fill="auto"/>
            <w:vAlign w:val="center"/>
          </w:tcPr>
          <w:p>
            <w:pPr>
              <w:snapToGrid w:val="0"/>
              <w:spacing w:line="360" w:lineRule="auto"/>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各考核项目对应课程目标的分值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gridSpan w:val="2"/>
            <w:vMerge w:val="continue"/>
            <w:shd w:val="clear" w:color="auto" w:fill="auto"/>
            <w:vAlign w:val="center"/>
          </w:tcPr>
          <w:p>
            <w:pPr>
              <w:snapToGrid w:val="0"/>
              <w:spacing w:line="360" w:lineRule="auto"/>
              <w:jc w:val="center"/>
              <w:rPr>
                <w:rFonts w:hint="default" w:ascii="Times New Roman" w:hAnsi="Times New Roman" w:eastAsia="仿宋" w:cs="Times New Roman"/>
                <w:b/>
                <w:color w:val="000000"/>
                <w:sz w:val="24"/>
              </w:rPr>
            </w:pPr>
          </w:p>
        </w:tc>
        <w:tc>
          <w:tcPr>
            <w:tcW w:w="1134" w:type="dxa"/>
            <w:vMerge w:val="continue"/>
            <w:vAlign w:val="center"/>
          </w:tcPr>
          <w:p>
            <w:pPr>
              <w:snapToGrid w:val="0"/>
              <w:spacing w:line="360" w:lineRule="auto"/>
              <w:jc w:val="center"/>
              <w:rPr>
                <w:rFonts w:hint="default" w:ascii="Times New Roman" w:hAnsi="Times New Roman" w:eastAsia="仿宋" w:cs="Times New Roman"/>
                <w:b/>
                <w:color w:val="000000"/>
                <w:sz w:val="24"/>
              </w:rPr>
            </w:pPr>
          </w:p>
        </w:tc>
        <w:tc>
          <w:tcPr>
            <w:tcW w:w="1417" w:type="dxa"/>
            <w:shd w:val="clear" w:color="auto" w:fill="auto"/>
            <w:vAlign w:val="center"/>
          </w:tcPr>
          <w:p>
            <w:pPr>
              <w:snapToGrid w:val="0"/>
              <w:spacing w:line="360" w:lineRule="auto"/>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课程目标1</w:t>
            </w:r>
          </w:p>
        </w:tc>
        <w:tc>
          <w:tcPr>
            <w:tcW w:w="1701" w:type="dxa"/>
            <w:vAlign w:val="center"/>
          </w:tcPr>
          <w:p>
            <w:pPr>
              <w:snapToGrid w:val="0"/>
              <w:spacing w:line="360" w:lineRule="auto"/>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课程目标2</w:t>
            </w:r>
          </w:p>
        </w:tc>
        <w:tc>
          <w:tcPr>
            <w:tcW w:w="1581" w:type="dxa"/>
            <w:vAlign w:val="center"/>
          </w:tcPr>
          <w:p>
            <w:pPr>
              <w:snapToGrid w:val="0"/>
              <w:spacing w:line="360" w:lineRule="auto"/>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课程目标3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4" w:type="dxa"/>
            <w:shd w:val="clear" w:color="auto" w:fill="auto"/>
            <w:vAlign w:val="center"/>
          </w:tcPr>
          <w:p>
            <w:pPr>
              <w:snapToGrid w:val="0"/>
              <w:spacing w:line="360" w:lineRule="auto"/>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结课考核</w:t>
            </w:r>
          </w:p>
        </w:tc>
        <w:tc>
          <w:tcPr>
            <w:tcW w:w="1995" w:type="dxa"/>
            <w:shd w:val="clear" w:color="auto" w:fill="auto"/>
            <w:vAlign w:val="center"/>
          </w:tcPr>
          <w:p>
            <w:pPr>
              <w:snapToGrid w:val="0"/>
              <w:spacing w:line="360" w:lineRule="auto"/>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课程设计报告</w:t>
            </w:r>
          </w:p>
        </w:tc>
        <w:tc>
          <w:tcPr>
            <w:tcW w:w="1134" w:type="dxa"/>
            <w:vAlign w:val="center"/>
          </w:tcPr>
          <w:p>
            <w:pPr>
              <w:snapToGrid w:val="0"/>
              <w:spacing w:line="360" w:lineRule="auto"/>
              <w:jc w:val="center"/>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100</w:t>
            </w:r>
          </w:p>
        </w:tc>
        <w:tc>
          <w:tcPr>
            <w:tcW w:w="1417" w:type="dxa"/>
            <w:shd w:val="clear" w:color="auto" w:fill="auto"/>
            <w:vAlign w:val="center"/>
          </w:tcPr>
          <w:p>
            <w:pPr>
              <w:snapToGrid w:val="0"/>
              <w:spacing w:line="360" w:lineRule="auto"/>
              <w:jc w:val="center"/>
              <w:rPr>
                <w:rFonts w:hint="eastAsia" w:ascii="Times New Roman" w:hAnsi="Times New Roman" w:eastAsia="仿宋" w:cs="Times New Roman"/>
                <w:b/>
                <w:color w:val="000000"/>
                <w:sz w:val="24"/>
                <w:lang w:eastAsia="zh-CN"/>
              </w:rPr>
            </w:pPr>
            <w:r>
              <w:rPr>
                <w:rFonts w:hint="eastAsia" w:eastAsia="仿宋" w:cs="Times New Roman"/>
                <w:b/>
                <w:color w:val="000000"/>
                <w:sz w:val="24"/>
                <w:lang w:val="en-US" w:eastAsia="zh-CN"/>
              </w:rPr>
              <w:t>5</w:t>
            </w:r>
          </w:p>
        </w:tc>
        <w:tc>
          <w:tcPr>
            <w:tcW w:w="1701" w:type="dxa"/>
            <w:vAlign w:val="center"/>
          </w:tcPr>
          <w:p>
            <w:pPr>
              <w:snapToGrid w:val="0"/>
              <w:spacing w:line="360" w:lineRule="auto"/>
              <w:jc w:val="center"/>
              <w:rPr>
                <w:rFonts w:hint="default" w:ascii="Times New Roman" w:hAnsi="Times New Roman" w:eastAsia="仿宋" w:cs="Times New Roman"/>
                <w:b/>
                <w:color w:val="000000"/>
                <w:sz w:val="24"/>
                <w:lang w:val="en-US" w:eastAsia="zh-CN"/>
              </w:rPr>
            </w:pPr>
            <w:r>
              <w:rPr>
                <w:rFonts w:hint="eastAsia" w:eastAsia="仿宋" w:cs="Times New Roman"/>
                <w:b/>
                <w:color w:val="000000"/>
                <w:sz w:val="24"/>
                <w:lang w:val="en-US" w:eastAsia="zh-CN"/>
              </w:rPr>
              <w:t>15</w:t>
            </w:r>
          </w:p>
        </w:tc>
        <w:tc>
          <w:tcPr>
            <w:tcW w:w="1581" w:type="dxa"/>
            <w:vAlign w:val="center"/>
          </w:tcPr>
          <w:p>
            <w:pPr>
              <w:snapToGrid w:val="0"/>
              <w:spacing w:line="360" w:lineRule="auto"/>
              <w:jc w:val="center"/>
              <w:rPr>
                <w:rFonts w:hint="default" w:ascii="Times New Roman" w:hAnsi="Times New Roman" w:eastAsia="仿宋" w:cs="Times New Roman"/>
                <w:b/>
                <w:color w:val="000000"/>
                <w:sz w:val="24"/>
                <w:lang w:val="en-US" w:eastAsia="zh-CN"/>
              </w:rPr>
            </w:pPr>
            <w:r>
              <w:rPr>
                <w:rFonts w:hint="eastAsia" w:eastAsia="仿宋" w:cs="Times New Roman"/>
                <w:b/>
                <w:color w:val="000000"/>
                <w:sz w:val="24"/>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gridSpan w:val="3"/>
            <w:shd w:val="clear" w:color="auto" w:fill="auto"/>
            <w:vAlign w:val="center"/>
          </w:tcPr>
          <w:p>
            <w:pPr>
              <w:snapToGrid w:val="0"/>
              <w:spacing w:line="360" w:lineRule="auto"/>
              <w:jc w:val="center"/>
              <w:rPr>
                <w:rFonts w:hint="default" w:ascii="Times New Roman" w:hAnsi="Times New Roman" w:eastAsia="仿宋" w:cs="Times New Roman"/>
                <w:sz w:val="24"/>
              </w:rPr>
            </w:pPr>
            <w:r>
              <w:rPr>
                <w:rFonts w:hint="default" w:ascii="Times New Roman" w:hAnsi="Times New Roman" w:eastAsia="仿宋" w:cs="Times New Roman"/>
                <w:b/>
                <w:color w:val="000000"/>
                <w:sz w:val="24"/>
              </w:rPr>
              <w:t>课程目标分值合计</w:t>
            </w:r>
          </w:p>
        </w:tc>
        <w:tc>
          <w:tcPr>
            <w:tcW w:w="1417" w:type="dxa"/>
            <w:shd w:val="clear" w:color="auto" w:fill="auto"/>
            <w:vAlign w:val="center"/>
          </w:tcPr>
          <w:p>
            <w:pPr>
              <w:snapToGrid w:val="0"/>
              <w:spacing w:line="360" w:lineRule="auto"/>
              <w:jc w:val="center"/>
              <w:rPr>
                <w:rFonts w:hint="eastAsia" w:ascii="Times New Roman" w:hAnsi="Times New Roman" w:eastAsia="仿宋" w:cs="Times New Roman"/>
                <w:b/>
                <w:color w:val="000000"/>
                <w:sz w:val="24"/>
                <w:lang w:eastAsia="zh-CN"/>
              </w:rPr>
            </w:pPr>
            <w:r>
              <w:rPr>
                <w:rFonts w:hint="eastAsia" w:eastAsia="仿宋" w:cs="Times New Roman"/>
                <w:b/>
                <w:color w:val="000000"/>
                <w:sz w:val="24"/>
                <w:lang w:val="en-US" w:eastAsia="zh-CN"/>
              </w:rPr>
              <w:t>5</w:t>
            </w:r>
          </w:p>
        </w:tc>
        <w:tc>
          <w:tcPr>
            <w:tcW w:w="1701" w:type="dxa"/>
            <w:vAlign w:val="center"/>
          </w:tcPr>
          <w:p>
            <w:pPr>
              <w:snapToGrid w:val="0"/>
              <w:spacing w:line="360" w:lineRule="auto"/>
              <w:jc w:val="center"/>
              <w:rPr>
                <w:rFonts w:hint="default" w:ascii="Times New Roman" w:hAnsi="Times New Roman" w:eastAsia="仿宋" w:cs="Times New Roman"/>
                <w:sz w:val="24"/>
                <w:lang w:val="en-US" w:eastAsia="zh-CN"/>
              </w:rPr>
            </w:pPr>
            <w:r>
              <w:rPr>
                <w:rFonts w:hint="eastAsia" w:eastAsia="仿宋" w:cs="Times New Roman"/>
                <w:b/>
                <w:color w:val="000000"/>
                <w:sz w:val="24"/>
                <w:lang w:val="en-US" w:eastAsia="zh-CN"/>
              </w:rPr>
              <w:t>15</w:t>
            </w:r>
          </w:p>
        </w:tc>
        <w:tc>
          <w:tcPr>
            <w:tcW w:w="1581" w:type="dxa"/>
            <w:vAlign w:val="center"/>
          </w:tcPr>
          <w:p>
            <w:pPr>
              <w:snapToGrid w:val="0"/>
              <w:spacing w:line="360" w:lineRule="auto"/>
              <w:jc w:val="center"/>
              <w:rPr>
                <w:rFonts w:hint="default" w:ascii="Times New Roman" w:hAnsi="Times New Roman" w:eastAsia="仿宋" w:cs="Times New Roman"/>
                <w:sz w:val="24"/>
                <w:lang w:val="en-US" w:eastAsia="zh-CN"/>
              </w:rPr>
            </w:pPr>
            <w:r>
              <w:rPr>
                <w:rFonts w:hint="eastAsia" w:eastAsia="仿宋" w:cs="Times New Roman"/>
                <w:b/>
                <w:color w:val="000000"/>
                <w:sz w:val="24"/>
                <w:lang w:val="en-US" w:eastAsia="zh-CN"/>
              </w:rPr>
              <w:t>80</w:t>
            </w:r>
          </w:p>
        </w:tc>
      </w:tr>
    </w:tbl>
    <w:p>
      <w:pPr>
        <w:tabs>
          <w:tab w:val="left" w:pos="-5670"/>
          <w:tab w:val="left" w:pos="-5245"/>
          <w:tab w:val="left" w:pos="1134"/>
        </w:tabs>
        <w:spacing w:before="156" w:beforeLines="50" w:after="156" w:afterLines="50" w:line="360" w:lineRule="auto"/>
        <w:ind w:firstLine="560" w:firstLineChars="200"/>
        <w:rPr>
          <w:rFonts w:hint="default" w:ascii="Times New Roman" w:hAnsi="Times New Roman" w:eastAsia="黑体" w:cs="Times New Roman"/>
          <w:color w:val="000000"/>
          <w:sz w:val="28"/>
          <w:szCs w:val="28"/>
        </w:rPr>
      </w:pPr>
      <w:r>
        <w:rPr>
          <w:rFonts w:hint="default" w:ascii="Times New Roman" w:hAnsi="Times New Roman" w:eastAsia="黑体" w:cs="Times New Roman"/>
          <w:color w:val="000000"/>
          <w:sz w:val="28"/>
          <w:szCs w:val="28"/>
        </w:rPr>
        <w:t>六、安全教育</w:t>
      </w:r>
    </w:p>
    <w:p>
      <w:pPr>
        <w:tabs>
          <w:tab w:val="left" w:pos="-5670"/>
          <w:tab w:val="left" w:pos="-5245"/>
          <w:tab w:val="left" w:pos="1134"/>
        </w:tabs>
        <w:spacing w:line="360" w:lineRule="auto"/>
        <w:ind w:firstLine="480" w:firstLineChars="200"/>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无。</w:t>
      </w:r>
    </w:p>
    <w:p>
      <w:pPr>
        <w:tabs>
          <w:tab w:val="left" w:pos="-5670"/>
          <w:tab w:val="left" w:pos="-5245"/>
          <w:tab w:val="left" w:pos="1134"/>
        </w:tabs>
        <w:spacing w:before="156" w:beforeLines="50" w:after="156" w:afterLines="50" w:line="360" w:lineRule="auto"/>
        <w:ind w:firstLine="560" w:firstLineChars="200"/>
        <w:rPr>
          <w:rFonts w:hint="default" w:ascii="Times New Roman" w:hAnsi="Times New Roman" w:eastAsia="黑体" w:cs="Times New Roman"/>
          <w:color w:val="000000"/>
          <w:sz w:val="28"/>
          <w:szCs w:val="28"/>
        </w:rPr>
      </w:pPr>
      <w:bookmarkStart w:id="1" w:name="_Hlk49024753"/>
      <w:r>
        <w:rPr>
          <w:rFonts w:hint="default" w:ascii="Times New Roman" w:hAnsi="Times New Roman" w:eastAsia="黑体" w:cs="Times New Roman"/>
          <w:color w:val="000000"/>
          <w:sz w:val="28"/>
          <w:szCs w:val="28"/>
        </w:rPr>
        <w:t>七、课程目标达成度评价</w:t>
      </w:r>
    </w:p>
    <w:p>
      <w:pPr>
        <w:tabs>
          <w:tab w:val="left" w:pos="-5670"/>
          <w:tab w:val="left" w:pos="-5245"/>
          <w:tab w:val="left" w:pos="1134"/>
        </w:tabs>
        <w:spacing w:line="360" w:lineRule="auto"/>
        <w:ind w:firstLine="480" w:firstLineChars="200"/>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课程目标达成度评价包括课程分目标达成度评价和课程总目标达成度评价，具体计算方法如下：</w:t>
      </w:r>
    </w:p>
    <w:p>
      <w:pPr>
        <w:tabs>
          <w:tab w:val="left" w:pos="-5670"/>
          <w:tab w:val="left" w:pos="-5245"/>
          <w:tab w:val="left" w:pos="1134"/>
        </w:tabs>
        <w:spacing w:line="360" w:lineRule="auto"/>
        <w:ind w:firstLine="480"/>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（1）课程分目标达成度=总评成绩中支撑该分目标相关考核环节按权重计算的总得分/总评成绩中支撑该分目标相关考核环节总分</w:t>
      </w:r>
    </w:p>
    <w:p>
      <w:pPr>
        <w:tabs>
          <w:tab w:val="left" w:pos="-5670"/>
          <w:tab w:val="left" w:pos="-5245"/>
          <w:tab w:val="left" w:pos="1134"/>
        </w:tabs>
        <w:spacing w:line="360" w:lineRule="auto"/>
        <w:ind w:firstLine="480"/>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（2）课程总目标达成度=该课程总评成绩平均分/100</w:t>
      </w:r>
    </w:p>
    <w:p>
      <w:pPr>
        <w:tabs>
          <w:tab w:val="left" w:pos="-5670"/>
          <w:tab w:val="left" w:pos="-5245"/>
          <w:tab w:val="left" w:pos="1134"/>
        </w:tabs>
        <w:spacing w:before="156" w:beforeLines="50" w:after="156" w:afterLines="50" w:line="360" w:lineRule="auto"/>
        <w:ind w:firstLine="560" w:firstLineChars="200"/>
        <w:rPr>
          <w:rFonts w:hint="default" w:ascii="Times New Roman" w:hAnsi="Times New Roman" w:eastAsia="黑体" w:cs="Times New Roman"/>
          <w:color w:val="000000"/>
          <w:sz w:val="28"/>
          <w:szCs w:val="28"/>
        </w:rPr>
      </w:pPr>
      <w:r>
        <w:rPr>
          <w:rFonts w:hint="default" w:ascii="Times New Roman" w:hAnsi="Times New Roman" w:eastAsia="黑体" w:cs="Times New Roman"/>
          <w:color w:val="000000"/>
          <w:sz w:val="28"/>
          <w:szCs w:val="28"/>
        </w:rPr>
        <w:t>八、学习建议</w:t>
      </w:r>
    </w:p>
    <w:p>
      <w:pPr>
        <w:tabs>
          <w:tab w:val="left" w:pos="-5670"/>
          <w:tab w:val="left" w:pos="-5245"/>
          <w:tab w:val="left" w:pos="1134"/>
        </w:tabs>
        <w:spacing w:line="360" w:lineRule="auto"/>
        <w:ind w:firstLine="480" w:firstLineChars="200"/>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（1）学习基础知识：完井工程是一个庞大而复杂的学科，建议学生在学习前先把握好基础知识。</w:t>
      </w:r>
    </w:p>
    <w:p>
      <w:pPr>
        <w:tabs>
          <w:tab w:val="left" w:pos="-5670"/>
          <w:tab w:val="left" w:pos="-5245"/>
          <w:tab w:val="left" w:pos="1134"/>
        </w:tabs>
        <w:spacing w:line="360" w:lineRule="auto"/>
        <w:ind w:firstLine="480" w:firstLineChars="200"/>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（2）注意理论与应用结合：完井工程是一门理论联系实际的学科，学生应注重理论知识与实际应用的结合。在学习过程中，可以通过案例分析、工程实例等方式，将理论知识与实际工程问题相结合，加深理解。</w:t>
      </w:r>
    </w:p>
    <w:p>
      <w:pPr>
        <w:tabs>
          <w:tab w:val="left" w:pos="-5670"/>
          <w:tab w:val="left" w:pos="-5245"/>
          <w:tab w:val="left" w:pos="1134"/>
        </w:tabs>
        <w:spacing w:line="360" w:lineRule="auto"/>
        <w:ind w:firstLine="480" w:firstLineChars="200"/>
        <w:rPr>
          <w:rFonts w:hint="default" w:ascii="Times New Roman" w:hAnsi="Times New Roman" w:eastAsia="仿宋" w:cs="Times New Roman"/>
          <w:color w:val="000000"/>
          <w:sz w:val="24"/>
        </w:rPr>
      </w:pPr>
      <w:r>
        <w:rPr>
          <w:rFonts w:hint="default" w:ascii="Times New Roman" w:hAnsi="Times New Roman" w:eastAsia="仿宋" w:cs="Times New Roman"/>
          <w:color w:val="000000"/>
          <w:sz w:val="24"/>
        </w:rPr>
        <w:t>（3）主动思考和提问：在学习过程中，学生应保持思考的活跃，不仅仅是接受知识，还要主动思考和提出问题。可以在课堂上向老师提问，或是与同学进行讨论交流，共同探讨问题。</w:t>
      </w:r>
    </w:p>
    <w:bookmarkEnd w:id="1"/>
    <w:p>
      <w:pPr>
        <w:tabs>
          <w:tab w:val="left" w:pos="-5670"/>
          <w:tab w:val="left" w:pos="-5245"/>
          <w:tab w:val="left" w:pos="1134"/>
        </w:tabs>
        <w:spacing w:before="156" w:beforeLines="50" w:after="156" w:afterLines="50" w:line="360" w:lineRule="auto"/>
        <w:ind w:firstLine="560" w:firstLineChars="200"/>
        <w:rPr>
          <w:rFonts w:hint="default" w:ascii="Times New Roman" w:hAnsi="Times New Roman" w:eastAsia="黑体" w:cs="Times New Roman"/>
          <w:color w:val="000000"/>
          <w:sz w:val="28"/>
          <w:szCs w:val="28"/>
        </w:rPr>
      </w:pPr>
      <w:r>
        <w:rPr>
          <w:rFonts w:hint="default" w:ascii="Times New Roman" w:hAnsi="Times New Roman" w:eastAsia="黑体" w:cs="Times New Roman"/>
          <w:color w:val="000000"/>
          <w:sz w:val="28"/>
          <w:szCs w:val="28"/>
        </w:rPr>
        <w:t>九、教材及参考资料</w:t>
      </w:r>
    </w:p>
    <w:bookmarkEnd w:id="0"/>
    <w:p>
      <w:pPr>
        <w:spacing w:line="360" w:lineRule="auto"/>
        <w:ind w:firstLine="482" w:firstLineChars="200"/>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1．教材</w:t>
      </w:r>
    </w:p>
    <w:tbl>
      <w:tblPr>
        <w:tblStyle w:val="9"/>
        <w:tblW w:w="0" w:type="auto"/>
        <w:tblInd w:w="0" w:type="dxa"/>
        <w:tblLayout w:type="autofit"/>
        <w:tblCellMar>
          <w:top w:w="0" w:type="dxa"/>
          <w:left w:w="108" w:type="dxa"/>
          <w:bottom w:w="0" w:type="dxa"/>
          <w:right w:w="108" w:type="dxa"/>
        </w:tblCellMar>
      </w:tblPr>
      <w:tblGrid>
        <w:gridCol w:w="702"/>
        <w:gridCol w:w="1165"/>
        <w:gridCol w:w="1165"/>
        <w:gridCol w:w="887"/>
        <w:gridCol w:w="1465"/>
        <w:gridCol w:w="1581"/>
        <w:gridCol w:w="1557"/>
      </w:tblGrid>
      <w:tr>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000000"/>
                <w:sz w:val="20"/>
                <w:szCs w:val="20"/>
              </w:rPr>
            </w:pPr>
            <w:r>
              <w:rPr>
                <w:rStyle w:val="23"/>
                <w:rFonts w:hint="default" w:ascii="Times New Roman" w:hAnsi="Times New Roman" w:cs="Times New Roman"/>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000000"/>
                <w:sz w:val="20"/>
                <w:szCs w:val="20"/>
              </w:rPr>
            </w:pPr>
            <w:r>
              <w:rPr>
                <w:rStyle w:val="25"/>
                <w:rFonts w:hint="default" w:ascii="Times New Roman" w:hAnsi="Times New Roman" w:cs="Times New Roman"/>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kern w:val="0"/>
                <w:sz w:val="20"/>
                <w:szCs w:val="20"/>
                <w:lang w:bidi="ar"/>
              </w:rPr>
              <w:t>作者</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kern w:val="0"/>
                <w:sz w:val="20"/>
                <w:szCs w:val="20"/>
                <w:lang w:bidi="ar"/>
              </w:rPr>
              <w:t>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000000"/>
                <w:sz w:val="20"/>
                <w:szCs w:val="20"/>
              </w:rPr>
            </w:pPr>
            <w:r>
              <w:rPr>
                <w:rStyle w:val="25"/>
                <w:rFonts w:hint="default" w:ascii="Times New Roman" w:hAnsi="Times New Roman" w:cs="Times New Roman"/>
                <w:lang w:bidi="ar"/>
              </w:rPr>
              <w:t>教材级别</w:t>
            </w:r>
          </w:p>
        </w:tc>
      </w:tr>
      <w:tr>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000000"/>
                <w:sz w:val="20"/>
                <w:szCs w:val="20"/>
              </w:rPr>
            </w:pPr>
            <w:r>
              <w:rPr>
                <w:rFonts w:hint="default" w:ascii="Times New Roman" w:hAnsi="Times New Roman" w:eastAsia="仿宋" w:cs="Times New Roman"/>
                <w:szCs w:val="21"/>
              </w:rPr>
              <w:t>完井工程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kern w:val="0"/>
                <w:sz w:val="20"/>
                <w:szCs w:val="20"/>
                <w:lang w:bidi="ar"/>
              </w:rPr>
              <w:t>2009年1月第1版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kern w:val="0"/>
                <w:sz w:val="20"/>
                <w:szCs w:val="20"/>
                <w:lang w:bidi="ar"/>
              </w:rPr>
              <w:t>2009年第1次印刷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000000"/>
                <w:sz w:val="20"/>
                <w:szCs w:val="20"/>
              </w:rPr>
            </w:pPr>
            <w:r>
              <w:rPr>
                <w:rFonts w:hint="default" w:ascii="Times New Roman" w:hAnsi="Times New Roman" w:eastAsia="仿宋" w:cs="Times New Roman"/>
                <w:szCs w:val="21"/>
              </w:rPr>
              <w:t>李根生</w:t>
            </w:r>
            <w:r>
              <w:rPr>
                <w:rFonts w:hint="default" w:ascii="Times New Roman" w:hAnsi="Times New Roman" w:eastAsia="仿宋_GB2312" w:cs="Times New Roman"/>
                <w:bCs/>
                <w:szCs w:val="21"/>
              </w:rPr>
              <w:t>翟应虎</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000000"/>
                <w:sz w:val="20"/>
                <w:szCs w:val="20"/>
              </w:rPr>
            </w:pPr>
            <w:r>
              <w:rPr>
                <w:rFonts w:hint="default" w:ascii="Times New Roman" w:hAnsi="Times New Roman" w:eastAsia="仿宋_GB2312" w:cs="Times New Roman"/>
                <w:bCs/>
                <w:szCs w:val="21"/>
              </w:rPr>
              <w:t>中国石油大学（出版社）</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000000"/>
                <w:sz w:val="20"/>
                <w:szCs w:val="20"/>
              </w:rPr>
            </w:pPr>
            <w:r>
              <w:rPr>
                <w:rFonts w:hint="default" w:ascii="Times New Roman" w:hAnsi="Times New Roman" w:eastAsia="仿宋" w:cs="Times New Roman"/>
                <w:szCs w:val="21"/>
              </w:rPr>
              <w:t>9787563629084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333333"/>
                <w:sz w:val="20"/>
                <w:szCs w:val="20"/>
                <w:shd w:val="clear" w:color="auto" w:fill="FFFFFF"/>
              </w:rPr>
              <w:t>高等院校石油天然气类规划教材</w:t>
            </w:r>
          </w:p>
        </w:tc>
      </w:tr>
    </w:tbl>
    <w:p>
      <w:pPr>
        <w:spacing w:line="360" w:lineRule="auto"/>
        <w:ind w:firstLine="482" w:firstLineChars="200"/>
        <w:rPr>
          <w:rFonts w:hint="default" w:ascii="Times New Roman" w:hAnsi="Times New Roman" w:eastAsia="仿宋" w:cs="Times New Roman"/>
          <w:b/>
          <w:color w:val="000000"/>
          <w:sz w:val="24"/>
        </w:rPr>
      </w:pPr>
      <w:r>
        <w:rPr>
          <w:rFonts w:hint="default" w:ascii="Times New Roman" w:hAnsi="Times New Roman" w:eastAsia="仿宋" w:cs="Times New Roman"/>
          <w:b/>
          <w:color w:val="000000"/>
          <w:sz w:val="24"/>
        </w:rPr>
        <w:t>2．主要参考书目</w:t>
      </w:r>
    </w:p>
    <w:tbl>
      <w:tblPr>
        <w:tblStyle w:val="9"/>
        <w:tblW w:w="0" w:type="auto"/>
        <w:tblInd w:w="0" w:type="dxa"/>
        <w:tblLayout w:type="autofit"/>
        <w:tblCellMar>
          <w:top w:w="0" w:type="dxa"/>
          <w:left w:w="108" w:type="dxa"/>
          <w:bottom w:w="0" w:type="dxa"/>
          <w:right w:w="108" w:type="dxa"/>
        </w:tblCellMar>
      </w:tblPr>
      <w:tblGrid>
        <w:gridCol w:w="618"/>
        <w:gridCol w:w="910"/>
        <w:gridCol w:w="918"/>
        <w:gridCol w:w="1006"/>
        <w:gridCol w:w="968"/>
        <w:gridCol w:w="683"/>
        <w:gridCol w:w="1581"/>
        <w:gridCol w:w="1813"/>
      </w:tblGrid>
      <w:tr>
        <w:tblPrEx>
          <w:tblCellMar>
            <w:top w:w="0" w:type="dxa"/>
            <w:left w:w="108" w:type="dxa"/>
            <w:bottom w:w="0" w:type="dxa"/>
            <w:right w:w="108" w:type="dxa"/>
          </w:tblCellMar>
        </w:tblPrEx>
        <w:trPr>
          <w:trHeight w:val="55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000000"/>
                <w:kern w:val="0"/>
                <w:sz w:val="20"/>
                <w:szCs w:val="20"/>
                <w:lang w:bidi="ar"/>
              </w:rPr>
            </w:pPr>
            <w:r>
              <w:rPr>
                <w:rFonts w:hint="default" w:ascii="Times New Roman" w:hAnsi="Times New Roman" w:cs="Times New Roman"/>
                <w:b/>
                <w:bCs/>
                <w:color w:val="000000"/>
                <w:kern w:val="0"/>
                <w:sz w:val="20"/>
                <w:szCs w:val="20"/>
                <w:lang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kern w:val="0"/>
                <w:sz w:val="20"/>
                <w:szCs w:val="20"/>
                <w:lang w:bidi="ar"/>
              </w:rPr>
              <w:t>教材名称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000000"/>
                <w:sz w:val="20"/>
                <w:szCs w:val="20"/>
              </w:rPr>
            </w:pPr>
            <w:r>
              <w:rPr>
                <w:rStyle w:val="23"/>
                <w:rFonts w:hint="default" w:ascii="Times New Roman" w:hAnsi="Times New Roman" w:cs="Times New Roman"/>
                <w:lang w:bidi="ar"/>
              </w:rPr>
              <w:t>版次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000000"/>
                <w:sz w:val="20"/>
                <w:szCs w:val="20"/>
              </w:rPr>
            </w:pPr>
            <w:r>
              <w:rPr>
                <w:rStyle w:val="25"/>
                <w:rFonts w:hint="default" w:ascii="Times New Roman" w:hAnsi="Times New Roman" w:cs="Times New Roman"/>
                <w:lang w:bidi="ar"/>
              </w:rPr>
              <w:t>印次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kern w:val="0"/>
                <w:sz w:val="20"/>
                <w:szCs w:val="20"/>
                <w:lang w:bidi="ar"/>
              </w:rPr>
              <w:t>作者</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kern w:val="0"/>
                <w:sz w:val="20"/>
                <w:szCs w:val="20"/>
                <w:lang w:bidi="ar"/>
              </w:rPr>
              <w:t>出版社</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000000"/>
                <w:sz w:val="20"/>
                <w:szCs w:val="20"/>
              </w:rPr>
            </w:pPr>
            <w:r>
              <w:rPr>
                <w:rFonts w:hint="default" w:ascii="Times New Roman" w:hAnsi="Times New Roman" w:cs="Times New Roman"/>
                <w:b/>
                <w:bCs/>
                <w:color w:val="000000"/>
                <w:kern w:val="0"/>
                <w:sz w:val="20"/>
                <w:szCs w:val="20"/>
                <w:lang w:bidi="ar"/>
              </w:rPr>
              <w:t>书号（ISBN）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b/>
                <w:bCs/>
                <w:color w:val="000000"/>
                <w:sz w:val="20"/>
                <w:szCs w:val="20"/>
              </w:rPr>
            </w:pPr>
            <w:r>
              <w:rPr>
                <w:rStyle w:val="25"/>
                <w:rFonts w:hint="default" w:ascii="Times New Roman" w:hAnsi="Times New Roman" w:cs="Times New Roman"/>
                <w:lang w:bidi="ar"/>
              </w:rPr>
              <w:t>教材级别</w:t>
            </w:r>
          </w:p>
        </w:tc>
      </w:tr>
      <w:tr>
        <w:tblPrEx>
          <w:tblCellMar>
            <w:top w:w="0" w:type="dxa"/>
            <w:left w:w="108" w:type="dxa"/>
            <w:bottom w:w="0" w:type="dxa"/>
            <w:right w:w="108" w:type="dxa"/>
          </w:tblCellMar>
        </w:tblPrEx>
        <w:trPr>
          <w:trHeight w:val="4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000000"/>
                <w:kern w:val="0"/>
                <w:sz w:val="20"/>
                <w:szCs w:val="20"/>
                <w:lang w:bidi="ar"/>
              </w:rPr>
            </w:pPr>
            <w:r>
              <w:rPr>
                <w:rFonts w:hint="default" w:ascii="Times New Roman" w:hAnsi="Times New Roman" w:cs="Times New Roman"/>
                <w:color w:val="000000"/>
                <w:kern w:val="0"/>
                <w:sz w:val="20"/>
                <w:szCs w:val="20"/>
                <w:lang w:bidi="ar"/>
              </w:rPr>
              <w:t>1</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000000"/>
                <w:sz w:val="20"/>
                <w:szCs w:val="20"/>
              </w:rPr>
            </w:pPr>
            <w:r>
              <w:rPr>
                <w:rFonts w:hint="default" w:ascii="Times New Roman" w:hAnsi="Times New Roman" w:eastAsia="仿宋_GB2312" w:cs="Times New Roman"/>
                <w:bCs/>
                <w:szCs w:val="21"/>
              </w:rPr>
              <w:t>钻井工程理论与技术</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kern w:val="0"/>
                <w:sz w:val="20"/>
                <w:szCs w:val="20"/>
                <w:lang w:bidi="ar"/>
              </w:rPr>
              <w:t>2017年1月第2版</w:t>
            </w:r>
          </w:p>
        </w:tc>
        <w:tc>
          <w:tcPr>
            <w:tcW w:w="100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kern w:val="0"/>
                <w:sz w:val="20"/>
                <w:szCs w:val="20"/>
                <w:lang w:bidi="ar"/>
              </w:rPr>
              <w:t>2000年2月第1次印刷</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000000"/>
                <w:sz w:val="20"/>
                <w:szCs w:val="20"/>
              </w:rPr>
            </w:pPr>
            <w:r>
              <w:rPr>
                <w:rFonts w:hint="default" w:ascii="Times New Roman" w:hAnsi="Times New Roman" w:eastAsia="仿宋_GB2312" w:cs="Times New Roman"/>
                <w:bCs/>
                <w:szCs w:val="21"/>
              </w:rPr>
              <w:t>管志川陈庭根</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000000"/>
                <w:sz w:val="20"/>
                <w:szCs w:val="20"/>
              </w:rPr>
            </w:pPr>
            <w:r>
              <w:rPr>
                <w:rFonts w:hint="default" w:ascii="Times New Roman" w:hAnsi="Times New Roman" w:eastAsia="仿宋" w:cs="Times New Roman"/>
                <w:szCs w:val="21"/>
              </w:rPr>
              <w:t>石油工业出版社</w:t>
            </w:r>
          </w:p>
        </w:tc>
        <w:tc>
          <w:tcPr>
            <w:tcW w:w="158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000000"/>
                <w:sz w:val="20"/>
                <w:szCs w:val="20"/>
              </w:rPr>
            </w:pPr>
            <w:r>
              <w:rPr>
                <w:rFonts w:hint="default" w:ascii="Times New Roman" w:hAnsi="Times New Roman" w:eastAsia="仿宋" w:cs="Times New Roman"/>
                <w:szCs w:val="21"/>
              </w:rPr>
              <w:t>9787563634934</w:t>
            </w:r>
          </w:p>
        </w:tc>
        <w:tc>
          <w:tcPr>
            <w:tcW w:w="18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Times New Roman" w:hAnsi="Times New Roman" w:cs="Times New Roman"/>
                <w:color w:val="000000"/>
                <w:sz w:val="20"/>
                <w:szCs w:val="20"/>
              </w:rPr>
            </w:pPr>
            <w:r>
              <w:rPr>
                <w:rFonts w:hint="default" w:ascii="Times New Roman" w:hAnsi="Times New Roman" w:cs="Times New Roman"/>
                <w:color w:val="333333"/>
                <w:sz w:val="20"/>
                <w:szCs w:val="20"/>
                <w:shd w:val="clear" w:color="auto" w:fill="FFFFFF"/>
              </w:rPr>
              <w:t>高等院校石油天然气类规划教材</w:t>
            </w:r>
          </w:p>
        </w:tc>
      </w:tr>
    </w:tbl>
    <w:p>
      <w:pPr>
        <w:spacing w:line="360" w:lineRule="auto"/>
        <w:jc w:val="left"/>
        <w:rPr>
          <w:rFonts w:hint="default" w:ascii="Times New Roman" w:hAnsi="Times New Roman" w:eastAsia="仿宋" w:cs="Times New Roman"/>
          <w:color w:val="000000"/>
          <w:sz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9E02AB"/>
    <w:multiLevelType w:val="multilevel"/>
    <w:tmpl w:val="7C9E02AB"/>
    <w:lvl w:ilvl="0" w:tentative="0">
      <w:start w:val="2"/>
      <w:numFmt w:val="bullet"/>
      <w:lvlText w:val="□"/>
      <w:lvlJc w:val="left"/>
      <w:pPr>
        <w:ind w:left="360" w:hanging="360"/>
      </w:pPr>
      <w:rPr>
        <w:rFonts w:hint="eastAsia" w:ascii="仿宋" w:hAnsi="仿宋" w:eastAsia="仿宋"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yZTI2ZjA3YTc3NmJmMzJlZDY1M2JiODEwOTA0MjAifQ=="/>
  </w:docVars>
  <w:rsids>
    <w:rsidRoot w:val="005844B9"/>
    <w:rsid w:val="000041E9"/>
    <w:rsid w:val="00004364"/>
    <w:rsid w:val="00005B6C"/>
    <w:rsid w:val="000067BE"/>
    <w:rsid w:val="000103ED"/>
    <w:rsid w:val="00012188"/>
    <w:rsid w:val="00014F13"/>
    <w:rsid w:val="000163D1"/>
    <w:rsid w:val="00022E52"/>
    <w:rsid w:val="00023FDF"/>
    <w:rsid w:val="00031361"/>
    <w:rsid w:val="000314AA"/>
    <w:rsid w:val="00034940"/>
    <w:rsid w:val="000361BB"/>
    <w:rsid w:val="00040A17"/>
    <w:rsid w:val="00040DCF"/>
    <w:rsid w:val="0004104C"/>
    <w:rsid w:val="00044398"/>
    <w:rsid w:val="000446BA"/>
    <w:rsid w:val="00051201"/>
    <w:rsid w:val="00054DE2"/>
    <w:rsid w:val="000550EE"/>
    <w:rsid w:val="0006216B"/>
    <w:rsid w:val="0006513E"/>
    <w:rsid w:val="00066DEA"/>
    <w:rsid w:val="000670EF"/>
    <w:rsid w:val="000671C5"/>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0C3B"/>
    <w:rsid w:val="00155E7D"/>
    <w:rsid w:val="00155EC2"/>
    <w:rsid w:val="001611E8"/>
    <w:rsid w:val="00162084"/>
    <w:rsid w:val="001645BA"/>
    <w:rsid w:val="00171D2D"/>
    <w:rsid w:val="001726DD"/>
    <w:rsid w:val="00175B4D"/>
    <w:rsid w:val="001805CC"/>
    <w:rsid w:val="00180603"/>
    <w:rsid w:val="00182988"/>
    <w:rsid w:val="0018489A"/>
    <w:rsid w:val="00185535"/>
    <w:rsid w:val="00185AD1"/>
    <w:rsid w:val="001910EC"/>
    <w:rsid w:val="00193EF8"/>
    <w:rsid w:val="00196827"/>
    <w:rsid w:val="001A479D"/>
    <w:rsid w:val="001A6B4F"/>
    <w:rsid w:val="001B0976"/>
    <w:rsid w:val="001B42B0"/>
    <w:rsid w:val="001B551E"/>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3476"/>
    <w:rsid w:val="0025447F"/>
    <w:rsid w:val="002574CF"/>
    <w:rsid w:val="002626E8"/>
    <w:rsid w:val="00264DB6"/>
    <w:rsid w:val="00267C31"/>
    <w:rsid w:val="00267F68"/>
    <w:rsid w:val="002713A1"/>
    <w:rsid w:val="00274324"/>
    <w:rsid w:val="0027455F"/>
    <w:rsid w:val="002778A8"/>
    <w:rsid w:val="00282ED1"/>
    <w:rsid w:val="002861EF"/>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59"/>
    <w:rsid w:val="00323568"/>
    <w:rsid w:val="00333088"/>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A7B51"/>
    <w:rsid w:val="003B71C8"/>
    <w:rsid w:val="003C2D44"/>
    <w:rsid w:val="003C5131"/>
    <w:rsid w:val="003C538D"/>
    <w:rsid w:val="003D0B37"/>
    <w:rsid w:val="003D52E3"/>
    <w:rsid w:val="003D5571"/>
    <w:rsid w:val="003E0069"/>
    <w:rsid w:val="003E1B3A"/>
    <w:rsid w:val="003E1F2F"/>
    <w:rsid w:val="003E34BD"/>
    <w:rsid w:val="003F516B"/>
    <w:rsid w:val="003F57B4"/>
    <w:rsid w:val="00400522"/>
    <w:rsid w:val="0040617E"/>
    <w:rsid w:val="00412A67"/>
    <w:rsid w:val="004136C2"/>
    <w:rsid w:val="0042133D"/>
    <w:rsid w:val="00424F7C"/>
    <w:rsid w:val="00433AE7"/>
    <w:rsid w:val="00441C82"/>
    <w:rsid w:val="004503C5"/>
    <w:rsid w:val="00453E76"/>
    <w:rsid w:val="00455A67"/>
    <w:rsid w:val="00456E79"/>
    <w:rsid w:val="004571B2"/>
    <w:rsid w:val="00464ADF"/>
    <w:rsid w:val="00467986"/>
    <w:rsid w:val="00470B5A"/>
    <w:rsid w:val="004713D4"/>
    <w:rsid w:val="0047364A"/>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13A9"/>
    <w:rsid w:val="0056444B"/>
    <w:rsid w:val="00567D47"/>
    <w:rsid w:val="00567F7C"/>
    <w:rsid w:val="00570F3F"/>
    <w:rsid w:val="00571DFD"/>
    <w:rsid w:val="00574BBF"/>
    <w:rsid w:val="00575DD1"/>
    <w:rsid w:val="0057618A"/>
    <w:rsid w:val="005767D1"/>
    <w:rsid w:val="0058216F"/>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7486"/>
    <w:rsid w:val="0068216D"/>
    <w:rsid w:val="00683C1B"/>
    <w:rsid w:val="006850AB"/>
    <w:rsid w:val="00693945"/>
    <w:rsid w:val="006942D5"/>
    <w:rsid w:val="0069654A"/>
    <w:rsid w:val="00696C8A"/>
    <w:rsid w:val="00697835"/>
    <w:rsid w:val="006A3059"/>
    <w:rsid w:val="006B4303"/>
    <w:rsid w:val="006B4C8A"/>
    <w:rsid w:val="006B6E22"/>
    <w:rsid w:val="006C0A31"/>
    <w:rsid w:val="006C2FBD"/>
    <w:rsid w:val="006C462B"/>
    <w:rsid w:val="006C4821"/>
    <w:rsid w:val="006C772E"/>
    <w:rsid w:val="006D62BF"/>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5219"/>
    <w:rsid w:val="007478AA"/>
    <w:rsid w:val="007502F6"/>
    <w:rsid w:val="0075304A"/>
    <w:rsid w:val="007568CF"/>
    <w:rsid w:val="0076273E"/>
    <w:rsid w:val="00765D10"/>
    <w:rsid w:val="00775996"/>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36A6"/>
    <w:rsid w:val="007E09AC"/>
    <w:rsid w:val="007E27E4"/>
    <w:rsid w:val="007E50AC"/>
    <w:rsid w:val="007F3198"/>
    <w:rsid w:val="007F6A3B"/>
    <w:rsid w:val="0080071B"/>
    <w:rsid w:val="00802A71"/>
    <w:rsid w:val="00813562"/>
    <w:rsid w:val="00815541"/>
    <w:rsid w:val="00815C78"/>
    <w:rsid w:val="00816A54"/>
    <w:rsid w:val="00822044"/>
    <w:rsid w:val="00835C1F"/>
    <w:rsid w:val="00835DE5"/>
    <w:rsid w:val="00844D01"/>
    <w:rsid w:val="008464A8"/>
    <w:rsid w:val="00847531"/>
    <w:rsid w:val="00851B05"/>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7540"/>
    <w:rsid w:val="008E0850"/>
    <w:rsid w:val="008F6743"/>
    <w:rsid w:val="008F78B8"/>
    <w:rsid w:val="00917EBB"/>
    <w:rsid w:val="00921BFC"/>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2C43"/>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9F70D5"/>
    <w:rsid w:val="00A01F18"/>
    <w:rsid w:val="00A0563A"/>
    <w:rsid w:val="00A06C6B"/>
    <w:rsid w:val="00A12B8C"/>
    <w:rsid w:val="00A14D42"/>
    <w:rsid w:val="00A154EE"/>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2239"/>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BF5357"/>
    <w:rsid w:val="00C01C28"/>
    <w:rsid w:val="00C11A63"/>
    <w:rsid w:val="00C21219"/>
    <w:rsid w:val="00C228B8"/>
    <w:rsid w:val="00C236E6"/>
    <w:rsid w:val="00C2449C"/>
    <w:rsid w:val="00C24BAE"/>
    <w:rsid w:val="00C27655"/>
    <w:rsid w:val="00C33707"/>
    <w:rsid w:val="00C352B6"/>
    <w:rsid w:val="00C362CE"/>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482D"/>
    <w:rsid w:val="00D04ADD"/>
    <w:rsid w:val="00D050DF"/>
    <w:rsid w:val="00D16BA1"/>
    <w:rsid w:val="00D3581C"/>
    <w:rsid w:val="00D437E7"/>
    <w:rsid w:val="00D4556A"/>
    <w:rsid w:val="00D47762"/>
    <w:rsid w:val="00D50FC2"/>
    <w:rsid w:val="00D52456"/>
    <w:rsid w:val="00D524C5"/>
    <w:rsid w:val="00D52F4F"/>
    <w:rsid w:val="00D53508"/>
    <w:rsid w:val="00D57772"/>
    <w:rsid w:val="00D61878"/>
    <w:rsid w:val="00D64ADA"/>
    <w:rsid w:val="00D64B82"/>
    <w:rsid w:val="00D661C9"/>
    <w:rsid w:val="00D71619"/>
    <w:rsid w:val="00D736E5"/>
    <w:rsid w:val="00D8065E"/>
    <w:rsid w:val="00D862C8"/>
    <w:rsid w:val="00D87D83"/>
    <w:rsid w:val="00D87DD5"/>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0D44"/>
    <w:rsid w:val="00E1292A"/>
    <w:rsid w:val="00E14249"/>
    <w:rsid w:val="00E14726"/>
    <w:rsid w:val="00E147B1"/>
    <w:rsid w:val="00E16226"/>
    <w:rsid w:val="00E22117"/>
    <w:rsid w:val="00E22202"/>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1B3B"/>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D6667"/>
    <w:rsid w:val="00FE1AB7"/>
    <w:rsid w:val="00FE2EE1"/>
    <w:rsid w:val="00FE753B"/>
    <w:rsid w:val="00FF0B26"/>
    <w:rsid w:val="00FF23FD"/>
    <w:rsid w:val="00FF7A9C"/>
    <w:rsid w:val="0F4617D1"/>
    <w:rsid w:val="1C4D4B84"/>
    <w:rsid w:val="1E953CE6"/>
    <w:rsid w:val="1F9A55D6"/>
    <w:rsid w:val="2EFC2E27"/>
    <w:rsid w:val="515F0BF7"/>
    <w:rsid w:val="560D6ED5"/>
    <w:rsid w:val="6BF2569F"/>
    <w:rsid w:val="75010C4F"/>
    <w:rsid w:val="7A214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6"/>
    <w:unhideWhenUsed/>
    <w:qFormat/>
    <w:uiPriority w:val="99"/>
    <w:rPr>
      <w:rFonts w:ascii="宋体"/>
      <w:sz w:val="18"/>
      <w:szCs w:val="18"/>
    </w:rPr>
  </w:style>
  <w:style w:type="paragraph" w:styleId="3">
    <w:name w:val="annotation text"/>
    <w:basedOn w:val="1"/>
    <w:link w:val="13"/>
    <w:unhideWhenUsed/>
    <w:qFormat/>
    <w:uiPriority w:val="99"/>
    <w:pPr>
      <w:jc w:val="left"/>
    </w:pPr>
    <w:rPr>
      <w:kern w:val="0"/>
      <w:sz w:val="24"/>
    </w:rPr>
  </w:style>
  <w:style w:type="paragraph" w:styleId="4">
    <w:name w:val="Balloon Text"/>
    <w:basedOn w:val="1"/>
    <w:link w:val="14"/>
    <w:unhideWhenUsed/>
    <w:qFormat/>
    <w:uiPriority w:val="99"/>
    <w:rPr>
      <w:kern w:val="0"/>
      <w:sz w:val="18"/>
      <w:szCs w:val="18"/>
    </w:rPr>
  </w:style>
  <w:style w:type="paragraph" w:styleId="5">
    <w:name w:val="footer"/>
    <w:basedOn w:val="1"/>
    <w:link w:val="15"/>
    <w:unhideWhenUsed/>
    <w:qFormat/>
    <w:uiPriority w:val="99"/>
    <w:pPr>
      <w:tabs>
        <w:tab w:val="center" w:pos="4153"/>
        <w:tab w:val="right" w:pos="8306"/>
      </w:tabs>
      <w:snapToGrid w:val="0"/>
      <w:jc w:val="left"/>
    </w:pPr>
    <w:rPr>
      <w:rFonts w:ascii="Calibri" w:hAnsi="Calibri"/>
      <w:kern w:val="0"/>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8">
    <w:name w:val="annotation subject"/>
    <w:basedOn w:val="3"/>
    <w:next w:val="3"/>
    <w:link w:val="18"/>
    <w:unhideWhenUsed/>
    <w:qFormat/>
    <w:uiPriority w:val="99"/>
    <w:rPr>
      <w:b/>
      <w:bCs/>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unhideWhenUsed/>
    <w:qFormat/>
    <w:uiPriority w:val="99"/>
    <w:rPr>
      <w:rFonts w:cs="Times New Roman"/>
      <w:sz w:val="21"/>
      <w:szCs w:val="21"/>
    </w:rPr>
  </w:style>
  <w:style w:type="character" w:customStyle="1" w:styleId="13">
    <w:name w:val="批注文字 字符"/>
    <w:link w:val="3"/>
    <w:semiHidden/>
    <w:qFormat/>
    <w:locked/>
    <w:uiPriority w:val="99"/>
    <w:rPr>
      <w:rFonts w:ascii="Times New Roman" w:hAnsi="Times New Roman" w:eastAsia="宋体" w:cs="Times New Roman"/>
      <w:sz w:val="24"/>
      <w:szCs w:val="24"/>
    </w:rPr>
  </w:style>
  <w:style w:type="character" w:customStyle="1" w:styleId="14">
    <w:name w:val="批注框文本 字符"/>
    <w:link w:val="4"/>
    <w:semiHidden/>
    <w:qFormat/>
    <w:locked/>
    <w:uiPriority w:val="99"/>
    <w:rPr>
      <w:rFonts w:ascii="Times New Roman" w:hAnsi="Times New Roman" w:eastAsia="宋体" w:cs="Times New Roman"/>
      <w:sz w:val="18"/>
      <w:szCs w:val="18"/>
    </w:rPr>
  </w:style>
  <w:style w:type="character" w:customStyle="1" w:styleId="15">
    <w:name w:val="页脚 字符"/>
    <w:link w:val="5"/>
    <w:qFormat/>
    <w:locked/>
    <w:uiPriority w:val="99"/>
    <w:rPr>
      <w:rFonts w:cs="Times New Roman"/>
      <w:sz w:val="18"/>
      <w:szCs w:val="18"/>
    </w:rPr>
  </w:style>
  <w:style w:type="character" w:customStyle="1" w:styleId="16">
    <w:name w:val="文档结构图 字符"/>
    <w:link w:val="2"/>
    <w:semiHidden/>
    <w:qFormat/>
    <w:uiPriority w:val="99"/>
    <w:rPr>
      <w:rFonts w:ascii="宋体" w:hAnsi="Times New Roman"/>
      <w:kern w:val="2"/>
      <w:sz w:val="18"/>
      <w:szCs w:val="18"/>
    </w:rPr>
  </w:style>
  <w:style w:type="character" w:customStyle="1" w:styleId="17">
    <w:name w:val="页眉 字符"/>
    <w:link w:val="6"/>
    <w:qFormat/>
    <w:locked/>
    <w:uiPriority w:val="99"/>
    <w:rPr>
      <w:rFonts w:cs="Times New Roman"/>
      <w:sz w:val="18"/>
      <w:szCs w:val="18"/>
    </w:rPr>
  </w:style>
  <w:style w:type="character" w:customStyle="1" w:styleId="18">
    <w:name w:val="批注主题 字符"/>
    <w:link w:val="8"/>
    <w:semiHidden/>
    <w:qFormat/>
    <w:locked/>
    <w:uiPriority w:val="99"/>
    <w:rPr>
      <w:rFonts w:ascii="Times New Roman" w:hAnsi="Times New Roman" w:eastAsia="宋体" w:cs="Times New Roman"/>
      <w:b/>
      <w:bCs/>
      <w:sz w:val="24"/>
      <w:szCs w:val="24"/>
    </w:rPr>
  </w:style>
  <w:style w:type="paragraph" w:customStyle="1" w:styleId="19">
    <w:name w:val="列出段落"/>
    <w:basedOn w:val="1"/>
    <w:qFormat/>
    <w:uiPriority w:val="34"/>
    <w:pPr>
      <w:ind w:firstLine="420" w:firstLineChars="200"/>
    </w:pPr>
    <w:rPr>
      <w:rFonts w:ascii="Calibri" w:hAnsi="Calibri"/>
      <w:szCs w:val="22"/>
    </w:rPr>
  </w:style>
  <w:style w:type="paragraph" w:customStyle="1" w:styleId="20">
    <w:name w:val="Char Char5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
    <w:name w:val="列表段落1"/>
    <w:basedOn w:val="1"/>
    <w:qFormat/>
    <w:uiPriority w:val="34"/>
    <w:pPr>
      <w:ind w:firstLine="420" w:firstLineChars="200"/>
    </w:pPr>
  </w:style>
  <w:style w:type="paragraph" w:customStyle="1" w:styleId="22">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23">
    <w:name w:val="font31"/>
    <w:qFormat/>
    <w:uiPriority w:val="0"/>
    <w:rPr>
      <w:rFonts w:hint="eastAsia" w:ascii="宋体" w:hAnsi="宋体" w:eastAsia="宋体" w:cs="宋体"/>
      <w:b/>
      <w:bCs/>
      <w:color w:val="000000"/>
      <w:sz w:val="20"/>
      <w:szCs w:val="20"/>
      <w:u w:val="none"/>
    </w:rPr>
  </w:style>
  <w:style w:type="character" w:customStyle="1" w:styleId="24">
    <w:name w:val="font41"/>
    <w:qFormat/>
    <w:uiPriority w:val="0"/>
    <w:rPr>
      <w:rFonts w:hint="eastAsia" w:ascii="宋体" w:hAnsi="宋体" w:eastAsia="宋体" w:cs="宋体"/>
      <w:b/>
      <w:bCs/>
      <w:color w:val="FF0000"/>
      <w:sz w:val="20"/>
      <w:szCs w:val="20"/>
      <w:u w:val="none"/>
    </w:rPr>
  </w:style>
  <w:style w:type="character" w:customStyle="1" w:styleId="25">
    <w:name w:val="font11"/>
    <w:qFormat/>
    <w:uiPriority w:val="0"/>
    <w:rPr>
      <w:rFonts w:hint="eastAsia" w:ascii="宋体" w:hAnsi="宋体" w:eastAsia="宋体" w:cs="宋体"/>
      <w:b/>
      <w:bCs/>
      <w:color w:val="000000"/>
      <w:sz w:val="20"/>
      <w:szCs w:val="20"/>
      <w:u w:val="none"/>
    </w:rPr>
  </w:style>
  <w:style w:type="character" w:customStyle="1" w:styleId="26">
    <w:name w:val="font51"/>
    <w:qFormat/>
    <w:uiPriority w:val="0"/>
    <w:rPr>
      <w:rFonts w:hint="eastAsia" w:ascii="宋体" w:hAnsi="宋体" w:eastAsia="宋体" w:cs="宋体"/>
      <w:b/>
      <w:bCs/>
      <w:color w:val="FF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2477</Words>
  <Characters>2593</Characters>
  <Lines>20</Lines>
  <Paragraphs>5</Paragraphs>
  <TotalTime>1</TotalTime>
  <ScaleCrop>false</ScaleCrop>
  <LinksUpToDate>false</LinksUpToDate>
  <CharactersWithSpaces>2603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2024-06-06T03:23:00Z</dcterms:created>
  <dc:creator>dell</dc:creator>
  <cp:lastModifiedBy>赵岩龙-CUPK</cp:lastModifiedBy>
  <dcterms:modified xsi:type="dcterms:W3CDTF">2024-09-02T09:19:16Z</dcterms:modified>
  <dc:title>《工程结构抗震设计原理》课程教学大纲</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8A848362F4A444C498D541EAB4F2F60E_12</vt:lpwstr>
  </property>
</Properties>
</file>