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4C47A">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0172FDC">
      <w:pPr>
        <w:spacing w:line="480" w:lineRule="auto"/>
        <w:rPr>
          <w:rFonts w:ascii="宋体" w:hAnsi="宋体"/>
          <w:color w:val="000000"/>
          <w:sz w:val="44"/>
          <w:szCs w:val="20"/>
        </w:rPr>
      </w:pPr>
    </w:p>
    <w:p w14:paraId="7212FC33">
      <w:pPr>
        <w:tabs>
          <w:tab w:val="left" w:pos="880"/>
        </w:tabs>
        <w:spacing w:line="480" w:lineRule="auto"/>
        <w:rPr>
          <w:rFonts w:ascii="宋体" w:hAnsi="宋体"/>
          <w:color w:val="000000"/>
          <w:sz w:val="44"/>
          <w:szCs w:val="20"/>
        </w:rPr>
      </w:pPr>
      <w:r>
        <w:rPr>
          <w:rFonts w:ascii="宋体" w:hAnsi="宋体"/>
          <w:color w:val="000000"/>
          <w:sz w:val="44"/>
          <w:szCs w:val="20"/>
        </w:rPr>
        <w:tab/>
      </w:r>
    </w:p>
    <w:p w14:paraId="1F9E6F4E">
      <w:pPr>
        <w:spacing w:line="480" w:lineRule="auto"/>
        <w:rPr>
          <w:rFonts w:ascii="宋体" w:hAnsi="宋体"/>
          <w:color w:val="000000"/>
          <w:sz w:val="44"/>
          <w:szCs w:val="20"/>
        </w:rPr>
      </w:pPr>
    </w:p>
    <w:p w14:paraId="66206956">
      <w:pPr>
        <w:spacing w:line="480" w:lineRule="auto"/>
        <w:jc w:val="center"/>
        <w:rPr>
          <w:rFonts w:eastAsia="黑体"/>
          <w:color w:val="000000"/>
          <w:sz w:val="44"/>
        </w:rPr>
      </w:pPr>
      <w:r>
        <w:rPr>
          <w:rFonts w:hint="eastAsia" w:eastAsia="黑体"/>
          <w:color w:val="000000"/>
          <w:sz w:val="44"/>
        </w:rPr>
        <w:t>《</w:t>
      </w:r>
      <w:bookmarkStart w:id="2" w:name="_GoBack"/>
      <w:r>
        <w:rPr>
          <w:rFonts w:hint="eastAsia" w:eastAsia="黑体"/>
          <w:color w:val="auto"/>
          <w:sz w:val="44"/>
          <w:lang w:val="en-US" w:eastAsia="zh-CN"/>
        </w:rPr>
        <w:t>化工导论</w:t>
      </w:r>
      <w:bookmarkEnd w:id="2"/>
      <w:r>
        <w:rPr>
          <w:rFonts w:hint="eastAsia" w:eastAsia="黑体"/>
          <w:color w:val="000000"/>
          <w:sz w:val="44"/>
        </w:rPr>
        <w:t>》教学大纲</w:t>
      </w:r>
    </w:p>
    <w:p w14:paraId="0D7CDA74">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64338985">
      <w:pPr>
        <w:spacing w:line="480" w:lineRule="auto"/>
        <w:rPr>
          <w:color w:val="000000"/>
          <w:sz w:val="32"/>
          <w:szCs w:val="20"/>
        </w:rPr>
      </w:pPr>
    </w:p>
    <w:p w14:paraId="5473F3DD">
      <w:pPr>
        <w:spacing w:line="480" w:lineRule="auto"/>
        <w:rPr>
          <w:color w:val="000000"/>
          <w:sz w:val="32"/>
          <w:szCs w:val="20"/>
        </w:rPr>
      </w:pPr>
    </w:p>
    <w:p w14:paraId="40FDDDAB">
      <w:pPr>
        <w:spacing w:line="480" w:lineRule="auto"/>
        <w:rPr>
          <w:color w:val="000000"/>
          <w:sz w:val="32"/>
          <w:szCs w:val="20"/>
        </w:rPr>
      </w:pPr>
    </w:p>
    <w:p w14:paraId="1A678F70">
      <w:pPr>
        <w:spacing w:line="480" w:lineRule="auto"/>
        <w:rPr>
          <w:color w:val="000000"/>
          <w:sz w:val="32"/>
          <w:szCs w:val="20"/>
        </w:rPr>
      </w:pPr>
    </w:p>
    <w:p w14:paraId="32F4C509">
      <w:pPr>
        <w:spacing w:line="480" w:lineRule="auto"/>
        <w:rPr>
          <w:color w:val="000000"/>
          <w:sz w:val="32"/>
          <w:szCs w:val="20"/>
        </w:rPr>
      </w:pPr>
    </w:p>
    <w:p w14:paraId="3227E53A">
      <w:pPr>
        <w:spacing w:line="480" w:lineRule="auto"/>
        <w:rPr>
          <w:rFonts w:hint="eastAsia"/>
          <w:color w:val="000000"/>
          <w:sz w:val="32"/>
          <w:szCs w:val="20"/>
        </w:rPr>
      </w:pPr>
    </w:p>
    <w:p w14:paraId="12BD5B09">
      <w:pPr>
        <w:spacing w:line="480" w:lineRule="auto"/>
        <w:rPr>
          <w:color w:val="000000"/>
          <w:sz w:val="32"/>
          <w:szCs w:val="20"/>
        </w:rPr>
      </w:pPr>
    </w:p>
    <w:p w14:paraId="4AEEDD85">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62FB7745">
        <w:tblPrEx>
          <w:tblCellMar>
            <w:top w:w="0" w:type="dxa"/>
            <w:left w:w="108" w:type="dxa"/>
            <w:bottom w:w="0" w:type="dxa"/>
            <w:right w:w="108" w:type="dxa"/>
          </w:tblCellMar>
        </w:tblPrEx>
        <w:trPr>
          <w:jc w:val="center"/>
        </w:trPr>
        <w:tc>
          <w:tcPr>
            <w:tcW w:w="2376" w:type="dxa"/>
            <w:shd w:val="clear" w:color="auto" w:fill="auto"/>
            <w:vAlign w:val="bottom"/>
          </w:tcPr>
          <w:p w14:paraId="6A91EC04">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51500587">
            <w:pPr>
              <w:spacing w:line="480" w:lineRule="auto"/>
              <w:jc w:val="center"/>
              <w:rPr>
                <w:rFonts w:hint="eastAsia" w:eastAsia="宋体"/>
                <w:color w:val="000000"/>
                <w:sz w:val="28"/>
                <w:lang w:val="en-US" w:eastAsia="zh-CN"/>
              </w:rPr>
            </w:pPr>
            <w:r>
              <w:rPr>
                <w:rFonts w:hint="eastAsia"/>
                <w:color w:val="000000"/>
                <w:sz w:val="28"/>
                <w:lang w:val="en-US" w:eastAsia="zh-CN"/>
              </w:rPr>
              <w:t>许孝玲</w:t>
            </w:r>
          </w:p>
        </w:tc>
      </w:tr>
      <w:tr w14:paraId="72785F3B">
        <w:tblPrEx>
          <w:tblCellMar>
            <w:top w:w="0" w:type="dxa"/>
            <w:left w:w="108" w:type="dxa"/>
            <w:bottom w:w="0" w:type="dxa"/>
            <w:right w:w="108" w:type="dxa"/>
          </w:tblCellMar>
        </w:tblPrEx>
        <w:trPr>
          <w:jc w:val="center"/>
        </w:trPr>
        <w:tc>
          <w:tcPr>
            <w:tcW w:w="2376" w:type="dxa"/>
            <w:shd w:val="clear" w:color="auto" w:fill="auto"/>
            <w:vAlign w:val="bottom"/>
          </w:tcPr>
          <w:p w14:paraId="462C9061">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1DC5507C">
            <w:pPr>
              <w:spacing w:line="480" w:lineRule="auto"/>
              <w:jc w:val="center"/>
              <w:rPr>
                <w:rFonts w:hint="eastAsia" w:eastAsia="宋体"/>
                <w:color w:val="000000"/>
                <w:sz w:val="28"/>
                <w:lang w:val="en-US" w:eastAsia="zh-CN"/>
              </w:rPr>
            </w:pPr>
            <w:r>
              <w:rPr>
                <w:rFonts w:hint="eastAsia"/>
                <w:color w:val="000000"/>
                <w:sz w:val="28"/>
                <w:lang w:val="en-US" w:eastAsia="zh-CN"/>
              </w:rPr>
              <w:t>李楠</w:t>
            </w:r>
          </w:p>
        </w:tc>
      </w:tr>
    </w:tbl>
    <w:p w14:paraId="21305CD8">
      <w:pPr>
        <w:jc w:val="center"/>
        <w:rPr>
          <w:rFonts w:ascii="仿宋" w:hAnsi="仿宋" w:eastAsia="仿宋"/>
          <w:color w:val="000000"/>
          <w:sz w:val="28"/>
          <w:u w:val="single"/>
        </w:rPr>
      </w:pPr>
    </w:p>
    <w:p w14:paraId="45CF35D8">
      <w:pPr>
        <w:jc w:val="center"/>
        <w:rPr>
          <w:rFonts w:ascii="仿宋" w:hAnsi="仿宋" w:eastAsia="仿宋"/>
          <w:color w:val="000000"/>
          <w:sz w:val="28"/>
          <w:u w:val="single"/>
        </w:rPr>
      </w:pPr>
    </w:p>
    <w:p w14:paraId="14F3675A">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7</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0D487334">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43A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10B4413">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C762810">
            <w:pPr>
              <w:jc w:val="center"/>
              <w:rPr>
                <w:rFonts w:ascii="仿宋" w:hAnsi="仿宋" w:eastAsia="仿宋"/>
                <w:color w:val="000000"/>
                <w:sz w:val="24"/>
              </w:rPr>
            </w:pPr>
            <w:r>
              <w:rPr>
                <w:rFonts w:hint="eastAsia" w:ascii="仿宋_GB2312" w:hAnsi="仿宋" w:eastAsia="仿宋_GB2312"/>
                <w:color w:val="000000"/>
                <w:sz w:val="24"/>
                <w:szCs w:val="28"/>
              </w:rPr>
              <w:t>100305T044</w:t>
            </w:r>
          </w:p>
        </w:tc>
        <w:tc>
          <w:tcPr>
            <w:tcW w:w="1446" w:type="dxa"/>
            <w:vAlign w:val="center"/>
          </w:tcPr>
          <w:p w14:paraId="17C67ED8">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1B0D58C3">
            <w:pPr>
              <w:tabs>
                <w:tab w:val="left" w:pos="-720"/>
              </w:tabs>
              <w:suppressAutoHyphens/>
              <w:adjustRightInd w:val="0"/>
              <w:snapToGrid w:val="0"/>
              <w:spacing w:line="300" w:lineRule="auto"/>
              <w:ind w:firstLine="480" w:firstLineChars="200"/>
              <w:rPr>
                <w:rFonts w:ascii="仿宋" w:hAnsi="仿宋" w:eastAsia="仿宋"/>
                <w:color w:val="000000"/>
                <w:sz w:val="24"/>
              </w:rPr>
            </w:pPr>
            <w:r>
              <w:rPr>
                <w:rFonts w:hint="eastAsia" w:ascii="仿宋_GB2312" w:hAnsi="仿宋" w:eastAsia="仿宋_GB2312"/>
                <w:color w:val="000000"/>
                <w:sz w:val="24"/>
                <w:szCs w:val="28"/>
              </w:rPr>
              <w:t>工学院</w:t>
            </w:r>
          </w:p>
        </w:tc>
      </w:tr>
      <w:tr w14:paraId="1021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95AE5B">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5C1CE387">
            <w:pPr>
              <w:jc w:val="center"/>
              <w:rPr>
                <w:rFonts w:ascii="仿宋" w:hAnsi="仿宋" w:eastAsia="仿宋"/>
                <w:color w:val="000000"/>
                <w:sz w:val="24"/>
              </w:rPr>
            </w:pPr>
            <w:r>
              <w:rPr>
                <w:rFonts w:hint="eastAsia" w:ascii="仿宋_GB2312" w:hAnsi="仿宋" w:eastAsia="仿宋_GB2312"/>
                <w:color w:val="000000"/>
                <w:sz w:val="24"/>
                <w:szCs w:val="28"/>
              </w:rPr>
              <w:t xml:space="preserve">化工导论 </w:t>
            </w:r>
          </w:p>
        </w:tc>
      </w:tr>
      <w:tr w14:paraId="70F0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4B1F62">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7217F899">
            <w:pPr>
              <w:jc w:val="center"/>
              <w:rPr>
                <w:rFonts w:ascii="仿宋" w:hAnsi="仿宋" w:eastAsia="仿宋"/>
                <w:color w:val="000000"/>
                <w:sz w:val="24"/>
              </w:rPr>
            </w:pPr>
            <w:r>
              <w:rPr>
                <w:rFonts w:eastAsia="仿宋_GB2312"/>
                <w:color w:val="000000"/>
                <w:sz w:val="24"/>
                <w:szCs w:val="28"/>
              </w:rPr>
              <w:t>Introduction to chemical Process &amp; Engineering</w:t>
            </w:r>
          </w:p>
        </w:tc>
      </w:tr>
      <w:tr w14:paraId="6BCF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199106F">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6AA45D3D">
            <w:pPr>
              <w:jc w:val="center"/>
              <w:rPr>
                <w:rFonts w:hint="eastAsia" w:ascii="仿宋" w:hAnsi="仿宋" w:eastAsia="仿宋"/>
                <w:color w:val="FF0000"/>
                <w:sz w:val="24"/>
              </w:rPr>
            </w:pPr>
            <w:r>
              <w:rPr>
                <w:rFonts w:hint="eastAsia" w:ascii="仿宋" w:hAnsi="仿宋" w:eastAsia="仿宋"/>
                <w:color w:val="auto"/>
                <w:sz w:val="24"/>
              </w:rPr>
              <w:t>专业必修课</w:t>
            </w:r>
          </w:p>
        </w:tc>
      </w:tr>
      <w:tr w14:paraId="774CC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F2E802">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5499B69A">
            <w:pPr>
              <w:jc w:val="center"/>
              <w:rPr>
                <w:rFonts w:hint="eastAsia" w:ascii="仿宋" w:hAnsi="仿宋" w:eastAsia="仿宋"/>
                <w:color w:val="0070C0"/>
                <w:sz w:val="24"/>
                <w:lang w:val="en-US" w:eastAsia="zh-CN"/>
              </w:rPr>
            </w:pPr>
            <w:r>
              <w:rPr>
                <w:rFonts w:hint="eastAsia" w:ascii="仿宋" w:hAnsi="仿宋" w:eastAsia="仿宋"/>
                <w:color w:val="auto"/>
                <w:sz w:val="24"/>
                <w:lang w:val="en-US" w:eastAsia="zh-CN"/>
              </w:rPr>
              <w:t>化学工程与工艺</w:t>
            </w:r>
          </w:p>
        </w:tc>
      </w:tr>
      <w:tr w14:paraId="01DE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9C3310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171C489E">
            <w:pPr>
              <w:jc w:val="center"/>
              <w:rPr>
                <w:rFonts w:ascii="仿宋" w:hAnsi="仿宋" w:eastAsia="仿宋"/>
                <w:color w:val="000000"/>
                <w:sz w:val="24"/>
              </w:rPr>
            </w:pPr>
            <w:r>
              <w:rPr>
                <w:rFonts w:ascii="仿宋_GB2312" w:hAnsi="仿宋" w:eastAsia="仿宋_GB2312"/>
                <w:color w:val="000000"/>
                <w:sz w:val="24"/>
                <w:szCs w:val="28"/>
              </w:rPr>
              <w:t>1</w:t>
            </w:r>
            <w:r>
              <w:rPr>
                <w:rFonts w:hint="eastAsia" w:ascii="仿宋_GB2312" w:hAnsi="仿宋" w:eastAsia="仿宋_GB2312"/>
                <w:color w:val="000000"/>
                <w:sz w:val="24"/>
                <w:szCs w:val="28"/>
              </w:rPr>
              <w:t xml:space="preserve"> </w:t>
            </w:r>
          </w:p>
        </w:tc>
        <w:tc>
          <w:tcPr>
            <w:tcW w:w="1693" w:type="dxa"/>
            <w:gridSpan w:val="2"/>
            <w:vAlign w:val="center"/>
          </w:tcPr>
          <w:p w14:paraId="12D24703">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610C80FE">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r>
      <w:tr w14:paraId="5490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51429E3">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021F9D13">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14:paraId="124EC8D4">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887F2DD">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5199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00A137">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197E685">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51D450F8">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22848EDA">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13E3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131396D">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DA0D20F">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无</w:t>
            </w:r>
          </w:p>
        </w:tc>
      </w:tr>
    </w:tbl>
    <w:p w14:paraId="195217A5">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6685EC2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51EBBFED">
      <w:pPr>
        <w:suppressAutoHyphens/>
        <w:adjustRightInd w:val="0"/>
        <w:snapToGrid w:val="0"/>
        <w:spacing w:line="300" w:lineRule="auto"/>
        <w:ind w:right="102" w:firstLine="570"/>
        <w:rPr>
          <w:rFonts w:hint="eastAsia" w:ascii="仿宋_GB2312" w:hAnsi="仿宋" w:eastAsia="仿宋_GB2312"/>
          <w:color w:val="000000"/>
          <w:sz w:val="24"/>
          <w:szCs w:val="28"/>
        </w:rPr>
      </w:pPr>
      <w:r>
        <w:rPr>
          <w:rFonts w:hint="eastAsia" w:ascii="仿宋_GB2312" w:hAnsi="仿宋" w:eastAsia="仿宋_GB2312"/>
          <w:color w:val="000000"/>
          <w:sz w:val="24"/>
          <w:szCs w:val="28"/>
        </w:rPr>
        <w:t>化工导论</w:t>
      </w:r>
      <w:r>
        <w:rPr>
          <w:rFonts w:ascii="仿宋_GB2312" w:hAnsi="仿宋" w:eastAsia="仿宋_GB2312"/>
          <w:color w:val="000000"/>
          <w:sz w:val="24"/>
          <w:szCs w:val="28"/>
        </w:rPr>
        <w:t>课程</w:t>
      </w:r>
      <w:r>
        <w:rPr>
          <w:rFonts w:hint="eastAsia" w:ascii="仿宋_GB2312" w:hAnsi="仿宋" w:eastAsia="仿宋_GB2312"/>
          <w:color w:val="000000"/>
          <w:sz w:val="24"/>
          <w:szCs w:val="28"/>
        </w:rPr>
        <w:t>是</w:t>
      </w:r>
      <w:r>
        <w:rPr>
          <w:rFonts w:ascii="仿宋_GB2312" w:hAnsi="仿宋" w:eastAsia="仿宋_GB2312"/>
          <w:color w:val="000000"/>
          <w:sz w:val="24"/>
          <w:szCs w:val="28"/>
        </w:rPr>
        <w:t>一门化工概述性课程，旨在介绍化学工程的产生</w:t>
      </w:r>
      <w:r>
        <w:rPr>
          <w:rFonts w:hint="eastAsia" w:ascii="仿宋_GB2312" w:hAnsi="仿宋" w:eastAsia="仿宋_GB2312"/>
          <w:color w:val="000000"/>
          <w:sz w:val="24"/>
          <w:szCs w:val="28"/>
          <w:lang w:eastAsia="zh-CN"/>
        </w:rPr>
        <w:t>、</w:t>
      </w:r>
      <w:r>
        <w:rPr>
          <w:rFonts w:hint="eastAsia" w:ascii="仿宋_GB2312" w:hAnsi="仿宋" w:eastAsia="仿宋_GB2312"/>
          <w:color w:val="000000"/>
          <w:sz w:val="24"/>
          <w:szCs w:val="28"/>
        </w:rPr>
        <w:t>壮大和</w:t>
      </w:r>
      <w:r>
        <w:rPr>
          <w:rFonts w:ascii="仿宋_GB2312" w:hAnsi="仿宋" w:eastAsia="仿宋_GB2312"/>
          <w:color w:val="000000"/>
          <w:sz w:val="24"/>
          <w:szCs w:val="28"/>
        </w:rPr>
        <w:t>未来发展</w:t>
      </w:r>
      <w:r>
        <w:rPr>
          <w:rFonts w:hint="eastAsia" w:ascii="仿宋_GB2312" w:hAnsi="仿宋" w:eastAsia="仿宋_GB2312"/>
          <w:color w:val="000000"/>
          <w:sz w:val="24"/>
          <w:szCs w:val="28"/>
        </w:rPr>
        <w:t>，化工学科和</w:t>
      </w:r>
      <w:r>
        <w:rPr>
          <w:rFonts w:ascii="仿宋_GB2312" w:hAnsi="仿宋" w:eastAsia="仿宋_GB2312"/>
          <w:color w:val="000000"/>
          <w:sz w:val="24"/>
          <w:szCs w:val="28"/>
        </w:rPr>
        <w:t>化工专业之间的关系</w:t>
      </w:r>
      <w:r>
        <w:rPr>
          <w:rFonts w:hint="eastAsia" w:ascii="仿宋_GB2312" w:hAnsi="仿宋" w:eastAsia="仿宋_GB2312"/>
          <w:color w:val="000000"/>
          <w:sz w:val="24"/>
          <w:szCs w:val="28"/>
        </w:rPr>
        <w:t>，</w:t>
      </w:r>
      <w:r>
        <w:rPr>
          <w:rFonts w:ascii="仿宋_GB2312" w:hAnsi="仿宋" w:eastAsia="仿宋_GB2312"/>
          <w:color w:val="000000"/>
          <w:sz w:val="24"/>
          <w:szCs w:val="28"/>
        </w:rPr>
        <w:t>化工过程所面向的领域</w:t>
      </w:r>
      <w:r>
        <w:rPr>
          <w:rFonts w:hint="eastAsia" w:ascii="仿宋_GB2312" w:hAnsi="仿宋" w:eastAsia="仿宋_GB2312"/>
          <w:color w:val="000000"/>
          <w:sz w:val="24"/>
          <w:szCs w:val="28"/>
        </w:rPr>
        <w:t>，个人学习</w:t>
      </w:r>
      <w:r>
        <w:rPr>
          <w:rFonts w:ascii="仿宋_GB2312" w:hAnsi="仿宋" w:eastAsia="仿宋_GB2312"/>
          <w:color w:val="000000"/>
          <w:sz w:val="24"/>
          <w:szCs w:val="28"/>
        </w:rPr>
        <w:t>化学工程与工艺专业的发展方向</w:t>
      </w:r>
      <w:r>
        <w:rPr>
          <w:rFonts w:hint="eastAsia" w:ascii="仿宋_GB2312" w:hAnsi="仿宋" w:eastAsia="仿宋_GB2312"/>
          <w:color w:val="000000"/>
          <w:sz w:val="24"/>
          <w:szCs w:val="28"/>
        </w:rPr>
        <w:t>，我校</w:t>
      </w:r>
      <w:r>
        <w:rPr>
          <w:rFonts w:ascii="仿宋_GB2312" w:hAnsi="仿宋" w:eastAsia="仿宋_GB2312"/>
          <w:color w:val="000000"/>
          <w:sz w:val="24"/>
          <w:szCs w:val="28"/>
        </w:rPr>
        <w:t>化学工程与工艺专业的专业背景，培养计划</w:t>
      </w:r>
      <w:r>
        <w:rPr>
          <w:rFonts w:hint="eastAsia" w:ascii="仿宋_GB2312" w:hAnsi="仿宋" w:eastAsia="仿宋_GB2312"/>
          <w:color w:val="000000"/>
          <w:sz w:val="24"/>
          <w:szCs w:val="28"/>
        </w:rPr>
        <w:t>和</w:t>
      </w:r>
      <w:r>
        <w:rPr>
          <w:rFonts w:ascii="仿宋_GB2312" w:hAnsi="仿宋" w:eastAsia="仿宋_GB2312"/>
          <w:color w:val="000000"/>
          <w:sz w:val="24"/>
          <w:szCs w:val="28"/>
        </w:rPr>
        <w:t>培养方案。</w:t>
      </w:r>
      <w:r>
        <w:rPr>
          <w:rFonts w:hint="eastAsia" w:ascii="仿宋_GB2312" w:hAnsi="仿宋" w:eastAsia="仿宋_GB2312"/>
          <w:color w:val="000000"/>
          <w:sz w:val="24"/>
          <w:szCs w:val="28"/>
        </w:rPr>
        <w:t>该课程系统介绍了化工的传统领域及新兴领域的基础知识、典型生产过程及发展的方向，化工的专业技术基础，对石油化工、天然气化工、煤化工以及其它化工进行了介绍。</w:t>
      </w:r>
    </w:p>
    <w:p w14:paraId="2B37AFB2">
      <w:pPr>
        <w:suppressAutoHyphens/>
        <w:adjustRightInd w:val="0"/>
        <w:snapToGrid w:val="0"/>
        <w:spacing w:line="300" w:lineRule="auto"/>
        <w:ind w:right="102" w:firstLine="570"/>
        <w:rPr>
          <w:rFonts w:hint="eastAsia" w:ascii="仿宋_GB2312" w:hAnsi="仿宋" w:eastAsia="仿宋_GB2312"/>
          <w:color w:val="000000"/>
          <w:sz w:val="24"/>
          <w:szCs w:val="28"/>
        </w:rPr>
      </w:pPr>
      <w:r>
        <w:rPr>
          <w:rFonts w:hint="eastAsia" w:ascii="仿宋_GB2312" w:hAnsi="仿宋" w:eastAsia="仿宋_GB2312"/>
          <w:color w:val="000000"/>
          <w:sz w:val="24"/>
          <w:szCs w:val="28"/>
        </w:rPr>
        <w:t>课程主要目的是使化工专业新生通过本课程认识到化工在国民经济中的支柱地位与作用，了解化工专业各领域。通过该课程的学习，培养学生树立正确的专业观念，提高学生对化工专业的认识和热爱，为学生在今后的公共基础课、专业基础课及专业课的学习过程中提供一定的指导作用。</w:t>
      </w:r>
    </w:p>
    <w:p w14:paraId="60A5EE4D">
      <w:pPr>
        <w:snapToGrid w:val="0"/>
        <w:spacing w:line="360" w:lineRule="auto"/>
        <w:rPr>
          <w:rFonts w:hint="eastAsia" w:ascii="仿宋" w:hAnsi="仿宋" w:eastAsia="仿宋"/>
          <w:color w:val="0070C0"/>
          <w:sz w:val="24"/>
        </w:rPr>
      </w:pPr>
    </w:p>
    <w:p w14:paraId="392708B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AA38E73">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5836BDE3">
      <w:pPr>
        <w:spacing w:line="360" w:lineRule="auto"/>
        <w:ind w:firstLine="482" w:firstLineChars="200"/>
        <w:rPr>
          <w:rFonts w:hint="eastAsia" w:ascii="仿宋" w:hAnsi="仿宋" w:eastAsia="仿宋"/>
          <w:bCs/>
          <w:color w:val="0070C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r>
        <w:rPr>
          <w:rFonts w:hint="eastAsia" w:ascii="仿宋" w:hAnsi="仿宋" w:eastAsia="仿宋"/>
          <w:bCs/>
          <w:color w:val="000000"/>
          <w:sz w:val="24"/>
        </w:rPr>
        <w:t>了解</w:t>
      </w:r>
      <w:r>
        <w:rPr>
          <w:rFonts w:hint="eastAsia" w:ascii="仿宋_GB2312" w:hAnsi="仿宋" w:eastAsia="仿宋_GB2312"/>
          <w:color w:val="000000"/>
          <w:sz w:val="24"/>
          <w:szCs w:val="28"/>
        </w:rPr>
        <w:t>化工学科和</w:t>
      </w:r>
      <w:r>
        <w:rPr>
          <w:rFonts w:ascii="仿宋_GB2312" w:hAnsi="仿宋" w:eastAsia="仿宋_GB2312"/>
          <w:color w:val="000000"/>
          <w:sz w:val="24"/>
          <w:szCs w:val="28"/>
        </w:rPr>
        <w:t>化工专业之间的关系</w:t>
      </w:r>
      <w:r>
        <w:rPr>
          <w:rFonts w:hint="eastAsia" w:ascii="仿宋_GB2312" w:hAnsi="仿宋" w:eastAsia="仿宋_GB2312"/>
          <w:color w:val="000000"/>
          <w:sz w:val="24"/>
          <w:szCs w:val="28"/>
        </w:rPr>
        <w:t>，</w:t>
      </w:r>
      <w:r>
        <w:rPr>
          <w:rFonts w:ascii="仿宋_GB2312" w:hAnsi="仿宋" w:eastAsia="仿宋_GB2312"/>
          <w:color w:val="000000"/>
          <w:sz w:val="24"/>
          <w:szCs w:val="28"/>
        </w:rPr>
        <w:t>化工过程所面向的领域</w:t>
      </w:r>
      <w:r>
        <w:rPr>
          <w:rFonts w:hint="eastAsia" w:ascii="仿宋_GB2312" w:hAnsi="仿宋" w:eastAsia="仿宋_GB2312"/>
          <w:color w:val="000000"/>
          <w:sz w:val="24"/>
          <w:szCs w:val="28"/>
        </w:rPr>
        <w:t>，</w:t>
      </w:r>
      <w:r>
        <w:rPr>
          <w:rFonts w:hint="eastAsia" w:ascii="仿宋" w:hAnsi="仿宋" w:eastAsia="仿宋"/>
          <w:bCs/>
          <w:color w:val="000000"/>
          <w:sz w:val="24"/>
          <w:lang w:val="en-US" w:eastAsia="zh-CN"/>
        </w:rPr>
        <w:t>化工专业学习</w:t>
      </w:r>
      <w:r>
        <w:rPr>
          <w:rFonts w:hint="eastAsia" w:ascii="仿宋" w:hAnsi="仿宋" w:eastAsia="仿宋"/>
          <w:bCs/>
          <w:color w:val="000000"/>
          <w:sz w:val="24"/>
        </w:rPr>
        <w:t>的特性和特点，提炼和掌握</w:t>
      </w:r>
      <w:r>
        <w:rPr>
          <w:rFonts w:hint="eastAsia" w:ascii="仿宋" w:hAnsi="仿宋" w:eastAsia="仿宋"/>
          <w:bCs/>
          <w:color w:val="000000"/>
          <w:sz w:val="24"/>
          <w:lang w:val="en-US" w:eastAsia="zh-CN"/>
        </w:rPr>
        <w:t>化工专业学习</w:t>
      </w:r>
      <w:r>
        <w:rPr>
          <w:rFonts w:hint="eastAsia" w:ascii="仿宋" w:hAnsi="仿宋" w:eastAsia="仿宋"/>
          <w:bCs/>
          <w:color w:val="000000"/>
          <w:sz w:val="24"/>
        </w:rPr>
        <w:t>中的主要观点和方法。</w:t>
      </w:r>
    </w:p>
    <w:p w14:paraId="4CC66910">
      <w:pPr>
        <w:spacing w:line="360" w:lineRule="auto"/>
        <w:ind w:firstLine="482" w:firstLineChars="200"/>
        <w:rPr>
          <w:rFonts w:hint="eastAsia" w:ascii="仿宋" w:hAnsi="仿宋" w:eastAsia="仿宋"/>
          <w:bCs/>
          <w:color w:val="000000"/>
          <w:sz w:val="24"/>
        </w:rPr>
      </w:pPr>
      <w:r>
        <w:rPr>
          <w:rFonts w:hint="eastAsia" w:ascii="仿宋" w:hAnsi="仿宋" w:eastAsia="仿宋"/>
          <w:b/>
          <w:color w:val="000000"/>
          <w:sz w:val="24"/>
        </w:rPr>
        <w:t>课程目标2：</w:t>
      </w:r>
      <w:r>
        <w:rPr>
          <w:rFonts w:hint="eastAsia" w:ascii="仿宋" w:hAnsi="仿宋" w:eastAsia="仿宋"/>
          <w:b w:val="0"/>
          <w:bCs/>
          <w:color w:val="000000"/>
          <w:sz w:val="24"/>
          <w:lang w:val="en-US" w:eastAsia="zh-CN"/>
        </w:rPr>
        <w:t>了解</w:t>
      </w:r>
      <w:r>
        <w:rPr>
          <w:rFonts w:hint="eastAsia" w:ascii="仿宋" w:hAnsi="仿宋" w:eastAsia="仿宋"/>
          <w:bCs/>
          <w:color w:val="000000"/>
          <w:sz w:val="24"/>
        </w:rPr>
        <w:t>化工的传统领域及新兴领域的基础知识、典型生产过程及发展的方向，化工的专业技术基础。</w:t>
      </w:r>
    </w:p>
    <w:p w14:paraId="101F6CAB">
      <w:pPr>
        <w:spacing w:line="360" w:lineRule="auto"/>
        <w:ind w:firstLine="482" w:firstLineChars="200"/>
        <w:rPr>
          <w:rFonts w:hint="default" w:ascii="仿宋" w:hAnsi="仿宋" w:eastAsia="仿宋"/>
          <w:b/>
          <w:color w:val="000000"/>
          <w:sz w:val="24"/>
          <w:lang w:val="en-US" w:eastAsia="zh-CN"/>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b w:val="0"/>
          <w:bCs/>
          <w:color w:val="000000"/>
          <w:sz w:val="24"/>
          <w:lang w:val="en-US" w:eastAsia="zh-CN"/>
        </w:rPr>
        <w:t>了解</w:t>
      </w:r>
      <w:r>
        <w:rPr>
          <w:rFonts w:hint="eastAsia" w:ascii="仿宋" w:hAnsi="仿宋" w:eastAsia="仿宋"/>
          <w:bCs/>
          <w:color w:val="000000"/>
          <w:sz w:val="24"/>
        </w:rPr>
        <w:t>石油化工、天然气化工、煤化工以及其它化工</w:t>
      </w:r>
      <w:r>
        <w:rPr>
          <w:rFonts w:hint="eastAsia" w:ascii="仿宋" w:hAnsi="仿宋" w:eastAsia="仿宋"/>
          <w:bCs/>
          <w:color w:val="000000"/>
          <w:sz w:val="24"/>
          <w:lang w:val="en-US" w:eastAsia="zh-CN"/>
        </w:rPr>
        <w:t>的特点及发展，分析未来化工发展的方向及特点。</w:t>
      </w:r>
    </w:p>
    <w:p w14:paraId="7F5356B6">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244"/>
        <w:gridCol w:w="2683"/>
        <w:gridCol w:w="2129"/>
        <w:gridCol w:w="1466"/>
      </w:tblGrid>
      <w:tr w14:paraId="20786B51">
        <w:tblPrEx>
          <w:tblCellMar>
            <w:top w:w="0" w:type="dxa"/>
            <w:left w:w="108" w:type="dxa"/>
            <w:bottom w:w="0" w:type="dxa"/>
            <w:right w:w="108" w:type="dxa"/>
          </w:tblCellMar>
        </w:tblPrEx>
        <w:trPr>
          <w:trHeight w:val="510" w:hRule="atLeast"/>
          <w:jc w:val="center"/>
        </w:trPr>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14:paraId="2F571E27">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574" w:type="pct"/>
            <w:tcBorders>
              <w:top w:val="single" w:color="auto" w:sz="4" w:space="0"/>
              <w:left w:val="nil"/>
              <w:bottom w:val="single" w:color="auto" w:sz="4" w:space="0"/>
              <w:right w:val="single" w:color="auto" w:sz="4" w:space="0"/>
            </w:tcBorders>
            <w:shd w:val="clear" w:color="auto" w:fill="auto"/>
            <w:vAlign w:val="center"/>
          </w:tcPr>
          <w:p w14:paraId="1C28A49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38BBCAA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129257A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673D2906">
        <w:tblPrEx>
          <w:tblCellMar>
            <w:top w:w="0" w:type="dxa"/>
            <w:left w:w="108" w:type="dxa"/>
            <w:bottom w:w="0" w:type="dxa"/>
            <w:right w:w="108" w:type="dxa"/>
          </w:tblCellMar>
        </w:tblPrEx>
        <w:trPr>
          <w:trHeight w:val="1425" w:hRule="atLeast"/>
          <w:jc w:val="center"/>
        </w:trPr>
        <w:tc>
          <w:tcPr>
            <w:tcW w:w="1316" w:type="pct"/>
            <w:tcBorders>
              <w:top w:val="single" w:color="auto" w:sz="4" w:space="0"/>
              <w:left w:val="single" w:color="auto" w:sz="4" w:space="0"/>
              <w:bottom w:val="single" w:color="auto" w:sz="4" w:space="0"/>
              <w:right w:val="single" w:color="auto" w:sz="4" w:space="0"/>
            </w:tcBorders>
          </w:tcPr>
          <w:p w14:paraId="42B6C3D9">
            <w:pPr>
              <w:widowControl/>
              <w:spacing w:line="276" w:lineRule="auto"/>
              <w:jc w:val="left"/>
              <w:rPr>
                <w:rFonts w:ascii="仿宋" w:hAnsi="仿宋" w:eastAsia="仿宋"/>
                <w:color w:val="0070C0"/>
                <w:kern w:val="0"/>
                <w:sz w:val="24"/>
              </w:rPr>
            </w:pPr>
            <w:r>
              <w:rPr>
                <w:rFonts w:hint="eastAsia" w:ascii="仿宋" w:hAnsi="仿宋" w:eastAsia="仿宋"/>
                <w:b/>
                <w:bCs/>
                <w:sz w:val="24"/>
              </w:rPr>
              <w:t>毕业要求</w:t>
            </w:r>
            <w:r>
              <w:rPr>
                <w:rFonts w:hint="eastAsia" w:ascii="仿宋" w:hAnsi="仿宋" w:eastAsia="仿宋"/>
                <w:b/>
                <w:bCs/>
                <w:sz w:val="24"/>
                <w:lang w:val="en-US" w:eastAsia="zh-CN"/>
              </w:rPr>
              <w:t>7</w:t>
            </w:r>
            <w:r>
              <w:rPr>
                <w:rFonts w:hint="eastAsia" w:ascii="仿宋" w:hAnsi="仿宋" w:eastAsia="仿宋"/>
                <w:b/>
                <w:bCs/>
                <w:sz w:val="24"/>
              </w:rPr>
              <w:t>：</w:t>
            </w:r>
            <w:r>
              <w:rPr>
                <w:rFonts w:hint="eastAsia" w:ascii="仿宋" w:hAnsi="仿宋" w:eastAsia="仿宋"/>
                <w:b w:val="0"/>
                <w:bCs w:val="0"/>
                <w:sz w:val="24"/>
              </w:rPr>
              <w:t>能够理解和评价针对石油化工的专业工程实践和复杂工程问题的解决过程对环境与社会可持续发展的影响。</w:t>
            </w:r>
          </w:p>
        </w:tc>
        <w:tc>
          <w:tcPr>
            <w:tcW w:w="1574" w:type="pct"/>
            <w:tcBorders>
              <w:top w:val="single" w:color="auto" w:sz="4" w:space="0"/>
              <w:left w:val="nil"/>
              <w:bottom w:val="single" w:color="auto" w:sz="4" w:space="0"/>
              <w:right w:val="single" w:color="auto" w:sz="4" w:space="0"/>
            </w:tcBorders>
          </w:tcPr>
          <w:p w14:paraId="7E350E25">
            <w:pPr>
              <w:spacing w:line="276" w:lineRule="auto"/>
              <w:rPr>
                <w:rFonts w:hint="eastAsia" w:ascii="仿宋" w:hAnsi="仿宋" w:eastAsia="仿宋"/>
                <w:color w:val="auto"/>
                <w:sz w:val="24"/>
              </w:rPr>
            </w:pPr>
            <w:r>
              <w:rPr>
                <w:rFonts w:ascii="仿宋" w:hAnsi="仿宋" w:eastAsia="仿宋"/>
                <w:b/>
                <w:bCs/>
                <w:sz w:val="24"/>
              </w:rPr>
              <w:t>观测点</w:t>
            </w:r>
            <w:r>
              <w:rPr>
                <w:rFonts w:hint="eastAsia" w:ascii="仿宋" w:hAnsi="仿宋" w:eastAsia="仿宋"/>
                <w:b/>
                <w:bCs/>
                <w:sz w:val="24"/>
                <w:lang w:val="en-US" w:eastAsia="zh-CN"/>
              </w:rPr>
              <w:t>7</w:t>
            </w:r>
            <w:r>
              <w:rPr>
                <w:rFonts w:ascii="仿宋" w:hAnsi="仿宋" w:eastAsia="仿宋"/>
                <w:b/>
                <w:bCs/>
                <w:sz w:val="24"/>
              </w:rPr>
              <w:t>-</w:t>
            </w:r>
            <w:r>
              <w:rPr>
                <w:rFonts w:hint="eastAsia" w:ascii="仿宋" w:hAnsi="仿宋" w:eastAsia="仿宋"/>
                <w:b/>
                <w:bCs/>
                <w:sz w:val="24"/>
                <w:lang w:val="en-US" w:eastAsia="zh-CN"/>
              </w:rPr>
              <w:t>1</w:t>
            </w:r>
            <w:r>
              <w:rPr>
                <w:rFonts w:hint="eastAsia" w:ascii="仿宋" w:hAnsi="仿宋" w:eastAsia="仿宋"/>
                <w:b/>
                <w:bCs/>
                <w:sz w:val="24"/>
              </w:rPr>
              <w:t>：</w:t>
            </w:r>
            <w:r>
              <w:rPr>
                <w:rFonts w:hint="eastAsia" w:ascii="仿宋" w:hAnsi="仿宋" w:eastAsia="仿宋"/>
                <w:color w:val="auto"/>
                <w:sz w:val="24"/>
              </w:rPr>
              <w:t>能够理解环境保护和社会可持续发展的意义，树立化学工程绿色及可持续发展理念，和复杂石油化工问题解决过程中的环保意识。理解环境保护和社会可持续发展的重要意义，树立化工过程绿色、低碳及可持续发展的理念；</w:t>
            </w:r>
          </w:p>
          <w:p w14:paraId="2B207EBF">
            <w:pPr>
              <w:spacing w:line="276" w:lineRule="auto"/>
              <w:rPr>
                <w:rFonts w:ascii="仿宋" w:hAnsi="仿宋" w:eastAsia="仿宋"/>
                <w:color w:val="0070C0"/>
                <w:sz w:val="24"/>
              </w:rPr>
            </w:pPr>
            <w:r>
              <w:rPr>
                <w:rFonts w:ascii="仿宋" w:hAnsi="仿宋" w:eastAsia="仿宋"/>
                <w:b/>
                <w:bCs/>
                <w:sz w:val="24"/>
              </w:rPr>
              <w:t>观测点</w:t>
            </w:r>
            <w:r>
              <w:rPr>
                <w:rFonts w:hint="eastAsia" w:ascii="仿宋" w:hAnsi="仿宋" w:eastAsia="仿宋"/>
                <w:b/>
                <w:bCs/>
                <w:sz w:val="24"/>
                <w:lang w:val="en-US" w:eastAsia="zh-CN"/>
              </w:rPr>
              <w:t>7</w:t>
            </w:r>
            <w:r>
              <w:rPr>
                <w:rFonts w:ascii="仿宋" w:hAnsi="仿宋" w:eastAsia="仿宋"/>
                <w:b/>
                <w:bCs/>
                <w:sz w:val="24"/>
              </w:rPr>
              <w:t>-</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color w:val="auto"/>
                <w:sz w:val="24"/>
              </w:rPr>
              <w:t>了解国家环境保护和社会可持续发展战略、政策、法律和法规等方面的知识；</w:t>
            </w:r>
          </w:p>
        </w:tc>
        <w:tc>
          <w:tcPr>
            <w:tcW w:w="1249" w:type="pct"/>
            <w:tcBorders>
              <w:top w:val="single" w:color="auto" w:sz="4" w:space="0"/>
              <w:left w:val="nil"/>
              <w:bottom w:val="single" w:color="auto" w:sz="4" w:space="0"/>
              <w:right w:val="single" w:color="auto" w:sz="4" w:space="0"/>
            </w:tcBorders>
            <w:vAlign w:val="center"/>
          </w:tcPr>
          <w:p w14:paraId="5AB47392">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w:t>
            </w:r>
          </w:p>
          <w:p w14:paraId="05A4CCA7">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2</w:t>
            </w:r>
          </w:p>
          <w:p w14:paraId="640FEF62">
            <w:pPr>
              <w:spacing w:line="276" w:lineRule="auto"/>
              <w:rPr>
                <w:rFonts w:hint="eastAsia" w:ascii="仿宋" w:hAnsi="仿宋" w:eastAsia="仿宋"/>
                <w:color w:val="000000"/>
                <w:kern w:val="0"/>
                <w:sz w:val="24"/>
                <w:lang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14:paraId="1963A556">
            <w:pPr>
              <w:numPr>
                <w:numId w:val="0"/>
              </w:numPr>
              <w:spacing w:line="276" w:lineRule="auto"/>
              <w:ind w:leftChars="0" w:firstLine="480" w:firstLineChars="200"/>
              <w:jc w:val="both"/>
              <w:rPr>
                <w:rFonts w:ascii="仿宋" w:hAnsi="仿宋" w:eastAsia="仿宋"/>
                <w:color w:val="000000"/>
                <w:sz w:val="24"/>
              </w:rPr>
            </w:pPr>
            <w:r>
              <w:rPr>
                <w:rFonts w:hint="eastAsia" w:ascii="仿宋" w:hAnsi="仿宋" w:eastAsia="仿宋"/>
                <w:color w:val="auto"/>
                <w:sz w:val="24"/>
              </w:rPr>
              <w:sym w:font="Wingdings" w:char="00FE"/>
            </w:r>
            <w:r>
              <w:rPr>
                <w:rFonts w:hint="eastAsia" w:ascii="仿宋" w:hAnsi="仿宋" w:eastAsia="仿宋"/>
                <w:color w:val="auto"/>
                <w:sz w:val="24"/>
                <w:lang w:val="en-US" w:eastAsia="zh-CN"/>
              </w:rPr>
              <w:t xml:space="preserve"> </w:t>
            </w:r>
            <w:r>
              <w:rPr>
                <w:rFonts w:hint="eastAsia" w:ascii="仿宋" w:hAnsi="仿宋" w:eastAsia="仿宋"/>
                <w:color w:val="000000"/>
                <w:sz w:val="24"/>
              </w:rPr>
              <w:t>H</w:t>
            </w:r>
          </w:p>
          <w:p w14:paraId="706C3AF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2EA15514">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58E98E5F">
        <w:tblPrEx>
          <w:tblCellMar>
            <w:top w:w="0" w:type="dxa"/>
            <w:left w:w="108" w:type="dxa"/>
            <w:bottom w:w="0" w:type="dxa"/>
            <w:right w:w="108" w:type="dxa"/>
          </w:tblCellMar>
        </w:tblPrEx>
        <w:trPr>
          <w:trHeight w:val="690" w:hRule="atLeast"/>
          <w:jc w:val="center"/>
        </w:trPr>
        <w:tc>
          <w:tcPr>
            <w:tcW w:w="1316" w:type="pct"/>
            <w:tcBorders>
              <w:top w:val="single" w:color="auto" w:sz="4" w:space="0"/>
              <w:left w:val="single" w:color="auto" w:sz="4" w:space="0"/>
              <w:bottom w:val="single" w:color="auto" w:sz="4" w:space="0"/>
              <w:right w:val="single" w:color="auto" w:sz="4" w:space="0"/>
            </w:tcBorders>
            <w:vAlign w:val="center"/>
          </w:tcPr>
          <w:p w14:paraId="52F1D6DB">
            <w:pPr>
              <w:widowControl/>
              <w:spacing w:line="276" w:lineRule="auto"/>
              <w:jc w:val="left"/>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8</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具有人文社会科学素养、社会责任感，能够在化学工程实践中理解并遵守工程职业道德和规范，履行责任。</w:t>
            </w:r>
          </w:p>
        </w:tc>
        <w:tc>
          <w:tcPr>
            <w:tcW w:w="1574" w:type="pct"/>
            <w:tcBorders>
              <w:top w:val="single" w:color="auto" w:sz="4" w:space="0"/>
              <w:left w:val="nil"/>
              <w:bottom w:val="single" w:color="auto" w:sz="4" w:space="0"/>
              <w:right w:val="single" w:color="auto" w:sz="4" w:space="0"/>
            </w:tcBorders>
            <w:vAlign w:val="center"/>
          </w:tcPr>
          <w:p w14:paraId="37555FCF">
            <w:pPr>
              <w:spacing w:line="276" w:lineRule="auto"/>
              <w:rPr>
                <w:rFonts w:hint="eastAsia" w:ascii="仿宋" w:hAnsi="仿宋" w:eastAsia="仿宋"/>
                <w:b/>
                <w:bCs/>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8-2</w:t>
            </w:r>
            <w:r>
              <w:rPr>
                <w:rFonts w:hint="eastAsia" w:ascii="仿宋" w:hAnsi="仿宋" w:eastAsia="仿宋"/>
                <w:b/>
                <w:bCs/>
                <w:color w:val="000000"/>
                <w:sz w:val="24"/>
              </w:rPr>
              <w:t>：</w:t>
            </w:r>
            <w:r>
              <w:rPr>
                <w:rFonts w:hint="eastAsia" w:ascii="仿宋" w:hAnsi="仿宋" w:eastAsia="仿宋"/>
                <w:b w:val="0"/>
                <w:bCs w:val="0"/>
                <w:color w:val="000000"/>
                <w:sz w:val="24"/>
              </w:rPr>
              <w:t>能够在石油化工的实践中理解并自觉遵守工程师的职业道德、规范，理解工程师对社会发展和环境保护的社会责任，能够在专业实践中自觉履行责任。</w:t>
            </w:r>
          </w:p>
        </w:tc>
        <w:tc>
          <w:tcPr>
            <w:tcW w:w="1249" w:type="pct"/>
            <w:tcBorders>
              <w:top w:val="single" w:color="auto" w:sz="4" w:space="0"/>
              <w:left w:val="nil"/>
              <w:bottom w:val="single" w:color="auto" w:sz="4" w:space="0"/>
              <w:right w:val="single" w:color="auto" w:sz="4" w:space="0"/>
            </w:tcBorders>
            <w:vAlign w:val="center"/>
          </w:tcPr>
          <w:p w14:paraId="6B4C64A5">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w:t>
            </w:r>
          </w:p>
          <w:p w14:paraId="004F37BE">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2</w:t>
            </w:r>
          </w:p>
          <w:p w14:paraId="43886B78">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tcPr>
          <w:p w14:paraId="499BE3D6">
            <w:pPr>
              <w:numPr>
                <w:numId w:val="0"/>
              </w:numPr>
              <w:spacing w:line="276" w:lineRule="auto"/>
              <w:ind w:leftChars="0" w:firstLine="480" w:firstLineChars="200"/>
              <w:jc w:val="both"/>
              <w:rPr>
                <w:rFonts w:hint="eastAsia" w:ascii="仿宋" w:hAnsi="仿宋" w:eastAsia="仿宋"/>
                <w:color w:val="auto"/>
                <w:sz w:val="24"/>
              </w:rPr>
            </w:pPr>
          </w:p>
          <w:p w14:paraId="35CD1324">
            <w:pPr>
              <w:numPr>
                <w:numId w:val="0"/>
              </w:numPr>
              <w:spacing w:line="276" w:lineRule="auto"/>
              <w:ind w:leftChars="0" w:firstLine="480" w:firstLineChars="200"/>
              <w:jc w:val="both"/>
              <w:rPr>
                <w:rFonts w:ascii="仿宋" w:hAnsi="仿宋" w:eastAsia="仿宋"/>
                <w:color w:val="000000"/>
                <w:sz w:val="24"/>
              </w:rPr>
            </w:pPr>
            <w:r>
              <w:rPr>
                <w:rFonts w:hint="eastAsia" w:ascii="仿宋" w:hAnsi="仿宋" w:eastAsia="仿宋"/>
                <w:color w:val="auto"/>
                <w:sz w:val="24"/>
              </w:rPr>
              <w:sym w:font="Wingdings" w:char="00FE"/>
            </w:r>
            <w:r>
              <w:rPr>
                <w:rFonts w:hint="eastAsia" w:ascii="仿宋" w:hAnsi="仿宋" w:eastAsia="仿宋"/>
                <w:color w:val="auto"/>
                <w:sz w:val="24"/>
                <w:lang w:val="en-US" w:eastAsia="zh-CN"/>
              </w:rPr>
              <w:t xml:space="preserve"> </w:t>
            </w:r>
            <w:r>
              <w:rPr>
                <w:rFonts w:hint="eastAsia" w:ascii="仿宋" w:hAnsi="仿宋" w:eastAsia="仿宋"/>
                <w:color w:val="000000"/>
                <w:sz w:val="24"/>
              </w:rPr>
              <w:t>H</w:t>
            </w:r>
          </w:p>
          <w:p w14:paraId="427D490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F91E056">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3D60E92E">
        <w:tblPrEx>
          <w:tblCellMar>
            <w:top w:w="0" w:type="dxa"/>
            <w:left w:w="108" w:type="dxa"/>
            <w:bottom w:w="0" w:type="dxa"/>
            <w:right w:w="108" w:type="dxa"/>
          </w:tblCellMar>
        </w:tblPrEx>
        <w:trPr>
          <w:trHeight w:val="690" w:hRule="atLeast"/>
          <w:jc w:val="center"/>
        </w:trPr>
        <w:tc>
          <w:tcPr>
            <w:tcW w:w="1316" w:type="pct"/>
            <w:tcBorders>
              <w:top w:val="single" w:color="auto" w:sz="4" w:space="0"/>
              <w:left w:val="single" w:color="auto" w:sz="4" w:space="0"/>
              <w:bottom w:val="single" w:color="auto" w:sz="4" w:space="0"/>
              <w:right w:val="single" w:color="auto" w:sz="4" w:space="0"/>
            </w:tcBorders>
            <w:vAlign w:val="center"/>
          </w:tcPr>
          <w:p w14:paraId="7510D8D9">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12</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具有自主学习和终身学习意识，能够不断学习并适应石油化工及能源化工行业的新发展。</w:t>
            </w:r>
          </w:p>
        </w:tc>
        <w:tc>
          <w:tcPr>
            <w:tcW w:w="1574" w:type="pct"/>
            <w:tcBorders>
              <w:top w:val="single" w:color="auto" w:sz="4" w:space="0"/>
              <w:left w:val="nil"/>
              <w:bottom w:val="single" w:color="auto" w:sz="4" w:space="0"/>
              <w:right w:val="single" w:color="auto" w:sz="4" w:space="0"/>
            </w:tcBorders>
            <w:vAlign w:val="center"/>
          </w:tcPr>
          <w:p w14:paraId="6A46F216">
            <w:pPr>
              <w:spacing w:line="276" w:lineRule="auto"/>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12-1</w:t>
            </w:r>
            <w:r>
              <w:rPr>
                <w:rFonts w:hint="eastAsia" w:ascii="仿宋" w:hAnsi="仿宋" w:eastAsia="仿宋"/>
                <w:b/>
                <w:bCs/>
                <w:color w:val="000000"/>
                <w:sz w:val="24"/>
              </w:rPr>
              <w:t>：</w:t>
            </w:r>
            <w:r>
              <w:rPr>
                <w:rFonts w:hint="eastAsia" w:ascii="仿宋" w:hAnsi="仿宋" w:eastAsia="仿宋"/>
                <w:b w:val="0"/>
                <w:bCs w:val="0"/>
                <w:color w:val="000000"/>
                <w:sz w:val="24"/>
              </w:rPr>
              <w:t>理解技术环境的多样化和技术进步对于知识和能力的要求，能够认识不断探索和学习的必要性，形成自主学习和终身学习的意识。</w:t>
            </w:r>
          </w:p>
        </w:tc>
        <w:tc>
          <w:tcPr>
            <w:tcW w:w="1249" w:type="pct"/>
            <w:tcBorders>
              <w:top w:val="single" w:color="auto" w:sz="4" w:space="0"/>
              <w:left w:val="nil"/>
              <w:bottom w:val="single" w:color="auto" w:sz="4" w:space="0"/>
              <w:right w:val="single" w:color="auto" w:sz="4" w:space="0"/>
            </w:tcBorders>
            <w:vAlign w:val="center"/>
          </w:tcPr>
          <w:p w14:paraId="46C398A0">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w:t>
            </w:r>
          </w:p>
          <w:p w14:paraId="2A674037">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2</w:t>
            </w:r>
          </w:p>
          <w:p w14:paraId="0AD40F43">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tcPr>
          <w:p w14:paraId="4A6A6BDC">
            <w:pPr>
              <w:numPr>
                <w:numId w:val="0"/>
              </w:numPr>
              <w:spacing w:line="276" w:lineRule="auto"/>
              <w:ind w:leftChars="0" w:firstLine="480" w:firstLineChars="200"/>
              <w:jc w:val="both"/>
              <w:rPr>
                <w:rFonts w:hint="eastAsia" w:ascii="仿宋" w:hAnsi="仿宋" w:eastAsia="仿宋"/>
                <w:color w:val="auto"/>
                <w:sz w:val="24"/>
              </w:rPr>
            </w:pPr>
          </w:p>
          <w:p w14:paraId="6FB28D12">
            <w:pPr>
              <w:numPr>
                <w:numId w:val="0"/>
              </w:numPr>
              <w:spacing w:line="276" w:lineRule="auto"/>
              <w:ind w:leftChars="0" w:firstLine="480" w:firstLineChars="200"/>
              <w:jc w:val="both"/>
              <w:rPr>
                <w:rFonts w:ascii="仿宋" w:hAnsi="仿宋" w:eastAsia="仿宋"/>
                <w:color w:val="000000"/>
                <w:sz w:val="24"/>
              </w:rPr>
            </w:pPr>
            <w:r>
              <w:rPr>
                <w:rFonts w:hint="eastAsia" w:ascii="仿宋" w:hAnsi="仿宋" w:eastAsia="仿宋"/>
                <w:color w:val="auto"/>
                <w:sz w:val="24"/>
              </w:rPr>
              <w:sym w:font="Wingdings" w:char="00FE"/>
            </w:r>
            <w:r>
              <w:rPr>
                <w:rFonts w:hint="eastAsia" w:ascii="仿宋" w:hAnsi="仿宋" w:eastAsia="仿宋"/>
                <w:color w:val="auto"/>
                <w:sz w:val="24"/>
                <w:lang w:val="en-US" w:eastAsia="zh-CN"/>
              </w:rPr>
              <w:t xml:space="preserve"> </w:t>
            </w:r>
            <w:r>
              <w:rPr>
                <w:rFonts w:hint="eastAsia" w:ascii="仿宋" w:hAnsi="仿宋" w:eastAsia="仿宋"/>
                <w:color w:val="000000"/>
                <w:sz w:val="24"/>
              </w:rPr>
              <w:t>H</w:t>
            </w:r>
          </w:p>
          <w:p w14:paraId="2D171FDB">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004A5CA">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1A82FD6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829"/>
        <w:gridCol w:w="1529"/>
        <w:gridCol w:w="452"/>
        <w:gridCol w:w="1835"/>
        <w:gridCol w:w="845"/>
        <w:gridCol w:w="845"/>
        <w:gridCol w:w="845"/>
      </w:tblGrid>
      <w:tr w14:paraId="2D86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4638F1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3" w:type="pct"/>
            <w:shd w:val="clear" w:color="auto" w:fill="auto"/>
            <w:vAlign w:val="center"/>
          </w:tcPr>
          <w:p w14:paraId="7500506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1" w:type="pct"/>
            <w:shd w:val="clear" w:color="auto" w:fill="auto"/>
            <w:vAlign w:val="center"/>
          </w:tcPr>
          <w:p w14:paraId="5FD3C7F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14:paraId="505A4893">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1" w:type="pct"/>
            <w:vAlign w:val="center"/>
          </w:tcPr>
          <w:p w14:paraId="6F6047C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22DB393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14:paraId="039A57F4">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14:paraId="6490B9E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14:paraId="0F7E04E2">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5EDB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678D965D">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543" w:type="pct"/>
            <w:shd w:val="clear" w:color="auto" w:fill="auto"/>
            <w:vAlign w:val="center"/>
          </w:tcPr>
          <w:p w14:paraId="3FD3E8A7">
            <w:pPr>
              <w:tabs>
                <w:tab w:val="left" w:pos="-720"/>
              </w:tabs>
              <w:suppressAutoHyphens/>
              <w:snapToGrid w:val="0"/>
              <w:spacing w:line="264" w:lineRule="auto"/>
              <w:ind w:right="-108"/>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kern w:val="0"/>
                <w:sz w:val="21"/>
                <w:szCs w:val="21"/>
              </w:rPr>
              <w:t>第一讲 化学、化学工程与工艺</w:t>
            </w:r>
          </w:p>
        </w:tc>
        <w:tc>
          <w:tcPr>
            <w:tcW w:w="1001" w:type="pct"/>
            <w:shd w:val="clear" w:color="auto" w:fill="auto"/>
            <w:vAlign w:val="center"/>
          </w:tcPr>
          <w:p w14:paraId="773EE69B">
            <w:pPr>
              <w:numPr>
                <w:ilvl w:val="1"/>
                <w:numId w:val="0"/>
              </w:numPr>
              <w:tabs>
                <w:tab w:val="left" w:pos="-720"/>
              </w:tabs>
              <w:suppressAutoHyphens/>
              <w:snapToGrid w:val="0"/>
              <w:spacing w:line="264" w:lineRule="auto"/>
              <w:ind w:left="624" w:leftChars="0" w:right="-108" w:rightChars="0" w:hanging="420" w:firstLineChars="0"/>
              <w:rPr>
                <w:rFonts w:hint="default" w:ascii="Times New Roman" w:hAnsi="Times New Roman" w:eastAsia="仿宋" w:cs="Times New Roman"/>
                <w:b w:val="0"/>
                <w:bCs/>
                <w:kern w:val="0"/>
                <w:sz w:val="21"/>
                <w:szCs w:val="21"/>
              </w:rPr>
            </w:pPr>
            <w:r>
              <w:rPr>
                <w:rFonts w:hint="default" w:ascii="Times New Roman" w:hAnsi="Times New Roman" w:eastAsia="仿宋" w:cs="Times New Roman"/>
                <w:b w:val="0"/>
                <w:bCs/>
                <w:kern w:val="0"/>
                <w:sz w:val="21"/>
                <w:szCs w:val="21"/>
                <w:lang w:val="en-US" w:eastAsia="zh-CN" w:bidi="ar-SA"/>
              </w:rPr>
              <w:t>1.1</w:t>
            </w:r>
            <w:r>
              <w:rPr>
                <w:rFonts w:hint="default" w:ascii="Times New Roman" w:hAnsi="Times New Roman" w:eastAsia="仿宋" w:cs="Times New Roman"/>
                <w:b w:val="0"/>
                <w:bCs/>
                <w:kern w:val="0"/>
                <w:sz w:val="21"/>
                <w:szCs w:val="21"/>
              </w:rPr>
              <w:t>化学</w:t>
            </w:r>
          </w:p>
          <w:p w14:paraId="0FB2181E">
            <w:pPr>
              <w:numPr>
                <w:ilvl w:val="1"/>
                <w:numId w:val="0"/>
              </w:numPr>
              <w:tabs>
                <w:tab w:val="left" w:pos="-720"/>
              </w:tabs>
              <w:suppressAutoHyphens/>
              <w:snapToGrid w:val="0"/>
              <w:spacing w:line="264" w:lineRule="auto"/>
              <w:ind w:left="624" w:leftChars="0" w:right="-108" w:rightChars="0" w:hanging="420" w:firstLineChars="0"/>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kern w:val="2"/>
                <w:sz w:val="21"/>
                <w:szCs w:val="21"/>
                <w:lang w:val="en-GB" w:eastAsia="zh-CN" w:bidi="ar-SA"/>
              </w:rPr>
              <w:t>1.2</w:t>
            </w:r>
            <w:r>
              <w:rPr>
                <w:rFonts w:hint="default" w:ascii="Times New Roman" w:hAnsi="Times New Roman" w:eastAsia="仿宋" w:cs="Times New Roman"/>
                <w:b w:val="0"/>
                <w:bCs/>
                <w:kern w:val="0"/>
                <w:sz w:val="21"/>
                <w:szCs w:val="21"/>
              </w:rPr>
              <w:t>化学工程</w:t>
            </w:r>
          </w:p>
          <w:p w14:paraId="6DAA1B3D">
            <w:pPr>
              <w:numPr>
                <w:ilvl w:val="1"/>
                <w:numId w:val="0"/>
              </w:numPr>
              <w:tabs>
                <w:tab w:val="left" w:pos="-720"/>
              </w:tabs>
              <w:suppressAutoHyphens/>
              <w:snapToGrid w:val="0"/>
              <w:spacing w:line="264" w:lineRule="auto"/>
              <w:ind w:left="624" w:leftChars="0" w:right="-108" w:rightChars="0" w:hanging="420" w:firstLineChars="0"/>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kern w:val="2"/>
                <w:sz w:val="21"/>
                <w:szCs w:val="21"/>
                <w:lang w:val="en-GB" w:eastAsia="zh-CN" w:bidi="ar-SA"/>
              </w:rPr>
              <w:t>1.3</w:t>
            </w:r>
            <w:r>
              <w:rPr>
                <w:rFonts w:hint="default" w:ascii="Times New Roman" w:hAnsi="Times New Roman" w:eastAsia="仿宋" w:cs="Times New Roman"/>
                <w:b w:val="0"/>
                <w:bCs/>
                <w:kern w:val="0"/>
                <w:sz w:val="21"/>
                <w:szCs w:val="21"/>
              </w:rPr>
              <w:t>化学工艺</w:t>
            </w:r>
          </w:p>
        </w:tc>
        <w:tc>
          <w:tcPr>
            <w:tcW w:w="296" w:type="pct"/>
            <w:vAlign w:val="center"/>
          </w:tcPr>
          <w:p w14:paraId="65CC8026">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US" w:eastAsia="zh-CN"/>
              </w:rPr>
            </w:pPr>
            <w:r>
              <w:rPr>
                <w:rFonts w:hint="default" w:ascii="Times New Roman" w:hAnsi="Times New Roman" w:eastAsia="仿宋" w:cs="Times New Roman"/>
                <w:b w:val="0"/>
                <w:bCs/>
                <w:spacing w:val="-3"/>
                <w:sz w:val="21"/>
                <w:szCs w:val="21"/>
                <w:lang w:val="en-US" w:eastAsia="zh-CN"/>
              </w:rPr>
              <w:t>2</w:t>
            </w:r>
          </w:p>
        </w:tc>
        <w:tc>
          <w:tcPr>
            <w:tcW w:w="1201" w:type="pct"/>
            <w:vAlign w:val="center"/>
          </w:tcPr>
          <w:p w14:paraId="277C0FEF">
            <w:pPr>
              <w:suppressAutoHyphens/>
              <w:spacing w:before="156" w:beforeLines="50" w:after="156" w:afterLines="50" w:line="276" w:lineRule="auto"/>
              <w:jc w:val="both"/>
              <w:rPr>
                <w:rFonts w:hint="default" w:ascii="Times New Roman" w:hAnsi="Times New Roman" w:eastAsia="仿宋" w:cs="Times New Roman"/>
                <w:b w:val="0"/>
                <w:bCs/>
                <w:spacing w:val="-3"/>
                <w:sz w:val="21"/>
                <w:szCs w:val="21"/>
                <w:lang w:val="en-US" w:eastAsia="zh-CN"/>
              </w:rPr>
            </w:pPr>
            <w:r>
              <w:rPr>
                <w:rFonts w:hint="default" w:ascii="Times New Roman" w:hAnsi="Times New Roman" w:eastAsia="仿宋" w:cs="Times New Roman"/>
                <w:b w:val="0"/>
                <w:bCs/>
                <w:spacing w:val="-3"/>
                <w:sz w:val="21"/>
                <w:szCs w:val="21"/>
                <w:lang w:val="en-US" w:eastAsia="zh-CN"/>
              </w:rPr>
              <w:t>三者的</w:t>
            </w:r>
            <w:r>
              <w:rPr>
                <w:rFonts w:hint="eastAsia" w:eastAsia="仿宋" w:cs="Times New Roman"/>
                <w:b w:val="0"/>
                <w:bCs/>
                <w:spacing w:val="-3"/>
                <w:sz w:val="21"/>
                <w:szCs w:val="21"/>
                <w:lang w:val="en-US" w:eastAsia="zh-CN"/>
              </w:rPr>
              <w:t>内涵及</w:t>
            </w:r>
            <w:r>
              <w:rPr>
                <w:rFonts w:hint="default" w:ascii="Times New Roman" w:hAnsi="Times New Roman" w:eastAsia="仿宋" w:cs="Times New Roman"/>
                <w:b w:val="0"/>
                <w:bCs/>
                <w:spacing w:val="-3"/>
                <w:sz w:val="21"/>
                <w:szCs w:val="21"/>
                <w:lang w:val="en-US" w:eastAsia="zh-CN"/>
              </w:rPr>
              <w:t>定义</w:t>
            </w:r>
            <w:r>
              <w:rPr>
                <w:rFonts w:hint="eastAsia" w:eastAsia="仿宋" w:cs="Times New Roman"/>
                <w:b w:val="0"/>
                <w:bCs/>
                <w:spacing w:val="-3"/>
                <w:sz w:val="21"/>
                <w:szCs w:val="21"/>
                <w:lang w:val="en-US" w:eastAsia="zh-CN"/>
              </w:rPr>
              <w:t>，</w:t>
            </w:r>
            <w:r>
              <w:rPr>
                <w:rFonts w:hint="default" w:ascii="Times New Roman" w:hAnsi="Times New Roman" w:eastAsia="仿宋" w:cs="Times New Roman"/>
                <w:b w:val="0"/>
                <w:bCs/>
                <w:spacing w:val="-3"/>
                <w:sz w:val="21"/>
                <w:szCs w:val="21"/>
                <w:lang w:val="en-US" w:eastAsia="zh-CN"/>
              </w:rPr>
              <w:t>三者的联系与区别</w:t>
            </w:r>
          </w:p>
        </w:tc>
        <w:tc>
          <w:tcPr>
            <w:tcW w:w="553" w:type="pct"/>
          </w:tcPr>
          <w:p w14:paraId="69ABAA63">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1B57B71C">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US" w:eastAsia="zh-CN"/>
              </w:rPr>
            </w:pPr>
            <w:r>
              <w:rPr>
                <w:rFonts w:hint="eastAsia" w:eastAsia="仿宋" w:cs="Times New Roman"/>
                <w:b w:val="0"/>
                <w:bCs/>
                <w:spacing w:val="-3"/>
                <w:sz w:val="21"/>
                <w:szCs w:val="21"/>
                <w:lang w:val="en-US" w:eastAsia="zh-CN"/>
              </w:rPr>
              <w:t>线下教学</w:t>
            </w:r>
          </w:p>
        </w:tc>
        <w:tc>
          <w:tcPr>
            <w:tcW w:w="553" w:type="pct"/>
            <w:vAlign w:val="center"/>
          </w:tcPr>
          <w:p w14:paraId="0EA54B17">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4128C0D8">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436A8A9F">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0741EE17">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目标3</w:t>
            </w:r>
          </w:p>
        </w:tc>
      </w:tr>
      <w:tr w14:paraId="7BEC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121CE9A4">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543" w:type="pct"/>
            <w:shd w:val="clear" w:color="auto" w:fill="auto"/>
            <w:vAlign w:val="center"/>
          </w:tcPr>
          <w:p w14:paraId="05CDBEE8">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第二讲 化工概述</w:t>
            </w:r>
          </w:p>
        </w:tc>
        <w:tc>
          <w:tcPr>
            <w:tcW w:w="1001" w:type="pct"/>
            <w:shd w:val="clear" w:color="auto" w:fill="auto"/>
            <w:vAlign w:val="center"/>
          </w:tcPr>
          <w:p w14:paraId="02E0791B">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2.1  化工概述</w:t>
            </w:r>
          </w:p>
          <w:p w14:paraId="00596E60">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2.2  化工在国民经济中的地位</w:t>
            </w:r>
          </w:p>
          <w:p w14:paraId="66BEDC1E">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2.3  化学工业发展史</w:t>
            </w:r>
          </w:p>
        </w:tc>
        <w:tc>
          <w:tcPr>
            <w:tcW w:w="296" w:type="pct"/>
            <w:vAlign w:val="center"/>
          </w:tcPr>
          <w:p w14:paraId="4065066D">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13784103">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仿宋_GB2312" w:hAnsi="Times Roman" w:eastAsia="仿宋_GB2312"/>
                <w:spacing w:val="-3"/>
                <w:sz w:val="20"/>
                <w:szCs w:val="20"/>
                <w:lang w:val="en-GB"/>
              </w:rPr>
              <w:t>了解化工干什么，能干什么，化工与国民经济，化工发展史。</w:t>
            </w:r>
          </w:p>
        </w:tc>
        <w:tc>
          <w:tcPr>
            <w:tcW w:w="553" w:type="pct"/>
            <w:shd w:val="clear"/>
            <w:vAlign w:val="top"/>
          </w:tcPr>
          <w:p w14:paraId="14641A76">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63D95716">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vAlign w:val="center"/>
          </w:tcPr>
          <w:p w14:paraId="31EF46DD">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43B0966A">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0D72A27C">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6804C9C4">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5943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30CBC60">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543" w:type="pct"/>
            <w:shd w:val="clear" w:color="auto" w:fill="auto"/>
            <w:vAlign w:val="center"/>
          </w:tcPr>
          <w:p w14:paraId="5881001C">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第三讲 化工的科学基础</w:t>
            </w:r>
          </w:p>
        </w:tc>
        <w:tc>
          <w:tcPr>
            <w:tcW w:w="1001" w:type="pct"/>
            <w:shd w:val="clear" w:color="auto" w:fill="auto"/>
            <w:vAlign w:val="center"/>
          </w:tcPr>
          <w:p w14:paraId="6A9ABE11">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3.1  化学工程的产生和发展</w:t>
            </w:r>
          </w:p>
          <w:p w14:paraId="1A82B4A8">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3.2  化工过程单元操作</w:t>
            </w:r>
          </w:p>
          <w:p w14:paraId="0A877D6B">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3.3  化学工程主要内容</w:t>
            </w:r>
          </w:p>
        </w:tc>
        <w:tc>
          <w:tcPr>
            <w:tcW w:w="296" w:type="pct"/>
            <w:vAlign w:val="center"/>
          </w:tcPr>
          <w:p w14:paraId="54DBE276">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2F5E038F">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仿宋_GB2312" w:hAnsi="Times Roman" w:eastAsia="仿宋_GB2312"/>
                <w:spacing w:val="-3"/>
                <w:sz w:val="20"/>
                <w:szCs w:val="20"/>
                <w:lang w:val="en-GB"/>
              </w:rPr>
              <w:t>了解化学工程的产生于发展，单元操作以及化学工程的主要内容。</w:t>
            </w:r>
          </w:p>
        </w:tc>
        <w:tc>
          <w:tcPr>
            <w:tcW w:w="553" w:type="pct"/>
            <w:shd w:val="clear"/>
            <w:vAlign w:val="top"/>
          </w:tcPr>
          <w:p w14:paraId="500C954E">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02D27383">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vAlign w:val="center"/>
          </w:tcPr>
          <w:p w14:paraId="641E0742">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139860E3">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3E4E0E75">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398CF04B">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246F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77384C51">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543" w:type="pct"/>
            <w:shd w:val="clear" w:color="auto" w:fill="auto"/>
            <w:vAlign w:val="center"/>
          </w:tcPr>
          <w:p w14:paraId="0BFA1FF5">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第四讲 石油与化工</w:t>
            </w:r>
          </w:p>
          <w:p w14:paraId="76D4CC49">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p>
        </w:tc>
        <w:tc>
          <w:tcPr>
            <w:tcW w:w="1001" w:type="pct"/>
            <w:shd w:val="clear" w:color="auto" w:fill="auto"/>
            <w:vAlign w:val="center"/>
          </w:tcPr>
          <w:p w14:paraId="09C45EA4">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4.1  石油的组成和特点</w:t>
            </w:r>
          </w:p>
          <w:p w14:paraId="6CEA00D7">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4.2  石油产品</w:t>
            </w:r>
          </w:p>
          <w:p w14:paraId="4751DE55">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4.3  石油加工</w:t>
            </w:r>
          </w:p>
          <w:p w14:paraId="257937A6">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4.4  石油烃类裂解制烯烃</w:t>
            </w:r>
          </w:p>
          <w:p w14:paraId="384512F3">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4.5  芳烃的生产</w:t>
            </w:r>
          </w:p>
        </w:tc>
        <w:tc>
          <w:tcPr>
            <w:tcW w:w="296" w:type="pct"/>
            <w:vAlign w:val="center"/>
          </w:tcPr>
          <w:p w14:paraId="3835644F">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0B5808B8">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仿宋_GB2312" w:hAnsi="Times Roman" w:eastAsia="仿宋_GB2312"/>
                <w:spacing w:val="-3"/>
                <w:sz w:val="20"/>
                <w:szCs w:val="20"/>
                <w:lang w:val="en-GB"/>
              </w:rPr>
              <w:t>了解石油特点，石油产品、石油加工，石油热裂解和芳烃生产。</w:t>
            </w:r>
          </w:p>
        </w:tc>
        <w:tc>
          <w:tcPr>
            <w:tcW w:w="553" w:type="pct"/>
            <w:shd w:val="clear" w:color="auto" w:fill="auto"/>
            <w:vAlign w:val="top"/>
          </w:tcPr>
          <w:p w14:paraId="5B9C6D31">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18C41228">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color="auto" w:fill="auto"/>
            <w:vAlign w:val="center"/>
          </w:tcPr>
          <w:p w14:paraId="7C1F074C">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77CE6961">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42DFC496">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6CE2C0DB">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610B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7510C61">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543" w:type="pct"/>
            <w:shd w:val="clear" w:color="auto" w:fill="auto"/>
            <w:vAlign w:val="center"/>
          </w:tcPr>
          <w:p w14:paraId="5D2DD643">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第五讲 天然气与化工</w:t>
            </w:r>
          </w:p>
        </w:tc>
        <w:tc>
          <w:tcPr>
            <w:tcW w:w="1001" w:type="pct"/>
            <w:shd w:val="clear" w:color="auto" w:fill="auto"/>
            <w:vAlign w:val="center"/>
          </w:tcPr>
          <w:p w14:paraId="379A2038">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5.1  天然气的组成和特点</w:t>
            </w:r>
          </w:p>
          <w:p w14:paraId="5F96E6D2">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5.2  天然气化工</w:t>
            </w:r>
          </w:p>
        </w:tc>
        <w:tc>
          <w:tcPr>
            <w:tcW w:w="296" w:type="pct"/>
            <w:vAlign w:val="center"/>
          </w:tcPr>
          <w:p w14:paraId="447C041B">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0A524703">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仿宋_GB2312" w:hAnsi="Times Roman" w:eastAsia="仿宋_GB2312"/>
                <w:spacing w:val="-3"/>
                <w:sz w:val="20"/>
                <w:szCs w:val="20"/>
                <w:lang w:val="en-GB"/>
              </w:rPr>
              <w:t>了解天然气的组成特点以及天然气化工。</w:t>
            </w:r>
          </w:p>
        </w:tc>
        <w:tc>
          <w:tcPr>
            <w:tcW w:w="553" w:type="pct"/>
            <w:shd w:val="clear" w:color="auto" w:fill="auto"/>
            <w:vAlign w:val="top"/>
          </w:tcPr>
          <w:p w14:paraId="66495F03">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32097C1F">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color="auto" w:fill="auto"/>
            <w:vAlign w:val="center"/>
          </w:tcPr>
          <w:p w14:paraId="1C75F2AD">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28F9359B">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750911D4">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56F3BD07">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2D6B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7A43B172">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543" w:type="pct"/>
            <w:shd w:val="clear" w:color="auto" w:fill="auto"/>
            <w:vAlign w:val="center"/>
          </w:tcPr>
          <w:p w14:paraId="51B6F123">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第六讲 煤与化工</w:t>
            </w:r>
          </w:p>
          <w:p w14:paraId="40056679">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p>
        </w:tc>
        <w:tc>
          <w:tcPr>
            <w:tcW w:w="1001" w:type="pct"/>
            <w:shd w:val="clear" w:color="auto" w:fill="auto"/>
            <w:vAlign w:val="center"/>
          </w:tcPr>
          <w:p w14:paraId="709FB90C">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6.1  煤的组成和特点</w:t>
            </w:r>
          </w:p>
          <w:p w14:paraId="74484746">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6.2  煤化工利用</w:t>
            </w:r>
          </w:p>
        </w:tc>
        <w:tc>
          <w:tcPr>
            <w:tcW w:w="296" w:type="pct"/>
            <w:vAlign w:val="center"/>
          </w:tcPr>
          <w:p w14:paraId="109C5122">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4F5965FE">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了解煤的组成特点以及煤化工。</w:t>
            </w:r>
          </w:p>
        </w:tc>
        <w:tc>
          <w:tcPr>
            <w:tcW w:w="553" w:type="pct"/>
            <w:shd w:val="clear" w:color="auto" w:fill="auto"/>
            <w:vAlign w:val="top"/>
          </w:tcPr>
          <w:p w14:paraId="5989FA5A">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3780D353">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color="auto" w:fill="auto"/>
            <w:vAlign w:val="center"/>
          </w:tcPr>
          <w:p w14:paraId="772981ED">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039BCBFC">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513CB764">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4E615A6E">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783B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7EF6877">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7</w:t>
            </w:r>
          </w:p>
        </w:tc>
        <w:tc>
          <w:tcPr>
            <w:tcW w:w="543" w:type="pct"/>
            <w:shd w:val="clear" w:color="auto" w:fill="auto"/>
            <w:vAlign w:val="center"/>
          </w:tcPr>
          <w:p w14:paraId="69C43D36">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第七讲 其他化工</w:t>
            </w:r>
          </w:p>
          <w:p w14:paraId="555DE5F7">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p>
        </w:tc>
        <w:tc>
          <w:tcPr>
            <w:tcW w:w="1001" w:type="pct"/>
            <w:shd w:val="clear" w:color="auto" w:fill="auto"/>
            <w:vAlign w:val="center"/>
          </w:tcPr>
          <w:p w14:paraId="57DC84BD">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7.1  无机化工</w:t>
            </w:r>
          </w:p>
          <w:p w14:paraId="008D8E4D">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7.2  精细化工</w:t>
            </w:r>
          </w:p>
          <w:p w14:paraId="502A5C0E">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7.3  高分子化工</w:t>
            </w:r>
          </w:p>
          <w:p w14:paraId="25D8DE37">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7.4  生物化工</w:t>
            </w:r>
          </w:p>
          <w:p w14:paraId="30F53524">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eastAsia" w:ascii="Times New Roman" w:hAnsi="Times New Roman" w:eastAsia="仿宋" w:cs="Times New Roman"/>
                <w:b w:val="0"/>
                <w:bCs/>
                <w:kern w:val="0"/>
                <w:sz w:val="21"/>
                <w:szCs w:val="21"/>
                <w:lang w:val="en-GB"/>
              </w:rPr>
              <w:t>7.5  环境化工</w:t>
            </w:r>
          </w:p>
        </w:tc>
        <w:tc>
          <w:tcPr>
            <w:tcW w:w="296" w:type="pct"/>
            <w:vAlign w:val="center"/>
          </w:tcPr>
          <w:p w14:paraId="3910D545">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US" w:eastAsia="zh-CN"/>
              </w:rPr>
            </w:pPr>
            <w:r>
              <w:rPr>
                <w:rFonts w:hint="eastAsia" w:eastAsia="仿宋" w:cs="Times New Roman"/>
                <w:b w:val="0"/>
                <w:bCs/>
                <w:kern w:val="0"/>
                <w:sz w:val="21"/>
                <w:szCs w:val="21"/>
                <w:lang w:val="en-US" w:eastAsia="zh-CN"/>
              </w:rPr>
              <w:t>2</w:t>
            </w:r>
          </w:p>
        </w:tc>
        <w:tc>
          <w:tcPr>
            <w:tcW w:w="1201" w:type="pct"/>
            <w:vAlign w:val="center"/>
          </w:tcPr>
          <w:p w14:paraId="0EC491BA">
            <w:pPr>
              <w:tabs>
                <w:tab w:val="left" w:pos="-720"/>
              </w:tabs>
              <w:suppressAutoHyphens/>
              <w:snapToGrid w:val="0"/>
              <w:spacing w:line="264" w:lineRule="auto"/>
              <w:ind w:right="-108"/>
              <w:rPr>
                <w:rFonts w:hint="default" w:ascii="Times New Roman" w:hAnsi="Times New Roman" w:eastAsia="仿宋_GB2312" w:cs="Times New Roman"/>
                <w:b w:val="0"/>
                <w:bCs/>
                <w:kern w:val="0"/>
                <w:sz w:val="21"/>
                <w:szCs w:val="21"/>
                <w:lang w:val="en-US" w:eastAsia="zh-CN"/>
              </w:rPr>
            </w:pPr>
            <w:r>
              <w:rPr>
                <w:rFonts w:hint="eastAsia" w:ascii="仿宋_GB2312" w:hAnsi="Times Roman" w:eastAsia="仿宋_GB2312"/>
                <w:spacing w:val="-3"/>
                <w:sz w:val="20"/>
                <w:szCs w:val="20"/>
                <w:lang w:val="en-GB"/>
              </w:rPr>
              <w:t>了解其它化工生产</w:t>
            </w:r>
            <w:r>
              <w:rPr>
                <w:rFonts w:hint="eastAsia" w:ascii="仿宋_GB2312" w:hAnsi="Times Roman" w:eastAsia="仿宋_GB2312"/>
                <w:spacing w:val="-3"/>
                <w:sz w:val="20"/>
                <w:szCs w:val="20"/>
                <w:lang w:val="en-US" w:eastAsia="zh-CN"/>
              </w:rPr>
              <w:t>的现状及发展</w:t>
            </w:r>
          </w:p>
        </w:tc>
        <w:tc>
          <w:tcPr>
            <w:tcW w:w="553" w:type="pct"/>
            <w:shd w:val="clear" w:color="auto" w:fill="auto"/>
            <w:vAlign w:val="top"/>
          </w:tcPr>
          <w:p w14:paraId="7BECE1CA">
            <w:pPr>
              <w:suppressAutoHyphens/>
              <w:spacing w:before="156" w:beforeLines="50" w:after="156" w:afterLines="50" w:line="276" w:lineRule="auto"/>
              <w:jc w:val="center"/>
              <w:rPr>
                <w:rFonts w:hint="eastAsia" w:eastAsia="仿宋" w:cs="Times New Roman"/>
                <w:b w:val="0"/>
                <w:bCs/>
                <w:spacing w:val="-3"/>
                <w:sz w:val="21"/>
                <w:szCs w:val="21"/>
                <w:lang w:val="en-US" w:eastAsia="zh-CN"/>
              </w:rPr>
            </w:pPr>
          </w:p>
          <w:p w14:paraId="3D91D13D">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eastAsia" w:eastAsia="仿宋" w:cs="Times New Roman"/>
                <w:b w:val="0"/>
                <w:bCs/>
                <w:spacing w:val="-3"/>
                <w:sz w:val="21"/>
                <w:szCs w:val="21"/>
                <w:lang w:val="en-US" w:eastAsia="zh-CN"/>
              </w:rPr>
              <w:t>线下教学</w:t>
            </w:r>
          </w:p>
        </w:tc>
        <w:tc>
          <w:tcPr>
            <w:tcW w:w="553" w:type="pct"/>
            <w:shd w:val="clear" w:color="auto" w:fill="auto"/>
            <w:vAlign w:val="center"/>
          </w:tcPr>
          <w:p w14:paraId="153D9F4C">
            <w:pPr>
              <w:suppressAutoHyphens/>
              <w:spacing w:before="156" w:beforeLines="50" w:after="156" w:afterLines="50" w:line="276" w:lineRule="auto"/>
              <w:jc w:val="center"/>
              <w:rPr>
                <w:rFonts w:hint="eastAsia" w:ascii="Times New Roman" w:hAnsi="Times New Roman" w:eastAsia="仿宋" w:cs="Times New Roman"/>
                <w:b w:val="0"/>
                <w:bCs/>
                <w:spacing w:val="-3"/>
                <w:kern w:val="2"/>
                <w:sz w:val="21"/>
                <w:szCs w:val="21"/>
                <w:lang w:val="en-GB" w:eastAsia="zh-CN" w:bidi="ar-SA"/>
              </w:rPr>
            </w:pPr>
            <w:r>
              <w:rPr>
                <w:rFonts w:hint="default" w:ascii="Times New Roman" w:hAnsi="Times New Roman" w:eastAsia="仿宋" w:cs="Times New Roman"/>
                <w:b w:val="0"/>
                <w:bCs/>
                <w:spacing w:val="-3"/>
                <w:sz w:val="21"/>
                <w:szCs w:val="21"/>
                <w:lang w:val="en-GB"/>
              </w:rPr>
              <w:t>作业、期末考试</w:t>
            </w:r>
          </w:p>
        </w:tc>
        <w:tc>
          <w:tcPr>
            <w:tcW w:w="553" w:type="pct"/>
            <w:vAlign w:val="center"/>
          </w:tcPr>
          <w:p w14:paraId="648A9D50">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目标1</w:t>
            </w:r>
          </w:p>
          <w:p w14:paraId="67AB4B75">
            <w:pPr>
              <w:suppressAutoHyphens/>
              <w:spacing w:before="156" w:beforeLines="50" w:after="156" w:afterLines="50" w:line="276" w:lineRule="auto"/>
              <w:jc w:val="center"/>
              <w:rPr>
                <w:rFonts w:hint="default" w:ascii="Times New Roman" w:hAnsi="Times New Roman" w:eastAsia="仿宋" w:cs="Times New Roman"/>
                <w:b w:val="0"/>
                <w:bCs/>
                <w:spacing w:val="-3"/>
                <w:sz w:val="21"/>
                <w:szCs w:val="21"/>
                <w:lang w:val="en-GB"/>
              </w:rPr>
            </w:pPr>
            <w:r>
              <w:rPr>
                <w:rFonts w:hint="default" w:ascii="Times New Roman" w:hAnsi="Times New Roman" w:eastAsia="仿宋" w:cs="Times New Roman"/>
                <w:b w:val="0"/>
                <w:bCs/>
                <w:spacing w:val="-3"/>
                <w:sz w:val="21"/>
                <w:szCs w:val="21"/>
                <w:lang w:val="en-GB"/>
              </w:rPr>
              <w:t>目标2</w:t>
            </w:r>
          </w:p>
          <w:p w14:paraId="5FBD1FDC">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rPr>
            </w:pPr>
            <w:r>
              <w:rPr>
                <w:rFonts w:hint="default" w:ascii="Times New Roman" w:hAnsi="Times New Roman" w:eastAsia="仿宋" w:cs="Times New Roman"/>
                <w:b w:val="0"/>
                <w:bCs/>
                <w:spacing w:val="-3"/>
                <w:sz w:val="21"/>
                <w:szCs w:val="21"/>
                <w:lang w:val="en-GB"/>
              </w:rPr>
              <w:t>目标3</w:t>
            </w:r>
          </w:p>
        </w:tc>
      </w:tr>
      <w:tr w14:paraId="5A0F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3504BE2">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8</w:t>
            </w:r>
          </w:p>
        </w:tc>
        <w:tc>
          <w:tcPr>
            <w:tcW w:w="543" w:type="pct"/>
            <w:shd w:val="clear" w:color="auto" w:fill="auto"/>
            <w:vAlign w:val="center"/>
          </w:tcPr>
          <w:p w14:paraId="14DE9BAB">
            <w:pPr>
              <w:suppressAutoHyphens/>
              <w:spacing w:before="156" w:beforeLines="50" w:after="156" w:afterLines="50" w:line="276" w:lineRule="auto"/>
              <w:jc w:val="center"/>
              <w:rPr>
                <w:rFonts w:hint="eastAsia" w:eastAsia="仿宋"/>
                <w:bCs/>
                <w:spacing w:val="-3"/>
                <w:sz w:val="21"/>
                <w:szCs w:val="21"/>
                <w:lang w:val="en-GB" w:eastAsia="zh-CN"/>
              </w:rPr>
            </w:pPr>
            <w:r>
              <w:rPr>
                <w:rFonts w:hint="eastAsia" w:eastAsia="仿宋"/>
                <w:bCs/>
                <w:spacing w:val="-3"/>
                <w:sz w:val="21"/>
                <w:szCs w:val="21"/>
                <w:lang w:val="en-GB" w:eastAsia="zh-CN"/>
              </w:rPr>
              <w:t>第八讲 现代化工发展趋势</w:t>
            </w:r>
          </w:p>
          <w:p w14:paraId="55014C5E">
            <w:pPr>
              <w:suppressAutoHyphens/>
              <w:spacing w:before="156" w:beforeLines="50" w:after="156" w:afterLines="50" w:line="276" w:lineRule="auto"/>
              <w:jc w:val="center"/>
              <w:rPr>
                <w:rFonts w:hint="eastAsia" w:eastAsia="仿宋"/>
                <w:bCs/>
                <w:spacing w:val="-3"/>
                <w:sz w:val="21"/>
                <w:szCs w:val="21"/>
                <w:lang w:val="en-GB" w:eastAsia="zh-CN"/>
              </w:rPr>
            </w:pPr>
          </w:p>
        </w:tc>
        <w:tc>
          <w:tcPr>
            <w:tcW w:w="1001" w:type="pct"/>
            <w:shd w:val="clear" w:color="auto" w:fill="auto"/>
            <w:vAlign w:val="center"/>
          </w:tcPr>
          <w:p w14:paraId="1D799311">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eastAsia="zh-CN"/>
              </w:rPr>
            </w:pPr>
            <w:r>
              <w:rPr>
                <w:rFonts w:hint="eastAsia" w:ascii="Times New Roman" w:hAnsi="Times New Roman" w:eastAsia="仿宋" w:cs="Times New Roman"/>
                <w:b w:val="0"/>
                <w:bCs/>
                <w:kern w:val="0"/>
                <w:sz w:val="21"/>
                <w:szCs w:val="21"/>
                <w:lang w:val="en-GB" w:eastAsia="zh-CN"/>
              </w:rPr>
              <w:t>8.1  传统化工面临的挑战</w:t>
            </w:r>
          </w:p>
          <w:p w14:paraId="2456B366">
            <w:pPr>
              <w:tabs>
                <w:tab w:val="left" w:pos="-720"/>
              </w:tabs>
              <w:suppressAutoHyphens/>
              <w:snapToGrid w:val="0"/>
              <w:spacing w:line="264" w:lineRule="auto"/>
              <w:ind w:right="-108"/>
              <w:rPr>
                <w:rFonts w:hint="eastAsia" w:ascii="Times New Roman" w:hAnsi="Times New Roman" w:eastAsia="仿宋" w:cs="Times New Roman"/>
                <w:b w:val="0"/>
                <w:bCs/>
                <w:kern w:val="0"/>
                <w:sz w:val="21"/>
                <w:szCs w:val="21"/>
                <w:lang w:val="en-GB" w:eastAsia="zh-CN"/>
              </w:rPr>
            </w:pPr>
            <w:r>
              <w:rPr>
                <w:rFonts w:hint="eastAsia" w:ascii="Times New Roman" w:hAnsi="Times New Roman" w:eastAsia="仿宋" w:cs="Times New Roman"/>
                <w:b w:val="0"/>
                <w:bCs/>
                <w:kern w:val="0"/>
                <w:sz w:val="21"/>
                <w:szCs w:val="21"/>
                <w:lang w:val="en-GB" w:eastAsia="zh-CN"/>
              </w:rPr>
              <w:t>8.2  绿色化学与化工</w:t>
            </w:r>
          </w:p>
          <w:p w14:paraId="491EDED9">
            <w:pPr>
              <w:tabs>
                <w:tab w:val="left" w:pos="-720"/>
              </w:tabs>
              <w:suppressAutoHyphens/>
              <w:snapToGrid w:val="0"/>
              <w:spacing w:line="264" w:lineRule="auto"/>
              <w:ind w:right="-108"/>
              <w:rPr>
                <w:rFonts w:hint="eastAsia" w:eastAsia="仿宋"/>
                <w:bCs/>
                <w:spacing w:val="-3"/>
                <w:sz w:val="21"/>
                <w:szCs w:val="21"/>
                <w:lang w:val="en-GB" w:eastAsia="zh-CN"/>
              </w:rPr>
            </w:pPr>
            <w:r>
              <w:rPr>
                <w:rFonts w:hint="eastAsia" w:ascii="Times New Roman" w:hAnsi="Times New Roman" w:eastAsia="仿宋" w:cs="Times New Roman"/>
                <w:b w:val="0"/>
                <w:bCs/>
                <w:kern w:val="0"/>
                <w:sz w:val="21"/>
                <w:szCs w:val="21"/>
                <w:lang w:val="en-GB" w:eastAsia="zh-CN"/>
              </w:rPr>
              <w:t>8.3  世界化工发展趋势</w:t>
            </w:r>
          </w:p>
        </w:tc>
        <w:tc>
          <w:tcPr>
            <w:tcW w:w="296" w:type="pct"/>
            <w:vAlign w:val="center"/>
          </w:tcPr>
          <w:p w14:paraId="5A6C04F2">
            <w:pPr>
              <w:suppressAutoHyphens/>
              <w:spacing w:before="156" w:beforeLines="50" w:after="156" w:afterLines="50" w:line="276" w:lineRule="auto"/>
              <w:jc w:val="center"/>
              <w:rPr>
                <w:rFonts w:hint="default" w:eastAsia="仿宋"/>
                <w:bCs/>
                <w:spacing w:val="-3"/>
                <w:sz w:val="21"/>
                <w:szCs w:val="21"/>
                <w:lang w:val="en-US" w:eastAsia="zh-CN"/>
              </w:rPr>
            </w:pPr>
            <w:r>
              <w:rPr>
                <w:rFonts w:hint="eastAsia" w:eastAsia="仿宋"/>
                <w:bCs/>
                <w:spacing w:val="-3"/>
                <w:sz w:val="21"/>
                <w:szCs w:val="21"/>
                <w:lang w:val="en-US" w:eastAsia="zh-CN"/>
              </w:rPr>
              <w:t>2</w:t>
            </w:r>
          </w:p>
        </w:tc>
        <w:tc>
          <w:tcPr>
            <w:tcW w:w="1201" w:type="pct"/>
            <w:vAlign w:val="center"/>
          </w:tcPr>
          <w:p w14:paraId="08586EAA">
            <w:pPr>
              <w:suppressAutoHyphens/>
              <w:spacing w:before="156" w:beforeLines="50" w:after="156" w:afterLines="50" w:line="276" w:lineRule="auto"/>
              <w:jc w:val="center"/>
              <w:rPr>
                <w:rFonts w:hint="eastAsia" w:eastAsia="仿宋"/>
                <w:bCs/>
                <w:spacing w:val="-3"/>
                <w:sz w:val="21"/>
                <w:szCs w:val="21"/>
                <w:lang w:val="en-GB" w:eastAsia="zh-CN"/>
              </w:rPr>
            </w:pPr>
            <w:r>
              <w:rPr>
                <w:rFonts w:hint="eastAsia" w:ascii="仿宋_GB2312" w:hAnsi="Times Roman" w:eastAsia="仿宋_GB2312"/>
                <w:spacing w:val="-3"/>
                <w:sz w:val="20"/>
                <w:szCs w:val="20"/>
                <w:lang w:val="en-GB"/>
              </w:rPr>
              <w:t>了解现代化工的发展趋势以及未来</w:t>
            </w:r>
          </w:p>
        </w:tc>
        <w:tc>
          <w:tcPr>
            <w:tcW w:w="553" w:type="pct"/>
            <w:shd w:val="clear" w:color="auto" w:fill="auto"/>
            <w:vAlign w:val="top"/>
          </w:tcPr>
          <w:p w14:paraId="32E42601">
            <w:pPr>
              <w:suppressAutoHyphens/>
              <w:spacing w:before="156" w:beforeLines="50" w:after="156" w:afterLines="50" w:line="276" w:lineRule="auto"/>
              <w:jc w:val="center"/>
              <w:rPr>
                <w:rFonts w:hint="eastAsia" w:eastAsia="仿宋"/>
                <w:bCs/>
                <w:spacing w:val="-3"/>
                <w:sz w:val="21"/>
                <w:szCs w:val="21"/>
                <w:lang w:val="en-US" w:eastAsia="zh-CN"/>
              </w:rPr>
            </w:pPr>
          </w:p>
          <w:p w14:paraId="67B1DA71">
            <w:pPr>
              <w:suppressAutoHyphens/>
              <w:spacing w:before="156" w:beforeLines="50" w:after="156" w:afterLines="50" w:line="276" w:lineRule="auto"/>
              <w:jc w:val="center"/>
              <w:rPr>
                <w:rFonts w:hint="eastAsia" w:eastAsia="仿宋"/>
                <w:bCs/>
                <w:spacing w:val="-3"/>
                <w:sz w:val="21"/>
                <w:szCs w:val="21"/>
                <w:lang w:val="en-GB" w:eastAsia="zh-CN"/>
              </w:rPr>
            </w:pPr>
            <w:r>
              <w:rPr>
                <w:rFonts w:hint="eastAsia" w:eastAsia="仿宋"/>
                <w:bCs/>
                <w:spacing w:val="-3"/>
                <w:sz w:val="21"/>
                <w:szCs w:val="21"/>
                <w:lang w:val="en-US" w:eastAsia="zh-CN"/>
              </w:rPr>
              <w:t>线下教学</w:t>
            </w:r>
          </w:p>
        </w:tc>
        <w:tc>
          <w:tcPr>
            <w:tcW w:w="553" w:type="pct"/>
            <w:shd w:val="clear" w:color="auto" w:fill="auto"/>
            <w:vAlign w:val="center"/>
          </w:tcPr>
          <w:p w14:paraId="0305462C">
            <w:pPr>
              <w:suppressAutoHyphens/>
              <w:spacing w:before="156" w:beforeLines="50" w:after="156" w:afterLines="50" w:line="276" w:lineRule="auto"/>
              <w:jc w:val="center"/>
              <w:rPr>
                <w:rFonts w:hint="eastAsia" w:eastAsia="仿宋"/>
                <w:bCs/>
                <w:spacing w:val="-3"/>
                <w:sz w:val="21"/>
                <w:szCs w:val="21"/>
                <w:lang w:val="en-GB" w:eastAsia="zh-CN"/>
              </w:rPr>
            </w:pPr>
            <w:r>
              <w:rPr>
                <w:rFonts w:hint="default" w:eastAsia="仿宋"/>
                <w:bCs/>
                <w:spacing w:val="-3"/>
                <w:sz w:val="21"/>
                <w:szCs w:val="21"/>
                <w:lang w:val="en-GB" w:eastAsia="zh-CN"/>
              </w:rPr>
              <w:t>作业、期末考试</w:t>
            </w:r>
          </w:p>
        </w:tc>
        <w:tc>
          <w:tcPr>
            <w:tcW w:w="553" w:type="pct"/>
            <w:vAlign w:val="center"/>
          </w:tcPr>
          <w:p w14:paraId="590FBB82">
            <w:pPr>
              <w:suppressAutoHyphens/>
              <w:spacing w:before="156" w:beforeLines="50" w:after="156" w:afterLines="50" w:line="276" w:lineRule="auto"/>
              <w:jc w:val="center"/>
              <w:rPr>
                <w:rFonts w:hint="default" w:eastAsia="仿宋"/>
                <w:bCs/>
                <w:spacing w:val="-3"/>
                <w:sz w:val="21"/>
                <w:szCs w:val="21"/>
                <w:lang w:val="en-GB" w:eastAsia="zh-CN"/>
              </w:rPr>
            </w:pPr>
            <w:r>
              <w:rPr>
                <w:rFonts w:hint="default" w:eastAsia="仿宋"/>
                <w:bCs/>
                <w:spacing w:val="-3"/>
                <w:sz w:val="21"/>
                <w:szCs w:val="21"/>
                <w:lang w:val="en-GB" w:eastAsia="zh-CN"/>
              </w:rPr>
              <w:t>目标1</w:t>
            </w:r>
          </w:p>
          <w:p w14:paraId="231BA183">
            <w:pPr>
              <w:suppressAutoHyphens/>
              <w:spacing w:before="156" w:beforeLines="50" w:after="156" w:afterLines="50" w:line="276" w:lineRule="auto"/>
              <w:jc w:val="center"/>
              <w:rPr>
                <w:rFonts w:hint="default" w:eastAsia="仿宋"/>
                <w:bCs/>
                <w:spacing w:val="-3"/>
                <w:sz w:val="21"/>
                <w:szCs w:val="21"/>
                <w:lang w:val="en-GB" w:eastAsia="zh-CN"/>
              </w:rPr>
            </w:pPr>
            <w:r>
              <w:rPr>
                <w:rFonts w:hint="default" w:eastAsia="仿宋"/>
                <w:bCs/>
                <w:spacing w:val="-3"/>
                <w:sz w:val="21"/>
                <w:szCs w:val="21"/>
                <w:lang w:val="en-GB" w:eastAsia="zh-CN"/>
              </w:rPr>
              <w:t>目标2</w:t>
            </w:r>
          </w:p>
          <w:p w14:paraId="4C9FEA84">
            <w:pPr>
              <w:suppressAutoHyphens/>
              <w:spacing w:before="156" w:beforeLines="50" w:after="156" w:afterLines="50" w:line="276" w:lineRule="auto"/>
              <w:jc w:val="center"/>
              <w:rPr>
                <w:rFonts w:hint="eastAsia" w:eastAsia="仿宋"/>
                <w:bCs/>
                <w:spacing w:val="-3"/>
                <w:sz w:val="21"/>
                <w:szCs w:val="21"/>
                <w:lang w:val="en-GB" w:eastAsia="zh-CN"/>
              </w:rPr>
            </w:pPr>
            <w:r>
              <w:rPr>
                <w:rFonts w:hint="default" w:eastAsia="仿宋"/>
                <w:bCs/>
                <w:spacing w:val="-3"/>
                <w:sz w:val="21"/>
                <w:szCs w:val="21"/>
                <w:lang w:val="en-GB" w:eastAsia="zh-CN"/>
              </w:rPr>
              <w:t>目标3</w:t>
            </w:r>
          </w:p>
        </w:tc>
      </w:tr>
    </w:tbl>
    <w:p w14:paraId="6A036365">
      <w:pPr>
        <w:spacing w:after="156" w:afterLines="50" w:line="400" w:lineRule="exact"/>
        <w:rPr>
          <w:rFonts w:hint="eastAsia" w:eastAsia="仿宋"/>
          <w:color w:val="000000"/>
          <w:sz w:val="24"/>
        </w:rPr>
      </w:pPr>
    </w:p>
    <w:p w14:paraId="6E6F787E">
      <w:pPr>
        <w:spacing w:after="156" w:afterLines="50" w:line="400" w:lineRule="exact"/>
        <w:rPr>
          <w:rFonts w:hint="eastAsia" w:eastAsia="仿宋"/>
          <w:color w:val="000000"/>
          <w:sz w:val="24"/>
        </w:rPr>
      </w:pPr>
    </w:p>
    <w:p w14:paraId="3C069B20">
      <w:pPr>
        <w:spacing w:after="156" w:afterLines="50" w:line="400" w:lineRule="exact"/>
        <w:rPr>
          <w:rFonts w:hint="eastAsia" w:eastAsia="仿宋"/>
          <w:color w:val="000000"/>
          <w:sz w:val="24"/>
        </w:rPr>
      </w:pPr>
    </w:p>
    <w:p w14:paraId="196F35B5">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0D87E00D">
      <w:pPr>
        <w:snapToGrid w:val="0"/>
        <w:spacing w:line="360" w:lineRule="auto"/>
        <w:ind w:firstLine="482" w:firstLineChars="200"/>
        <w:rPr>
          <w:rFonts w:hint="eastAsia" w:ascii="仿宋" w:hAnsi="仿宋" w:eastAsia="仿宋"/>
          <w:color w:val="FF0000"/>
          <w:sz w:val="24"/>
          <w:lang w:val="en-US" w:eastAsia="zh-CN"/>
        </w:rPr>
      </w:pPr>
      <w:r>
        <w:rPr>
          <w:rFonts w:hint="eastAsia" w:ascii="仿宋" w:hAnsi="仿宋" w:eastAsia="仿宋"/>
          <w:b/>
          <w:color w:val="000000"/>
          <w:sz w:val="24"/>
        </w:rPr>
        <w:t>（一）成绩评定方式：</w:t>
      </w:r>
      <w:r>
        <w:rPr>
          <w:rFonts w:hint="eastAsia" w:ascii="仿宋" w:hAnsi="仿宋" w:eastAsia="仿宋"/>
          <w:b/>
          <w:color w:val="000000"/>
          <w:sz w:val="24"/>
          <w:lang w:val="en-US" w:eastAsia="zh-CN"/>
        </w:rPr>
        <w:t>百分制</w:t>
      </w:r>
    </w:p>
    <w:p w14:paraId="3FE923C8">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27FE56ED">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951"/>
        <w:gridCol w:w="997"/>
        <w:gridCol w:w="3010"/>
        <w:gridCol w:w="2542"/>
      </w:tblGrid>
      <w:tr w14:paraId="6DDD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gridSpan w:val="2"/>
            <w:shd w:val="clear" w:color="auto" w:fill="auto"/>
            <w:vAlign w:val="center"/>
          </w:tcPr>
          <w:p w14:paraId="7047B04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585" w:type="pct"/>
          </w:tcPr>
          <w:p w14:paraId="3295CDC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1766" w:type="pct"/>
          </w:tcPr>
          <w:p w14:paraId="510C935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491" w:type="pct"/>
          </w:tcPr>
          <w:p w14:paraId="22DC8E9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5154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598" w:type="pct"/>
            <w:vMerge w:val="restart"/>
            <w:shd w:val="clear" w:color="auto" w:fill="auto"/>
            <w:vAlign w:val="center"/>
          </w:tcPr>
          <w:p w14:paraId="7DCD43B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558" w:type="pct"/>
            <w:shd w:val="clear" w:color="auto" w:fill="auto"/>
            <w:vAlign w:val="center"/>
          </w:tcPr>
          <w:p w14:paraId="7363BBB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585" w:type="pct"/>
          </w:tcPr>
          <w:p w14:paraId="12432521">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766" w:type="pct"/>
          </w:tcPr>
          <w:p w14:paraId="068AA758">
            <w:pPr>
              <w:snapToGrid w:val="0"/>
              <w:spacing w:line="360" w:lineRule="auto"/>
              <w:jc w:val="center"/>
              <w:rPr>
                <w:rFonts w:hint="eastAsia" w:ascii="仿宋" w:hAnsi="仿宋" w:eastAsia="仿宋"/>
                <w:b/>
                <w:color w:val="000000"/>
                <w:sz w:val="24"/>
                <w:lang w:eastAsia="zh-CN"/>
              </w:rPr>
            </w:pPr>
            <w:r>
              <w:rPr>
                <w:rFonts w:hint="eastAsia" w:ascii="仿宋" w:hAnsi="仿宋" w:eastAsia="仿宋"/>
                <w:bCs/>
                <w:sz w:val="24"/>
              </w:rPr>
              <w:t>共计</w:t>
            </w:r>
            <w:r>
              <w:rPr>
                <w:rFonts w:hint="eastAsia" w:ascii="仿宋" w:hAnsi="仿宋" w:eastAsia="仿宋"/>
                <w:bCs/>
                <w:sz w:val="24"/>
                <w:lang w:val="en-US" w:eastAsia="zh-CN"/>
              </w:rPr>
              <w:t>5</w:t>
            </w:r>
            <w:r>
              <w:rPr>
                <w:rFonts w:hint="eastAsia" w:ascii="仿宋" w:hAnsi="仿宋" w:eastAsia="仿宋"/>
                <w:bCs/>
                <w:sz w:val="24"/>
              </w:rPr>
              <w:t>次</w:t>
            </w:r>
            <w:r>
              <w:rPr>
                <w:rFonts w:hint="eastAsia" w:ascii="仿宋" w:hAnsi="仿宋" w:eastAsia="仿宋"/>
                <w:bCs/>
                <w:sz w:val="24"/>
                <w:lang w:eastAsia="zh-CN"/>
              </w:rPr>
              <w:t>，</w:t>
            </w:r>
            <w:r>
              <w:rPr>
                <w:rFonts w:hint="eastAsia" w:ascii="仿宋" w:hAnsi="仿宋" w:eastAsia="仿宋"/>
                <w:bCs/>
                <w:sz w:val="24"/>
              </w:rPr>
              <w:t>1次</w:t>
            </w:r>
            <w:r>
              <w:rPr>
                <w:rFonts w:hint="eastAsia" w:ascii="仿宋" w:hAnsi="仿宋" w:eastAsia="仿宋"/>
                <w:bCs/>
                <w:sz w:val="24"/>
                <w:lang w:val="en-US" w:eastAsia="zh-CN"/>
              </w:rPr>
              <w:t>6</w:t>
            </w:r>
            <w:r>
              <w:rPr>
                <w:rFonts w:hint="eastAsia" w:ascii="仿宋" w:hAnsi="仿宋" w:eastAsia="仿宋"/>
                <w:bCs/>
                <w:sz w:val="24"/>
              </w:rPr>
              <w:t>分</w:t>
            </w:r>
            <w:r>
              <w:rPr>
                <w:rFonts w:hint="eastAsia" w:ascii="仿宋" w:hAnsi="仿宋" w:eastAsia="仿宋"/>
                <w:bCs/>
                <w:sz w:val="24"/>
                <w:lang w:eastAsia="zh-CN"/>
              </w:rPr>
              <w:t>。</w:t>
            </w:r>
          </w:p>
        </w:tc>
        <w:tc>
          <w:tcPr>
            <w:tcW w:w="1491" w:type="pct"/>
          </w:tcPr>
          <w:p w14:paraId="2BC7345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目标1</w:t>
            </w:r>
          </w:p>
          <w:p w14:paraId="615EAC5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目标2</w:t>
            </w:r>
          </w:p>
          <w:p w14:paraId="2224233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目标3</w:t>
            </w:r>
          </w:p>
        </w:tc>
      </w:tr>
      <w:tr w14:paraId="206C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14:paraId="74C7D16B">
            <w:pPr>
              <w:snapToGrid w:val="0"/>
              <w:spacing w:line="360" w:lineRule="auto"/>
              <w:jc w:val="center"/>
              <w:rPr>
                <w:rFonts w:hint="eastAsia" w:ascii="仿宋" w:hAnsi="仿宋" w:eastAsia="仿宋"/>
                <w:b/>
                <w:color w:val="000000"/>
                <w:sz w:val="24"/>
              </w:rPr>
            </w:pPr>
          </w:p>
        </w:tc>
        <w:tc>
          <w:tcPr>
            <w:tcW w:w="558" w:type="pct"/>
            <w:shd w:val="clear" w:color="auto" w:fill="auto"/>
            <w:vAlign w:val="center"/>
          </w:tcPr>
          <w:p w14:paraId="37E3AC2A">
            <w:pPr>
              <w:snapToGrid w:val="0"/>
              <w:spacing w:line="360" w:lineRule="auto"/>
              <w:jc w:val="center"/>
              <w:rPr>
                <w:rFonts w:hint="eastAsia" w:ascii="仿宋" w:hAnsi="仿宋" w:eastAsia="仿宋"/>
                <w:b/>
                <w:color w:val="000000"/>
                <w:sz w:val="24"/>
              </w:rPr>
            </w:pPr>
            <w:r>
              <w:rPr>
                <w:rFonts w:hint="eastAsia" w:ascii="仿宋" w:hAnsi="仿宋" w:eastAsia="仿宋"/>
                <w:b/>
                <w:sz w:val="24"/>
              </w:rPr>
              <w:t>考勤</w:t>
            </w:r>
          </w:p>
        </w:tc>
        <w:tc>
          <w:tcPr>
            <w:tcW w:w="585" w:type="pct"/>
            <w:vAlign w:val="center"/>
          </w:tcPr>
          <w:p w14:paraId="141A98EC">
            <w:pPr>
              <w:snapToGrid w:val="0"/>
              <w:spacing w:line="360" w:lineRule="auto"/>
              <w:jc w:val="center"/>
              <w:rPr>
                <w:rFonts w:hint="eastAsia" w:ascii="仿宋" w:hAnsi="仿宋" w:eastAsia="仿宋"/>
                <w:b/>
                <w:color w:val="000000"/>
                <w:sz w:val="24"/>
              </w:rPr>
            </w:pPr>
            <w:r>
              <w:rPr>
                <w:rFonts w:hint="eastAsia" w:ascii="仿宋" w:hAnsi="仿宋" w:eastAsia="仿宋"/>
                <w:b/>
                <w:sz w:val="24"/>
              </w:rPr>
              <w:t>10</w:t>
            </w:r>
          </w:p>
        </w:tc>
        <w:tc>
          <w:tcPr>
            <w:tcW w:w="1766" w:type="pct"/>
            <w:vAlign w:val="center"/>
          </w:tcPr>
          <w:p w14:paraId="02C8CD9C">
            <w:pPr>
              <w:snapToGrid w:val="0"/>
              <w:spacing w:line="360" w:lineRule="auto"/>
              <w:jc w:val="left"/>
              <w:rPr>
                <w:rFonts w:hint="eastAsia" w:ascii="仿宋" w:hAnsi="仿宋" w:eastAsia="仿宋"/>
                <w:b/>
                <w:color w:val="000000"/>
                <w:sz w:val="24"/>
              </w:rPr>
            </w:pPr>
            <w:r>
              <w:rPr>
                <w:rFonts w:hint="eastAsia" w:ascii="仿宋" w:hAnsi="仿宋" w:eastAsia="仿宋"/>
                <w:bCs/>
                <w:sz w:val="24"/>
              </w:rPr>
              <w:t>缺勤1/3取消考试资格。</w:t>
            </w:r>
          </w:p>
        </w:tc>
        <w:tc>
          <w:tcPr>
            <w:tcW w:w="1491" w:type="pct"/>
            <w:vAlign w:val="center"/>
          </w:tcPr>
          <w:p w14:paraId="492D6451">
            <w:pPr>
              <w:snapToGrid w:val="0"/>
              <w:spacing w:line="360" w:lineRule="auto"/>
              <w:jc w:val="center"/>
              <w:rPr>
                <w:rFonts w:hint="eastAsia" w:ascii="仿宋" w:hAnsi="仿宋" w:eastAsia="仿宋"/>
                <w:b/>
                <w:color w:val="000000"/>
                <w:sz w:val="24"/>
              </w:rPr>
            </w:pPr>
            <w:r>
              <w:rPr>
                <w:rFonts w:hint="eastAsia" w:ascii="仿宋" w:hAnsi="仿宋" w:eastAsia="仿宋"/>
                <w:b/>
                <w:sz w:val="24"/>
              </w:rPr>
              <w:t>考勤</w:t>
            </w:r>
          </w:p>
        </w:tc>
      </w:tr>
      <w:tr w14:paraId="4E1A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shd w:val="clear" w:color="auto" w:fill="auto"/>
            <w:vAlign w:val="center"/>
          </w:tcPr>
          <w:p w14:paraId="1990103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558" w:type="pct"/>
            <w:shd w:val="clear" w:color="auto" w:fill="auto"/>
            <w:vAlign w:val="center"/>
          </w:tcPr>
          <w:p w14:paraId="5AF7D3A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585" w:type="pct"/>
          </w:tcPr>
          <w:p w14:paraId="67EFA87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70</w:t>
            </w:r>
          </w:p>
        </w:tc>
        <w:tc>
          <w:tcPr>
            <w:tcW w:w="1766" w:type="pct"/>
          </w:tcPr>
          <w:p w14:paraId="09431B46">
            <w:pPr>
              <w:snapToGrid w:val="0"/>
              <w:spacing w:line="360" w:lineRule="auto"/>
              <w:jc w:val="left"/>
              <w:rPr>
                <w:rFonts w:hint="eastAsia" w:ascii="仿宋" w:hAnsi="仿宋" w:eastAsia="仿宋"/>
                <w:bCs/>
                <w:color w:val="auto"/>
                <w:sz w:val="24"/>
                <w:lang w:val="en-US" w:eastAsia="zh-CN"/>
              </w:rPr>
            </w:pPr>
            <w:r>
              <w:rPr>
                <w:rFonts w:hint="eastAsia" w:ascii="仿宋" w:hAnsi="仿宋" w:eastAsia="仿宋"/>
                <w:bCs/>
                <w:color w:val="auto"/>
                <w:sz w:val="24"/>
                <w:lang w:val="en-US" w:eastAsia="zh-CN"/>
              </w:rPr>
              <w:t>卷面总分100分</w:t>
            </w:r>
          </w:p>
          <w:p w14:paraId="4A3E004C">
            <w:pPr>
              <w:snapToGrid w:val="0"/>
              <w:spacing w:line="360" w:lineRule="auto"/>
              <w:jc w:val="left"/>
              <w:rPr>
                <w:rFonts w:hint="eastAsia" w:ascii="仿宋" w:hAnsi="仿宋" w:eastAsia="仿宋"/>
                <w:bCs/>
                <w:color w:val="auto"/>
                <w:sz w:val="24"/>
              </w:rPr>
            </w:pPr>
            <w:r>
              <w:rPr>
                <w:rFonts w:hint="eastAsia" w:ascii="仿宋" w:hAnsi="仿宋" w:eastAsia="仿宋"/>
                <w:bCs/>
                <w:color w:val="auto"/>
                <w:sz w:val="24"/>
              </w:rPr>
              <w:t>（1）选择填空，基本概念，</w:t>
            </w:r>
            <w:r>
              <w:rPr>
                <w:rFonts w:hint="eastAsia" w:ascii="仿宋" w:hAnsi="仿宋" w:eastAsia="仿宋"/>
                <w:bCs/>
                <w:color w:val="auto"/>
                <w:sz w:val="24"/>
                <w:lang w:val="en-US" w:eastAsia="zh-CN"/>
              </w:rPr>
              <w:t>4</w:t>
            </w:r>
            <w:r>
              <w:rPr>
                <w:rFonts w:hint="eastAsia" w:ascii="仿宋" w:hAnsi="仿宋" w:eastAsia="仿宋"/>
                <w:bCs/>
                <w:color w:val="auto"/>
                <w:sz w:val="24"/>
              </w:rPr>
              <w:t>0分</w:t>
            </w:r>
          </w:p>
          <w:p w14:paraId="48FFFF65">
            <w:pPr>
              <w:snapToGrid w:val="0"/>
              <w:spacing w:line="360" w:lineRule="auto"/>
              <w:jc w:val="left"/>
              <w:rPr>
                <w:rFonts w:hint="eastAsia" w:ascii="仿宋" w:hAnsi="仿宋" w:eastAsia="仿宋"/>
                <w:bCs/>
                <w:color w:val="auto"/>
                <w:sz w:val="24"/>
              </w:rPr>
            </w:pPr>
            <w:r>
              <w:rPr>
                <w:rFonts w:hint="eastAsia" w:ascii="仿宋" w:hAnsi="仿宋" w:eastAsia="仿宋"/>
                <w:bCs/>
                <w:color w:val="auto"/>
                <w:sz w:val="24"/>
              </w:rPr>
              <w:t>（2）分析简答，基本概念</w:t>
            </w:r>
            <w:r>
              <w:rPr>
                <w:rFonts w:hint="eastAsia" w:ascii="仿宋" w:hAnsi="仿宋" w:eastAsia="仿宋"/>
                <w:bCs/>
                <w:color w:val="auto"/>
                <w:sz w:val="24"/>
                <w:lang w:val="en-US" w:eastAsia="zh-CN"/>
              </w:rPr>
              <w:t>理解、分析，各类化工特点及发展</w:t>
            </w:r>
            <w:r>
              <w:rPr>
                <w:rFonts w:hint="eastAsia" w:ascii="仿宋" w:hAnsi="仿宋" w:eastAsia="仿宋"/>
                <w:bCs/>
                <w:color w:val="auto"/>
                <w:sz w:val="24"/>
              </w:rPr>
              <w:t>，</w:t>
            </w:r>
            <w:r>
              <w:rPr>
                <w:rFonts w:hint="eastAsia" w:ascii="仿宋" w:hAnsi="仿宋" w:eastAsia="仿宋"/>
                <w:bCs/>
                <w:color w:val="auto"/>
                <w:sz w:val="24"/>
                <w:lang w:val="en-US" w:eastAsia="zh-CN"/>
              </w:rPr>
              <w:t>5</w:t>
            </w:r>
            <w:r>
              <w:rPr>
                <w:rFonts w:hint="eastAsia" w:ascii="仿宋" w:hAnsi="仿宋" w:eastAsia="仿宋"/>
                <w:bCs/>
                <w:color w:val="auto"/>
                <w:sz w:val="24"/>
              </w:rPr>
              <w:t>0分</w:t>
            </w:r>
          </w:p>
          <w:p w14:paraId="66581F3F">
            <w:pPr>
              <w:snapToGrid w:val="0"/>
              <w:spacing w:line="360" w:lineRule="auto"/>
              <w:jc w:val="left"/>
              <w:rPr>
                <w:rFonts w:hint="eastAsia" w:ascii="仿宋" w:hAnsi="仿宋" w:eastAsia="仿宋"/>
                <w:bCs/>
                <w:color w:val="0070C0"/>
                <w:sz w:val="24"/>
              </w:rPr>
            </w:pPr>
            <w:r>
              <w:rPr>
                <w:rFonts w:hint="eastAsia" w:ascii="仿宋" w:hAnsi="仿宋" w:eastAsia="仿宋"/>
                <w:bCs/>
                <w:color w:val="auto"/>
                <w:sz w:val="24"/>
              </w:rPr>
              <w:t>（3）</w:t>
            </w:r>
            <w:r>
              <w:rPr>
                <w:rFonts w:hint="eastAsia" w:ascii="仿宋" w:hAnsi="仿宋" w:eastAsia="仿宋"/>
                <w:bCs/>
                <w:color w:val="auto"/>
                <w:sz w:val="24"/>
                <w:lang w:val="en-US" w:eastAsia="zh-CN"/>
              </w:rPr>
              <w:t>主观分析题</w:t>
            </w:r>
            <w:r>
              <w:rPr>
                <w:rFonts w:hint="eastAsia" w:ascii="仿宋" w:hAnsi="仿宋" w:eastAsia="仿宋"/>
                <w:bCs/>
                <w:color w:val="auto"/>
                <w:sz w:val="24"/>
              </w:rPr>
              <w:t>，</w:t>
            </w:r>
            <w:r>
              <w:rPr>
                <w:rFonts w:hint="eastAsia" w:ascii="仿宋" w:hAnsi="仿宋" w:eastAsia="仿宋"/>
                <w:bCs/>
                <w:color w:val="auto"/>
                <w:sz w:val="24"/>
                <w:lang w:val="en-US" w:eastAsia="zh-CN"/>
              </w:rPr>
              <w:t>1</w:t>
            </w:r>
            <w:r>
              <w:rPr>
                <w:rFonts w:hint="eastAsia" w:ascii="仿宋" w:hAnsi="仿宋" w:eastAsia="仿宋"/>
                <w:bCs/>
                <w:color w:val="auto"/>
                <w:sz w:val="24"/>
              </w:rPr>
              <w:t>0分。</w:t>
            </w:r>
          </w:p>
        </w:tc>
        <w:tc>
          <w:tcPr>
            <w:tcW w:w="1491" w:type="pct"/>
          </w:tcPr>
          <w:p w14:paraId="23643A3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目标1</w:t>
            </w:r>
          </w:p>
          <w:p w14:paraId="77E41F1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目标2</w:t>
            </w:r>
          </w:p>
          <w:p w14:paraId="17B7E09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目标3</w:t>
            </w:r>
          </w:p>
        </w:tc>
      </w:tr>
    </w:tbl>
    <w:p w14:paraId="2AD01272">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2481"/>
        <w:gridCol w:w="1479"/>
        <w:gridCol w:w="1106"/>
        <w:gridCol w:w="1108"/>
        <w:gridCol w:w="1181"/>
      </w:tblGrid>
      <w:tr w14:paraId="205A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pct"/>
            <w:gridSpan w:val="2"/>
            <w:vMerge w:val="restart"/>
            <w:shd w:val="clear" w:color="auto" w:fill="auto"/>
            <w:vAlign w:val="center"/>
          </w:tcPr>
          <w:p w14:paraId="25FD7CF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868" w:type="pct"/>
            <w:vMerge w:val="restart"/>
            <w:vAlign w:val="center"/>
          </w:tcPr>
          <w:p w14:paraId="23694E4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1992" w:type="pct"/>
            <w:gridSpan w:val="3"/>
            <w:shd w:val="clear" w:color="auto" w:fill="auto"/>
            <w:vAlign w:val="center"/>
          </w:tcPr>
          <w:p w14:paraId="5DFD17F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4230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pct"/>
            <w:gridSpan w:val="2"/>
            <w:vMerge w:val="continue"/>
            <w:shd w:val="clear" w:color="auto" w:fill="auto"/>
            <w:vAlign w:val="center"/>
          </w:tcPr>
          <w:p w14:paraId="271BA804">
            <w:pPr>
              <w:snapToGrid w:val="0"/>
              <w:spacing w:line="360" w:lineRule="auto"/>
              <w:jc w:val="center"/>
              <w:rPr>
                <w:rFonts w:hint="eastAsia" w:ascii="仿宋" w:hAnsi="仿宋" w:eastAsia="仿宋"/>
                <w:b/>
                <w:color w:val="000000"/>
                <w:sz w:val="24"/>
              </w:rPr>
            </w:pPr>
          </w:p>
        </w:tc>
        <w:tc>
          <w:tcPr>
            <w:tcW w:w="868" w:type="pct"/>
            <w:vMerge w:val="continue"/>
          </w:tcPr>
          <w:p w14:paraId="639ED412">
            <w:pPr>
              <w:snapToGrid w:val="0"/>
              <w:spacing w:line="360" w:lineRule="auto"/>
              <w:jc w:val="center"/>
              <w:rPr>
                <w:rFonts w:hint="eastAsia" w:ascii="仿宋" w:hAnsi="仿宋" w:eastAsia="仿宋"/>
                <w:b/>
                <w:color w:val="000000"/>
                <w:sz w:val="24"/>
              </w:rPr>
            </w:pPr>
          </w:p>
        </w:tc>
        <w:tc>
          <w:tcPr>
            <w:tcW w:w="649" w:type="pct"/>
            <w:shd w:val="clear" w:color="auto" w:fill="auto"/>
            <w:vAlign w:val="center"/>
          </w:tcPr>
          <w:p w14:paraId="6822279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650" w:type="pct"/>
          </w:tcPr>
          <w:p w14:paraId="4E3C28D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693" w:type="pct"/>
          </w:tcPr>
          <w:p w14:paraId="40E500B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6B69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vMerge w:val="restart"/>
            <w:shd w:val="clear" w:color="auto" w:fill="auto"/>
            <w:vAlign w:val="center"/>
          </w:tcPr>
          <w:p w14:paraId="5C12A9A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456" w:type="pct"/>
            <w:shd w:val="clear" w:color="auto" w:fill="auto"/>
            <w:vAlign w:val="center"/>
          </w:tcPr>
          <w:p w14:paraId="31C462A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868" w:type="pct"/>
            <w:vAlign w:val="top"/>
          </w:tcPr>
          <w:p w14:paraId="6298923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30</w:t>
            </w:r>
          </w:p>
        </w:tc>
        <w:tc>
          <w:tcPr>
            <w:tcW w:w="649" w:type="pct"/>
            <w:shd w:val="clear" w:color="auto" w:fill="auto"/>
            <w:vAlign w:val="center"/>
          </w:tcPr>
          <w:p w14:paraId="36BE362E">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6</w:t>
            </w:r>
          </w:p>
        </w:tc>
        <w:tc>
          <w:tcPr>
            <w:tcW w:w="650" w:type="pct"/>
          </w:tcPr>
          <w:p w14:paraId="7F39AA7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693" w:type="pct"/>
          </w:tcPr>
          <w:p w14:paraId="14E991A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14</w:t>
            </w:r>
          </w:p>
        </w:tc>
      </w:tr>
      <w:tr w14:paraId="2A93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vMerge w:val="continue"/>
            <w:shd w:val="clear" w:color="auto" w:fill="auto"/>
            <w:vAlign w:val="center"/>
          </w:tcPr>
          <w:p w14:paraId="56336CBE">
            <w:pPr>
              <w:snapToGrid w:val="0"/>
              <w:spacing w:line="360" w:lineRule="auto"/>
              <w:jc w:val="center"/>
              <w:rPr>
                <w:rFonts w:hint="eastAsia" w:ascii="仿宋" w:hAnsi="仿宋" w:eastAsia="仿宋"/>
                <w:b/>
                <w:color w:val="000000"/>
                <w:sz w:val="24"/>
              </w:rPr>
            </w:pPr>
          </w:p>
        </w:tc>
        <w:tc>
          <w:tcPr>
            <w:tcW w:w="1456" w:type="pct"/>
            <w:shd w:val="clear" w:color="auto" w:fill="auto"/>
            <w:vAlign w:val="center"/>
          </w:tcPr>
          <w:p w14:paraId="7E950AB2">
            <w:pPr>
              <w:snapToGrid w:val="0"/>
              <w:spacing w:line="360" w:lineRule="auto"/>
              <w:jc w:val="center"/>
              <w:rPr>
                <w:rFonts w:hint="eastAsia" w:ascii="仿宋" w:hAnsi="仿宋" w:eastAsia="仿宋"/>
                <w:b/>
                <w:color w:val="000000"/>
                <w:sz w:val="24"/>
              </w:rPr>
            </w:pPr>
            <w:r>
              <w:rPr>
                <w:rFonts w:hint="eastAsia" w:ascii="仿宋" w:hAnsi="仿宋" w:eastAsia="仿宋"/>
                <w:b/>
                <w:sz w:val="24"/>
              </w:rPr>
              <w:t>考勤</w:t>
            </w:r>
          </w:p>
        </w:tc>
        <w:tc>
          <w:tcPr>
            <w:tcW w:w="868" w:type="pct"/>
            <w:vAlign w:val="center"/>
          </w:tcPr>
          <w:p w14:paraId="776029D7">
            <w:pPr>
              <w:snapToGrid w:val="0"/>
              <w:spacing w:line="360" w:lineRule="auto"/>
              <w:jc w:val="center"/>
              <w:rPr>
                <w:rFonts w:hint="eastAsia" w:ascii="仿宋" w:hAnsi="仿宋" w:eastAsia="仿宋"/>
                <w:b/>
                <w:color w:val="000000"/>
                <w:sz w:val="24"/>
              </w:rPr>
            </w:pPr>
            <w:r>
              <w:rPr>
                <w:rFonts w:hint="eastAsia" w:ascii="仿宋" w:hAnsi="仿宋" w:eastAsia="仿宋"/>
                <w:b/>
                <w:sz w:val="24"/>
              </w:rPr>
              <w:t>10</w:t>
            </w:r>
          </w:p>
        </w:tc>
        <w:tc>
          <w:tcPr>
            <w:tcW w:w="649" w:type="pct"/>
            <w:shd w:val="clear"/>
            <w:vAlign w:val="center"/>
          </w:tcPr>
          <w:p w14:paraId="3B23B6F7">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rPr>
              <w:t>/</w:t>
            </w:r>
          </w:p>
        </w:tc>
        <w:tc>
          <w:tcPr>
            <w:tcW w:w="650" w:type="pct"/>
            <w:shd w:val="clear"/>
            <w:vAlign w:val="center"/>
          </w:tcPr>
          <w:p w14:paraId="5F02E7A3">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rPr>
              <w:t>/</w:t>
            </w:r>
          </w:p>
        </w:tc>
        <w:tc>
          <w:tcPr>
            <w:tcW w:w="693" w:type="pct"/>
            <w:shd w:val="clear"/>
            <w:vAlign w:val="center"/>
          </w:tcPr>
          <w:p w14:paraId="397EE71D">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rPr>
              <w:t>/</w:t>
            </w:r>
          </w:p>
        </w:tc>
      </w:tr>
      <w:tr w14:paraId="6F933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shd w:val="clear" w:color="auto" w:fill="auto"/>
            <w:vAlign w:val="center"/>
          </w:tcPr>
          <w:p w14:paraId="4DE0EF2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456" w:type="pct"/>
            <w:shd w:val="clear" w:color="auto" w:fill="auto"/>
            <w:vAlign w:val="center"/>
          </w:tcPr>
          <w:p w14:paraId="4A2E94B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868" w:type="pct"/>
          </w:tcPr>
          <w:p w14:paraId="520DD3D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70</w:t>
            </w:r>
          </w:p>
        </w:tc>
        <w:tc>
          <w:tcPr>
            <w:tcW w:w="649" w:type="pct"/>
            <w:shd w:val="clear" w:color="auto" w:fill="auto"/>
            <w:vAlign w:val="center"/>
          </w:tcPr>
          <w:p w14:paraId="47A0051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650" w:type="pct"/>
          </w:tcPr>
          <w:p w14:paraId="315F0F9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693" w:type="pct"/>
          </w:tcPr>
          <w:p w14:paraId="1B496D1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r>
      <w:tr w14:paraId="79B1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7" w:type="pct"/>
            <w:gridSpan w:val="3"/>
            <w:shd w:val="clear" w:color="auto" w:fill="auto"/>
            <w:vAlign w:val="center"/>
          </w:tcPr>
          <w:p w14:paraId="33E17A94">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649" w:type="pct"/>
            <w:shd w:val="clear" w:color="auto" w:fill="auto"/>
            <w:vAlign w:val="center"/>
          </w:tcPr>
          <w:p w14:paraId="5B3B90C1">
            <w:pPr>
              <w:snapToGrid w:val="0"/>
              <w:spacing w:line="360" w:lineRule="auto"/>
              <w:jc w:val="center"/>
              <w:rPr>
                <w:rFonts w:hint="eastAsia" w:ascii="仿宋" w:hAnsi="仿宋" w:eastAsia="仿宋"/>
                <w:b/>
                <w:color w:val="000000"/>
                <w:sz w:val="24"/>
              </w:rPr>
            </w:pPr>
          </w:p>
        </w:tc>
        <w:tc>
          <w:tcPr>
            <w:tcW w:w="650" w:type="pct"/>
          </w:tcPr>
          <w:p w14:paraId="2A152126">
            <w:pPr>
              <w:snapToGrid w:val="0"/>
              <w:spacing w:line="360" w:lineRule="auto"/>
              <w:jc w:val="center"/>
              <w:rPr>
                <w:rFonts w:hint="eastAsia" w:ascii="仿宋" w:hAnsi="仿宋" w:eastAsia="仿宋"/>
                <w:sz w:val="24"/>
              </w:rPr>
            </w:pPr>
          </w:p>
        </w:tc>
        <w:tc>
          <w:tcPr>
            <w:tcW w:w="693" w:type="pct"/>
          </w:tcPr>
          <w:p w14:paraId="27BAEE46">
            <w:pPr>
              <w:snapToGrid w:val="0"/>
              <w:spacing w:line="360" w:lineRule="auto"/>
              <w:jc w:val="center"/>
              <w:rPr>
                <w:rFonts w:hint="eastAsia" w:ascii="仿宋" w:hAnsi="仿宋" w:eastAsia="仿宋"/>
                <w:sz w:val="24"/>
              </w:rPr>
            </w:pPr>
          </w:p>
        </w:tc>
      </w:tr>
    </w:tbl>
    <w:p w14:paraId="5EB80A24">
      <w:pPr>
        <w:snapToGrid w:val="0"/>
        <w:spacing w:line="360" w:lineRule="auto"/>
        <w:rPr>
          <w:rFonts w:ascii="仿宋" w:hAnsi="仿宋" w:eastAsia="仿宋"/>
          <w:b/>
          <w:color w:val="000000"/>
          <w:sz w:val="24"/>
        </w:rPr>
      </w:pPr>
    </w:p>
    <w:p w14:paraId="795544A6">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2F6022E">
      <w:pPr>
        <w:tabs>
          <w:tab w:val="left" w:pos="-5670"/>
          <w:tab w:val="left" w:pos="-5245"/>
          <w:tab w:val="left" w:pos="1134"/>
        </w:tabs>
        <w:spacing w:before="156" w:beforeLines="50" w:after="156" w:afterLines="50" w:line="360" w:lineRule="auto"/>
        <w:ind w:firstLine="480" w:firstLineChars="200"/>
        <w:rPr>
          <w:rFonts w:hint="eastAsia" w:ascii="仿宋" w:hAnsi="仿宋" w:eastAsia="仿宋"/>
          <w:color w:val="auto"/>
          <w:sz w:val="24"/>
          <w:lang w:val="en-US" w:eastAsia="zh-CN"/>
        </w:rPr>
      </w:pPr>
      <w:bookmarkStart w:id="1" w:name="_Hlk49024753"/>
      <w:r>
        <w:rPr>
          <w:rFonts w:hint="eastAsia" w:ascii="仿宋" w:hAnsi="仿宋" w:eastAsia="仿宋"/>
          <w:color w:val="auto"/>
          <w:sz w:val="24"/>
          <w:lang w:val="en-US" w:eastAsia="zh-CN"/>
        </w:rPr>
        <w:t>无</w:t>
      </w:r>
    </w:p>
    <w:p w14:paraId="7006E4C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7B9E2F3E">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30C6BB90">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CC3CFB0">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4CD9D3C4">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10667187">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lang w:val="en-GB" w:eastAsia="zh-CN"/>
        </w:rPr>
        <w:t>（</w:t>
      </w:r>
      <w:r>
        <w:rPr>
          <w:rFonts w:hint="eastAsia" w:ascii="仿宋" w:hAnsi="仿宋" w:eastAsia="仿宋"/>
          <w:color w:val="000000"/>
          <w:sz w:val="24"/>
          <w:lang w:val="en-US" w:eastAsia="zh-CN"/>
        </w:rPr>
        <w:t>1）</w:t>
      </w:r>
      <w:r>
        <w:rPr>
          <w:rFonts w:hint="eastAsia" w:ascii="仿宋" w:hAnsi="仿宋" w:eastAsia="仿宋"/>
          <w:color w:val="000000"/>
          <w:sz w:val="24"/>
          <w:lang w:val="en-GB"/>
        </w:rPr>
        <w:t>课堂讲授部分由教师在教学计划学时内进行课堂教学，作为基本要求内容</w:t>
      </w:r>
      <w:r>
        <w:rPr>
          <w:rFonts w:hint="eastAsia" w:ascii="仿宋" w:hAnsi="仿宋" w:eastAsia="仿宋"/>
          <w:color w:val="000000"/>
          <w:sz w:val="24"/>
          <w:lang w:val="en-GB" w:eastAsia="zh-CN"/>
        </w:rPr>
        <w:t>，</w:t>
      </w:r>
      <w:r>
        <w:rPr>
          <w:rFonts w:hint="eastAsia" w:ascii="仿宋" w:hAnsi="仿宋" w:eastAsia="仿宋"/>
          <w:color w:val="000000"/>
          <w:sz w:val="24"/>
        </w:rPr>
        <w:t>在课堂上和阅读教材时，及时记录重点内容和关键概念，以便后续复习和加深理解。</w:t>
      </w:r>
    </w:p>
    <w:p w14:paraId="5688C352">
      <w:pPr>
        <w:tabs>
          <w:tab w:val="left" w:pos="-5670"/>
          <w:tab w:val="left" w:pos="-5245"/>
          <w:tab w:val="left" w:pos="1134"/>
        </w:tabs>
        <w:spacing w:line="360" w:lineRule="auto"/>
        <w:ind w:firstLine="480" w:firstLineChars="200"/>
        <w:rPr>
          <w:rFonts w:hint="eastAsia" w:ascii="仿宋" w:hAnsi="仿宋" w:eastAsia="仿宋"/>
          <w:color w:val="000000"/>
          <w:sz w:val="24"/>
          <w:lang w:val="en-GB" w:eastAsia="zh-CN"/>
        </w:rPr>
      </w:pPr>
      <w:r>
        <w:rPr>
          <w:rFonts w:hint="eastAsia" w:ascii="仿宋" w:hAnsi="仿宋" w:eastAsia="仿宋"/>
          <w:color w:val="000000"/>
          <w:sz w:val="24"/>
          <w:lang w:val="en-GB" w:eastAsia="zh-CN"/>
        </w:rPr>
        <w:t>（</w:t>
      </w:r>
      <w:r>
        <w:rPr>
          <w:rFonts w:hint="eastAsia" w:ascii="仿宋" w:hAnsi="仿宋" w:eastAsia="仿宋"/>
          <w:color w:val="000000"/>
          <w:sz w:val="24"/>
          <w:lang w:val="en-US" w:eastAsia="zh-CN"/>
        </w:rPr>
        <w:t>2）</w:t>
      </w:r>
      <w:r>
        <w:rPr>
          <w:rFonts w:hint="eastAsia" w:ascii="仿宋" w:hAnsi="仿宋" w:eastAsia="仿宋"/>
          <w:color w:val="000000"/>
          <w:sz w:val="24"/>
          <w:lang w:val="en-GB"/>
        </w:rPr>
        <w:t>学生自学部分由学生在教师的指导下，利用课外时间进行自学，作为一般要求内容</w:t>
      </w:r>
      <w:r>
        <w:rPr>
          <w:rFonts w:hint="eastAsia" w:ascii="仿宋" w:hAnsi="仿宋" w:eastAsia="仿宋"/>
          <w:color w:val="000000"/>
          <w:sz w:val="24"/>
          <w:lang w:val="en-GB" w:eastAsia="zh-CN"/>
        </w:rPr>
        <w:t>，</w:t>
      </w:r>
      <w:r>
        <w:rPr>
          <w:rFonts w:hint="eastAsia" w:ascii="仿宋" w:hAnsi="仿宋" w:eastAsia="仿宋"/>
          <w:color w:val="000000"/>
          <w:sz w:val="24"/>
          <w:lang w:val="en-US" w:eastAsia="zh-CN"/>
        </w:rPr>
        <w:t>结合</w:t>
      </w:r>
      <w:r>
        <w:rPr>
          <w:rFonts w:hint="eastAsia" w:ascii="仿宋" w:hAnsi="仿宋" w:eastAsia="仿宋"/>
          <w:color w:val="000000"/>
          <w:sz w:val="24"/>
        </w:rPr>
        <w:t>互联网资源，如视频教学、在线课程等，辅助学习</w:t>
      </w:r>
      <w:r>
        <w:rPr>
          <w:rFonts w:hint="eastAsia" w:ascii="仿宋" w:hAnsi="仿宋" w:eastAsia="仿宋"/>
          <w:color w:val="000000"/>
          <w:sz w:val="24"/>
          <w:lang w:eastAsia="zh-CN"/>
        </w:rPr>
        <w:t>。</w:t>
      </w:r>
    </w:p>
    <w:p w14:paraId="23D36CA2">
      <w:pPr>
        <w:tabs>
          <w:tab w:val="left" w:pos="-5670"/>
          <w:tab w:val="left" w:pos="-5245"/>
          <w:tab w:val="left" w:pos="1134"/>
        </w:tabs>
        <w:spacing w:line="360" w:lineRule="auto"/>
        <w:ind w:firstLine="480" w:firstLineChars="200"/>
        <w:rPr>
          <w:rFonts w:hint="eastAsia" w:ascii="仿宋" w:hAnsi="仿宋" w:eastAsia="仿宋"/>
          <w:color w:val="000000"/>
          <w:sz w:val="24"/>
          <w:lang w:val="en-GB"/>
        </w:rPr>
      </w:pPr>
      <w:r>
        <w:rPr>
          <w:rFonts w:hint="eastAsia" w:ascii="仿宋" w:hAnsi="仿宋" w:eastAsia="仿宋"/>
          <w:color w:val="000000"/>
          <w:sz w:val="24"/>
          <w:lang w:val="en-GB" w:eastAsia="zh-CN"/>
        </w:rPr>
        <w:t>（</w:t>
      </w:r>
      <w:r>
        <w:rPr>
          <w:rFonts w:hint="eastAsia" w:ascii="仿宋" w:hAnsi="仿宋" w:eastAsia="仿宋"/>
          <w:color w:val="000000"/>
          <w:sz w:val="24"/>
          <w:lang w:val="en-US" w:eastAsia="zh-CN"/>
        </w:rPr>
        <w:t>3）</w:t>
      </w:r>
      <w:r>
        <w:rPr>
          <w:rFonts w:hint="eastAsia" w:ascii="仿宋" w:hAnsi="仿宋" w:eastAsia="仿宋"/>
          <w:color w:val="000000"/>
          <w:sz w:val="24"/>
          <w:lang w:val="en-GB"/>
        </w:rPr>
        <w:t>学生选读部分由学生根据自己的兴趣及能力，进行课外选读，</w:t>
      </w:r>
      <w:r>
        <w:rPr>
          <w:rFonts w:hint="eastAsia" w:ascii="仿宋" w:hAnsi="仿宋" w:eastAsia="仿宋"/>
          <w:color w:val="000000"/>
          <w:sz w:val="24"/>
          <w:lang w:val="en-US" w:eastAsia="zh-CN"/>
        </w:rPr>
        <w:t>可多</w:t>
      </w:r>
      <w:r>
        <w:rPr>
          <w:rFonts w:hint="eastAsia" w:ascii="仿宋" w:hAnsi="仿宋" w:eastAsia="仿宋"/>
          <w:color w:val="000000"/>
          <w:sz w:val="24"/>
        </w:rPr>
        <w:t>利用互联网资源，如视频教学、在线课程等，来辅助学习，加深对化工</w:t>
      </w:r>
      <w:r>
        <w:rPr>
          <w:rFonts w:hint="eastAsia" w:ascii="仿宋" w:hAnsi="仿宋" w:eastAsia="仿宋"/>
          <w:color w:val="000000"/>
          <w:sz w:val="24"/>
          <w:lang w:val="en-US" w:eastAsia="zh-CN"/>
        </w:rPr>
        <w:t>专业</w:t>
      </w:r>
      <w:r>
        <w:rPr>
          <w:rFonts w:hint="eastAsia" w:ascii="仿宋" w:hAnsi="仿宋" w:eastAsia="仿宋"/>
          <w:color w:val="000000"/>
          <w:sz w:val="24"/>
        </w:rPr>
        <w:t>的理解。</w:t>
      </w:r>
    </w:p>
    <w:p w14:paraId="2DD81F54">
      <w:pPr>
        <w:snapToGrid w:val="0"/>
        <w:spacing w:line="300" w:lineRule="auto"/>
        <w:ind w:firstLine="480" w:firstLineChars="200"/>
        <w:rPr>
          <w:rFonts w:hint="eastAsia" w:ascii="仿宋" w:hAnsi="仿宋" w:eastAsia="仿宋"/>
          <w:color w:val="0070C0"/>
          <w:sz w:val="24"/>
        </w:rPr>
      </w:pPr>
    </w:p>
    <w:bookmarkEnd w:id="1"/>
    <w:p w14:paraId="2DAD019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3D9411F4">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009"/>
        <w:gridCol w:w="1025"/>
        <w:gridCol w:w="1150"/>
        <w:gridCol w:w="1196"/>
        <w:gridCol w:w="799"/>
        <w:gridCol w:w="1861"/>
        <w:gridCol w:w="1482"/>
      </w:tblGrid>
      <w:tr w14:paraId="566B6D32">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313A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44D47">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F3B00">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529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D664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C894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5F922">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7753A4F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38B4B">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rPr>
              <w:t>《现代化工导论》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D3CD1">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2016年</w:t>
            </w:r>
            <w:r>
              <w:rPr>
                <w:rFonts w:hint="eastAsia"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bidi="ar"/>
              </w:rPr>
              <w:t>月第3版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ED553">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2016年</w:t>
            </w:r>
            <w:r>
              <w:rPr>
                <w:rFonts w:hint="eastAsia"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A5C3DD">
            <w:pPr>
              <w:widowControl/>
              <w:jc w:val="center"/>
              <w:textAlignment w:val="center"/>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kern w:val="0"/>
                <w:sz w:val="21"/>
                <w:szCs w:val="21"/>
                <w:lang w:bidi="ar"/>
              </w:rPr>
              <w:t>李淑芬、王成扬、张毅民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73D8C">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化学工业出版社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CA337">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978-7-122-25446-7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2A3B9">
            <w:pPr>
              <w:widowControl/>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普通高等教育“十</w:t>
            </w:r>
            <w:r>
              <w:rPr>
                <w:rFonts w:hint="eastAsia" w:cs="Times New Roman"/>
                <w:color w:val="000000"/>
                <w:kern w:val="0"/>
                <w:sz w:val="21"/>
                <w:szCs w:val="21"/>
                <w:lang w:val="en-US" w:eastAsia="zh-CN" w:bidi="ar"/>
              </w:rPr>
              <w:t>二</w:t>
            </w:r>
            <w:r>
              <w:rPr>
                <w:rFonts w:hint="default" w:ascii="Times New Roman" w:hAnsi="Times New Roman" w:eastAsia="宋体" w:cs="Times New Roman"/>
                <w:color w:val="000000"/>
                <w:kern w:val="0"/>
                <w:sz w:val="21"/>
                <w:szCs w:val="21"/>
                <w:lang w:bidi="ar"/>
              </w:rPr>
              <w:t>五”国家级规划教材</w:t>
            </w:r>
          </w:p>
        </w:tc>
      </w:tr>
      <w:tr w14:paraId="172611A5">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62FF8">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86D92">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83039">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839D3">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C2B12">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A1D153">
            <w:pPr>
              <w:widowControl/>
              <w:jc w:val="center"/>
              <w:textAlignment w:val="center"/>
              <w:rPr>
                <w:rFonts w:hint="default" w:ascii="Times New Roman" w:hAnsi="Times New Roman" w:eastAsia="宋体" w:cs="Times New Roman"/>
                <w:color w:val="000000"/>
                <w:kern w:val="0"/>
                <w:sz w:val="21"/>
                <w:szCs w:val="21"/>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A2EE6">
            <w:pPr>
              <w:widowControl/>
              <w:jc w:val="center"/>
              <w:textAlignment w:val="center"/>
              <w:rPr>
                <w:rFonts w:hint="default" w:ascii="Times New Roman" w:hAnsi="Times New Roman" w:eastAsia="宋体" w:cs="Times New Roman"/>
                <w:color w:val="000000"/>
                <w:kern w:val="0"/>
                <w:sz w:val="21"/>
                <w:szCs w:val="21"/>
                <w:lang w:bidi="ar"/>
              </w:rPr>
            </w:pPr>
          </w:p>
        </w:tc>
      </w:tr>
    </w:tbl>
    <w:p w14:paraId="5817A4F9">
      <w:pPr>
        <w:spacing w:line="360" w:lineRule="auto"/>
        <w:ind w:firstLine="482" w:firstLineChars="200"/>
        <w:rPr>
          <w:rFonts w:eastAsia="仿宋"/>
          <w:b/>
          <w:color w:val="000000"/>
          <w:sz w:val="24"/>
        </w:rPr>
      </w:pPr>
    </w:p>
    <w:p w14:paraId="70DDBCD4">
      <w:pPr>
        <w:spacing w:line="360" w:lineRule="auto"/>
        <w:ind w:firstLine="482" w:firstLineChars="200"/>
        <w:rPr>
          <w:rFonts w:eastAsia="仿宋"/>
          <w:b/>
          <w:color w:val="000000"/>
          <w:sz w:val="24"/>
        </w:rPr>
      </w:pPr>
    </w:p>
    <w:p w14:paraId="2F76C83F">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7"/>
        <w:gridCol w:w="966"/>
        <w:gridCol w:w="954"/>
        <w:gridCol w:w="1053"/>
        <w:gridCol w:w="1016"/>
        <w:gridCol w:w="616"/>
        <w:gridCol w:w="1516"/>
        <w:gridCol w:w="1984"/>
      </w:tblGrid>
      <w:tr w14:paraId="77E0F32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FC38B">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C19C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BE9AD">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5D9D59">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E6E00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CC62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564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8EDD4">
            <w:pPr>
              <w:widowControl/>
              <w:jc w:val="center"/>
              <w:textAlignment w:val="center"/>
              <w:rPr>
                <w:rFonts w:hint="eastAsia" w:ascii="宋体" w:hAnsi="宋体" w:cs="宋体"/>
                <w:b/>
                <w:bCs/>
                <w:color w:val="000000"/>
                <w:sz w:val="20"/>
                <w:szCs w:val="20"/>
              </w:rPr>
            </w:pPr>
            <w:r>
              <w:rPr>
                <w:rStyle w:val="24"/>
                <w:rFonts w:hint="default"/>
                <w:lang w:bidi="ar"/>
              </w:rPr>
              <w:t>教材级别</w:t>
            </w:r>
            <w:r>
              <w:rPr>
                <w:rFonts w:ascii="仿宋" w:hAnsi="仿宋" w:eastAsia="仿宋"/>
                <w:color w:val="0070C0"/>
                <w:sz w:val="24"/>
              </w:rPr>
              <w:t>（如：普通高等教育“十二五”国家级规划教材）</w:t>
            </w:r>
          </w:p>
        </w:tc>
      </w:tr>
      <w:tr w14:paraId="4CA168C1">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8A624">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645C">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化工导论</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3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2018年9月第3版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90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2018年9月第1次印刷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EA9EC">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邹长军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19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石油工业出版社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2A82">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9787518328253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7C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高等</w:t>
            </w:r>
            <w:r>
              <w:rPr>
                <w:rFonts w:hint="eastAsia" w:ascii="宋体" w:hAnsi="宋体" w:cs="宋体"/>
                <w:color w:val="000000"/>
                <w:kern w:val="0"/>
                <w:sz w:val="20"/>
                <w:szCs w:val="20"/>
                <w:lang w:val="en-US" w:eastAsia="zh-CN" w:bidi="ar"/>
              </w:rPr>
              <w:t>学</w:t>
            </w:r>
            <w:r>
              <w:rPr>
                <w:rFonts w:hint="eastAsia" w:ascii="宋体" w:hAnsi="宋体" w:cs="宋体"/>
                <w:color w:val="000000"/>
                <w:kern w:val="0"/>
                <w:sz w:val="20"/>
                <w:szCs w:val="20"/>
                <w:lang w:bidi="ar"/>
              </w:rPr>
              <w:t>校教材</w:t>
            </w:r>
          </w:p>
        </w:tc>
      </w:tr>
    </w:tbl>
    <w:p w14:paraId="50B6D149">
      <w:pPr>
        <w:spacing w:line="360" w:lineRule="auto"/>
        <w:ind w:firstLine="480" w:firstLineChars="200"/>
        <w:jc w:val="left"/>
        <w:rPr>
          <w:rFonts w:eastAsia="仿宋"/>
          <w:color w:val="000000"/>
          <w:sz w:val="24"/>
        </w:rPr>
      </w:pPr>
    </w:p>
    <w:p w14:paraId="3A52049A">
      <w:pPr>
        <w:spacing w:line="360" w:lineRule="auto"/>
        <w:ind w:firstLine="482" w:firstLineChars="200"/>
        <w:rPr>
          <w:rFonts w:eastAsia="仿宋"/>
          <w:color w:val="808080"/>
          <w:sz w:val="24"/>
        </w:rPr>
      </w:pPr>
      <w:r>
        <w:rPr>
          <w:rFonts w:eastAsia="仿宋"/>
          <w:b/>
          <w:sz w:val="24"/>
        </w:rPr>
        <w:t>3．其他学习资源</w:t>
      </w:r>
    </w:p>
    <w:p w14:paraId="5CA74964">
      <w:pPr>
        <w:spacing w:line="360" w:lineRule="auto"/>
        <w:ind w:firstLine="480" w:firstLineChars="200"/>
        <w:jc w:val="left"/>
        <w:rPr>
          <w:rFonts w:hint="default" w:eastAsia="仿宋"/>
          <w:color w:val="000000"/>
          <w:sz w:val="24"/>
          <w:lang w:val="en-US" w:eastAsia="zh-CN"/>
        </w:rPr>
      </w:pPr>
      <w:r>
        <w:rPr>
          <w:rFonts w:eastAsia="仿宋"/>
          <w:color w:val="000000"/>
          <w:sz w:val="24"/>
        </w:rPr>
        <w:t>（1）</w:t>
      </w:r>
      <w:r>
        <w:rPr>
          <w:rFonts w:hint="eastAsia" w:eastAsia="仿宋"/>
          <w:color w:val="000000"/>
          <w:sz w:val="24"/>
          <w:lang w:val="en-US" w:eastAsia="zh-CN"/>
        </w:rPr>
        <w:t>化工导论</w:t>
      </w:r>
      <w:r>
        <w:rPr>
          <w:rFonts w:eastAsia="仿宋"/>
          <w:color w:val="000000"/>
          <w:sz w:val="24"/>
        </w:rPr>
        <w:t>，</w:t>
      </w:r>
      <w:r>
        <w:rPr>
          <w:rFonts w:hint="eastAsia" w:eastAsia="仿宋"/>
          <w:color w:val="000000"/>
          <w:sz w:val="24"/>
          <w:lang w:val="en-US" w:eastAsia="zh-CN"/>
        </w:rPr>
        <w:t>唐韶坤等</w:t>
      </w:r>
      <w:r>
        <w:rPr>
          <w:rFonts w:eastAsia="仿宋"/>
          <w:color w:val="000000"/>
          <w:sz w:val="24"/>
        </w:rPr>
        <w:t>，</w:t>
      </w:r>
      <w:r>
        <w:rPr>
          <w:rFonts w:hint="eastAsia" w:eastAsia="仿宋"/>
          <w:color w:val="000000"/>
          <w:sz w:val="24"/>
          <w:lang w:val="en-US" w:eastAsia="zh-CN"/>
        </w:rPr>
        <w:t>中国大学慕课</w:t>
      </w:r>
    </w:p>
    <w:p w14:paraId="42C2181B">
      <w:pPr>
        <w:spacing w:line="360" w:lineRule="auto"/>
        <w:jc w:val="left"/>
        <w:rPr>
          <w:rFonts w:hint="eastAsia" w:eastAsia="仿宋"/>
          <w:color w:val="000000"/>
          <w:sz w:val="24"/>
        </w:rPr>
      </w:pPr>
    </w:p>
    <w:p w14:paraId="081C2350">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Roman">
    <w:altName w:val="Times New Roman"/>
    <w:panose1 w:val="00000000000000000000"/>
    <w:charset w:val="00"/>
    <w:family w:val="roman"/>
    <w:pitch w:val="default"/>
    <w:sig w:usb0="00000000" w:usb1="00000000" w:usb2="00000000" w:usb3="00000000" w:csb0="00000001" w:csb1="00000000"/>
  </w:font>
  <w:font w:name="AdobeHeitiStd-Regular">
    <w:altName w:val="宋体"/>
    <w:panose1 w:val="00000000000000000000"/>
    <w:charset w:val="86"/>
    <w:family w:val="auto"/>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zMWRmNWQwMzM2MDJkYmJlNmFhZDBmZGJlMDYwY2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4D0B1B"/>
    <w:rsid w:val="39C92D0E"/>
    <w:rsid w:val="4A780B39"/>
    <w:rsid w:val="5B6D0FED"/>
    <w:rsid w:val="65506964"/>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2637</Words>
  <Characters>2776</Characters>
  <Lines>115</Lines>
  <Paragraphs>144</Paragraphs>
  <TotalTime>9</TotalTime>
  <ScaleCrop>false</ScaleCrop>
  <LinksUpToDate>false</LinksUpToDate>
  <CharactersWithSpaces>2779</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spencer</cp:lastModifiedBy>
  <dcterms:modified xsi:type="dcterms:W3CDTF">2024-07-19T09:30:16Z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F090DC5040CC43449F8D2F51B3FE9415_13</vt:lpwstr>
  </property>
</Properties>
</file>