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EE9CC">
      <w:pPr>
        <w:spacing w:before="156" w:beforeLines="50" w:after="156" w:afterLines="50" w:line="360" w:lineRule="auto"/>
        <w:jc w:val="left"/>
      </w:pPr>
      <w:r>
        <w:drawing>
          <wp:inline distT="0" distB="0" distL="0" distR="0">
            <wp:extent cx="2392680" cy="35814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4C1BEAA9">
      <w:pPr>
        <w:spacing w:line="480" w:lineRule="auto"/>
        <w:rPr>
          <w:rFonts w:ascii="宋体" w:hAnsi="宋体"/>
          <w:color w:val="000000"/>
          <w:sz w:val="44"/>
          <w:szCs w:val="20"/>
        </w:rPr>
      </w:pPr>
    </w:p>
    <w:p w14:paraId="66062E08">
      <w:pPr>
        <w:tabs>
          <w:tab w:val="left" w:pos="880"/>
        </w:tabs>
        <w:spacing w:line="480" w:lineRule="auto"/>
        <w:rPr>
          <w:rFonts w:ascii="宋体" w:hAnsi="宋体"/>
          <w:color w:val="auto"/>
          <w:sz w:val="44"/>
          <w:szCs w:val="20"/>
        </w:rPr>
      </w:pPr>
      <w:r>
        <w:rPr>
          <w:rFonts w:ascii="宋体" w:hAnsi="宋体"/>
          <w:color w:val="auto"/>
          <w:sz w:val="44"/>
          <w:szCs w:val="20"/>
        </w:rPr>
        <w:tab/>
      </w:r>
    </w:p>
    <w:p w14:paraId="1620E48A">
      <w:pPr>
        <w:spacing w:line="480" w:lineRule="auto"/>
        <w:rPr>
          <w:rFonts w:ascii="宋体" w:hAnsi="宋体"/>
          <w:color w:val="auto"/>
          <w:sz w:val="44"/>
          <w:szCs w:val="20"/>
        </w:rPr>
      </w:pPr>
    </w:p>
    <w:p w14:paraId="06EC50BD">
      <w:pPr>
        <w:spacing w:line="480" w:lineRule="auto"/>
        <w:jc w:val="center"/>
        <w:rPr>
          <w:rFonts w:eastAsia="黑体"/>
          <w:color w:val="auto"/>
          <w:sz w:val="44"/>
        </w:rPr>
      </w:pPr>
      <w:r>
        <w:rPr>
          <w:rFonts w:hint="eastAsia" w:eastAsia="黑体"/>
          <w:color w:val="auto"/>
          <w:sz w:val="44"/>
        </w:rPr>
        <w:t>《原油特征化及其产品表征》教学大纲</w:t>
      </w:r>
    </w:p>
    <w:p w14:paraId="32E20487">
      <w:pPr>
        <w:spacing w:line="480" w:lineRule="auto"/>
        <w:jc w:val="center"/>
        <w:rPr>
          <w:rFonts w:ascii="仿宋" w:hAnsi="仿宋" w:eastAsia="仿宋"/>
          <w:color w:val="auto"/>
          <w:sz w:val="28"/>
          <w:u w:val="single"/>
        </w:rPr>
      </w:pPr>
      <w:r>
        <w:rPr>
          <w:rFonts w:hint="eastAsia" w:ascii="仿宋" w:hAnsi="仿宋" w:eastAsia="仿宋"/>
          <w:color w:val="auto"/>
          <w:sz w:val="28"/>
          <w:u w:val="single"/>
        </w:rPr>
        <w:t>（第</w:t>
      </w:r>
      <w:r>
        <w:rPr>
          <w:rFonts w:hint="eastAsia" w:ascii="仿宋" w:hAnsi="仿宋" w:eastAsia="仿宋"/>
          <w:color w:val="auto"/>
          <w:sz w:val="28"/>
          <w:u w:val="single"/>
          <w:lang w:val="en-US" w:eastAsia="zh-CN"/>
        </w:rPr>
        <w:t>1</w:t>
      </w:r>
      <w:r>
        <w:rPr>
          <w:rFonts w:hint="eastAsia" w:ascii="仿宋" w:hAnsi="仿宋" w:eastAsia="仿宋"/>
          <w:color w:val="auto"/>
          <w:sz w:val="28"/>
          <w:u w:val="single"/>
        </w:rPr>
        <w:t>版）</w:t>
      </w:r>
    </w:p>
    <w:p w14:paraId="23D48CC8">
      <w:pPr>
        <w:spacing w:line="480" w:lineRule="auto"/>
        <w:rPr>
          <w:color w:val="auto"/>
          <w:sz w:val="32"/>
          <w:szCs w:val="20"/>
        </w:rPr>
      </w:pPr>
    </w:p>
    <w:p w14:paraId="2C29910D">
      <w:pPr>
        <w:spacing w:line="480" w:lineRule="auto"/>
        <w:rPr>
          <w:color w:val="auto"/>
          <w:sz w:val="32"/>
          <w:szCs w:val="20"/>
        </w:rPr>
      </w:pPr>
    </w:p>
    <w:p w14:paraId="51AE62A2">
      <w:pPr>
        <w:spacing w:line="480" w:lineRule="auto"/>
        <w:rPr>
          <w:color w:val="auto"/>
          <w:sz w:val="32"/>
          <w:szCs w:val="20"/>
        </w:rPr>
      </w:pPr>
    </w:p>
    <w:p w14:paraId="2A0AC28F">
      <w:pPr>
        <w:spacing w:line="480" w:lineRule="auto"/>
        <w:rPr>
          <w:color w:val="auto"/>
          <w:sz w:val="32"/>
          <w:szCs w:val="20"/>
        </w:rPr>
      </w:pPr>
    </w:p>
    <w:p w14:paraId="79D6BC64">
      <w:pPr>
        <w:spacing w:line="480" w:lineRule="auto"/>
        <w:rPr>
          <w:color w:val="auto"/>
          <w:sz w:val="32"/>
          <w:szCs w:val="20"/>
        </w:rPr>
      </w:pPr>
    </w:p>
    <w:p w14:paraId="3E063D5E">
      <w:pPr>
        <w:spacing w:line="480" w:lineRule="auto"/>
        <w:rPr>
          <w:color w:val="auto"/>
          <w:sz w:val="32"/>
          <w:szCs w:val="20"/>
        </w:rPr>
      </w:pPr>
    </w:p>
    <w:p w14:paraId="106D0E80">
      <w:pPr>
        <w:spacing w:line="480" w:lineRule="auto"/>
        <w:rPr>
          <w:color w:val="auto"/>
          <w:sz w:val="32"/>
          <w:szCs w:val="20"/>
        </w:rPr>
      </w:pPr>
    </w:p>
    <w:p w14:paraId="42D205B0">
      <w:pPr>
        <w:spacing w:line="480" w:lineRule="auto"/>
        <w:rPr>
          <w:color w:val="auto"/>
          <w:sz w:val="28"/>
          <w:u w:val="single"/>
        </w:rPr>
      </w:pPr>
    </w:p>
    <w:tbl>
      <w:tblPr>
        <w:tblStyle w:val="7"/>
        <w:tblW w:w="0" w:type="auto"/>
        <w:jc w:val="center"/>
        <w:tblLayout w:type="autofit"/>
        <w:tblCellMar>
          <w:top w:w="0" w:type="dxa"/>
          <w:left w:w="108" w:type="dxa"/>
          <w:bottom w:w="0" w:type="dxa"/>
          <w:right w:w="108" w:type="dxa"/>
        </w:tblCellMar>
      </w:tblPr>
      <w:tblGrid>
        <w:gridCol w:w="2376"/>
        <w:gridCol w:w="3969"/>
      </w:tblGrid>
      <w:tr w14:paraId="249DB897">
        <w:tblPrEx>
          <w:tblCellMar>
            <w:top w:w="0" w:type="dxa"/>
            <w:left w:w="108" w:type="dxa"/>
            <w:bottom w:w="0" w:type="dxa"/>
            <w:right w:w="108" w:type="dxa"/>
          </w:tblCellMar>
        </w:tblPrEx>
        <w:trPr>
          <w:jc w:val="center"/>
        </w:trPr>
        <w:tc>
          <w:tcPr>
            <w:tcW w:w="2376" w:type="dxa"/>
            <w:shd w:val="clear" w:color="auto" w:fill="auto"/>
            <w:vAlign w:val="bottom"/>
          </w:tcPr>
          <w:p w14:paraId="0E310BD4">
            <w:pPr>
              <w:spacing w:line="480" w:lineRule="auto"/>
              <w:jc w:val="right"/>
              <w:rPr>
                <w:rFonts w:ascii="仿宋" w:hAnsi="仿宋" w:eastAsia="仿宋"/>
                <w:b/>
                <w:bCs/>
                <w:color w:val="auto"/>
                <w:sz w:val="28"/>
              </w:rPr>
            </w:pPr>
            <w:r>
              <w:rPr>
                <w:rFonts w:hint="eastAsia" w:ascii="仿宋" w:hAnsi="仿宋" w:eastAsia="仿宋"/>
                <w:b/>
                <w:bCs/>
                <w:color w:val="auto"/>
                <w:sz w:val="28"/>
              </w:rPr>
              <w:t>执笔人：</w:t>
            </w:r>
          </w:p>
        </w:tc>
        <w:tc>
          <w:tcPr>
            <w:tcW w:w="3969" w:type="dxa"/>
            <w:tcBorders>
              <w:left w:val="nil"/>
              <w:bottom w:val="single" w:color="auto" w:sz="4" w:space="0"/>
            </w:tcBorders>
            <w:shd w:val="clear" w:color="auto" w:fill="auto"/>
            <w:vAlign w:val="center"/>
          </w:tcPr>
          <w:p w14:paraId="0A9F8428">
            <w:pPr>
              <w:spacing w:line="480" w:lineRule="auto"/>
              <w:jc w:val="center"/>
              <w:rPr>
                <w:color w:val="auto"/>
                <w:sz w:val="28"/>
              </w:rPr>
            </w:pPr>
            <w:r>
              <w:rPr>
                <w:rFonts w:hint="eastAsia"/>
                <w:color w:val="auto"/>
                <w:sz w:val="28"/>
              </w:rPr>
              <w:t>许孝玲</w:t>
            </w:r>
          </w:p>
        </w:tc>
      </w:tr>
      <w:tr w14:paraId="5486BBED">
        <w:tblPrEx>
          <w:tblCellMar>
            <w:top w:w="0" w:type="dxa"/>
            <w:left w:w="108" w:type="dxa"/>
            <w:bottom w:w="0" w:type="dxa"/>
            <w:right w:w="108" w:type="dxa"/>
          </w:tblCellMar>
        </w:tblPrEx>
        <w:trPr>
          <w:jc w:val="center"/>
        </w:trPr>
        <w:tc>
          <w:tcPr>
            <w:tcW w:w="2376" w:type="dxa"/>
            <w:shd w:val="clear" w:color="auto" w:fill="auto"/>
            <w:vAlign w:val="bottom"/>
          </w:tcPr>
          <w:p w14:paraId="51BF4C53">
            <w:pPr>
              <w:spacing w:line="480" w:lineRule="auto"/>
              <w:jc w:val="right"/>
              <w:rPr>
                <w:rFonts w:ascii="仿宋" w:hAnsi="仿宋" w:eastAsia="仿宋"/>
                <w:b/>
                <w:bCs/>
                <w:color w:val="auto"/>
                <w:sz w:val="28"/>
              </w:rPr>
            </w:pPr>
            <w:r>
              <w:rPr>
                <w:rFonts w:hint="eastAsia" w:ascii="仿宋" w:hAnsi="仿宋" w:eastAsia="仿宋"/>
                <w:b/>
                <w:bCs/>
                <w:color w:val="auto"/>
                <w:sz w:val="28"/>
              </w:rPr>
              <w:t>审核人：</w:t>
            </w:r>
          </w:p>
        </w:tc>
        <w:tc>
          <w:tcPr>
            <w:tcW w:w="3969" w:type="dxa"/>
            <w:tcBorders>
              <w:top w:val="single" w:color="auto" w:sz="4" w:space="0"/>
              <w:left w:val="nil"/>
              <w:bottom w:val="single" w:color="auto" w:sz="4" w:space="0"/>
            </w:tcBorders>
            <w:shd w:val="clear" w:color="auto" w:fill="auto"/>
            <w:vAlign w:val="center"/>
          </w:tcPr>
          <w:p w14:paraId="32DFF354">
            <w:pPr>
              <w:spacing w:line="480" w:lineRule="auto"/>
              <w:jc w:val="center"/>
              <w:rPr>
                <w:rFonts w:hint="eastAsia" w:eastAsiaTheme="minorEastAsia"/>
                <w:color w:val="auto"/>
                <w:sz w:val="28"/>
                <w:lang w:eastAsia="zh-CN"/>
              </w:rPr>
            </w:pPr>
            <w:r>
              <w:rPr>
                <w:rFonts w:hint="eastAsia"/>
                <w:color w:val="auto"/>
                <w:sz w:val="28"/>
                <w:lang w:val="en-US" w:eastAsia="zh-CN"/>
              </w:rPr>
              <w:t>李楠</w:t>
            </w:r>
          </w:p>
        </w:tc>
      </w:tr>
    </w:tbl>
    <w:p w14:paraId="4FE447D7">
      <w:pPr>
        <w:jc w:val="center"/>
        <w:rPr>
          <w:rFonts w:ascii="仿宋" w:hAnsi="仿宋" w:eastAsia="仿宋"/>
          <w:color w:val="auto"/>
          <w:sz w:val="28"/>
          <w:u w:val="single"/>
        </w:rPr>
      </w:pPr>
    </w:p>
    <w:p w14:paraId="03A4EDA8">
      <w:pPr>
        <w:jc w:val="center"/>
        <w:rPr>
          <w:rFonts w:ascii="仿宋" w:hAnsi="仿宋" w:eastAsia="仿宋"/>
          <w:color w:val="auto"/>
          <w:sz w:val="28"/>
          <w:u w:val="single"/>
        </w:rPr>
      </w:pPr>
    </w:p>
    <w:p w14:paraId="693E04BE">
      <w:pPr>
        <w:jc w:val="center"/>
        <w:rPr>
          <w:rFonts w:ascii="Times New Roman" w:hAnsi="Times New Roman" w:eastAsia="方正小标宋简体" w:cs="Times New Roman"/>
          <w:color w:val="auto"/>
          <w:sz w:val="32"/>
          <w:szCs w:val="21"/>
          <w:lang w:val="en-GB"/>
        </w:rPr>
      </w:pPr>
      <w:r>
        <w:rPr>
          <w:rFonts w:ascii="仿宋" w:hAnsi="仿宋" w:eastAsia="仿宋"/>
          <w:color w:val="auto"/>
          <w:sz w:val="28"/>
          <w:u w:val="single"/>
        </w:rPr>
        <w:t>20</w:t>
      </w:r>
      <w:r>
        <w:rPr>
          <w:rFonts w:hint="eastAsia" w:ascii="仿宋" w:hAnsi="仿宋" w:eastAsia="仿宋"/>
          <w:color w:val="auto"/>
          <w:sz w:val="28"/>
          <w:u w:val="single"/>
        </w:rPr>
        <w:t>24年7月制定</w:t>
      </w:r>
      <w:r>
        <w:rPr>
          <w:rFonts w:ascii="仿宋_GB2312" w:eastAsia="仿宋_GB2312"/>
          <w:b/>
          <w:bCs/>
          <w:color w:val="auto"/>
          <w:sz w:val="28"/>
          <w:szCs w:val="28"/>
        </w:rPr>
        <w:br w:type="page"/>
      </w:r>
    </w:p>
    <w:p w14:paraId="0B48EE81">
      <w:pPr>
        <w:spacing w:before="156" w:beforeLines="50" w:after="156" w:afterLines="50" w:line="360" w:lineRule="auto"/>
        <w:ind w:firstLine="560" w:firstLineChars="200"/>
        <w:jc w:val="left"/>
        <w:rPr>
          <w:rFonts w:ascii="Times New Roman" w:hAnsi="Times New Roman" w:eastAsia="黑体" w:cs="Times New Roman"/>
          <w:color w:val="auto"/>
          <w:szCs w:val="21"/>
          <w:lang w:val="en-GB"/>
        </w:rPr>
      </w:pPr>
      <w:r>
        <w:rPr>
          <w:rFonts w:hint="eastAsia" w:eastAsia="黑体"/>
          <w:color w:val="auto"/>
          <w:sz w:val="28"/>
          <w:szCs w:val="28"/>
        </w:rPr>
        <w:t>一、</w:t>
      </w:r>
      <w:r>
        <w:rPr>
          <w:rFonts w:eastAsia="黑体"/>
          <w:color w:val="auto"/>
          <w:sz w:val="28"/>
          <w:szCs w:val="28"/>
        </w:rPr>
        <w:t>课程基本信息</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2659"/>
        <w:gridCol w:w="1483"/>
        <w:gridCol w:w="254"/>
        <w:gridCol w:w="2124"/>
      </w:tblGrid>
      <w:tr w14:paraId="244F7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07F2798C">
            <w:pPr>
              <w:jc w:val="center"/>
              <w:rPr>
                <w:rFonts w:ascii="仿宋" w:hAnsi="仿宋" w:eastAsia="仿宋"/>
                <w:b/>
                <w:color w:val="auto"/>
                <w:sz w:val="24"/>
              </w:rPr>
            </w:pPr>
            <w:r>
              <w:rPr>
                <w:rFonts w:ascii="仿宋" w:hAnsi="仿宋" w:eastAsia="仿宋"/>
                <w:b/>
                <w:color w:val="auto"/>
                <w:sz w:val="24"/>
              </w:rPr>
              <w:t>课程</w:t>
            </w:r>
            <w:r>
              <w:rPr>
                <w:rFonts w:hint="eastAsia" w:ascii="仿宋" w:hAnsi="仿宋" w:eastAsia="仿宋"/>
                <w:b/>
                <w:color w:val="auto"/>
                <w:sz w:val="24"/>
              </w:rPr>
              <w:t>代码</w:t>
            </w:r>
          </w:p>
        </w:tc>
        <w:tc>
          <w:tcPr>
            <w:tcW w:w="1560" w:type="pct"/>
            <w:vAlign w:val="center"/>
          </w:tcPr>
          <w:p w14:paraId="7C2DA98D">
            <w:pPr>
              <w:jc w:val="center"/>
              <w:rPr>
                <w:rFonts w:ascii="Times New Roman" w:hAnsi="Times New Roman" w:eastAsia="仿宋" w:cs="Times New Roman"/>
                <w:color w:val="auto"/>
                <w:sz w:val="24"/>
              </w:rPr>
            </w:pPr>
            <w:r>
              <w:rPr>
                <w:rFonts w:ascii="Times New Roman" w:hAnsi="Times New Roman" w:eastAsia="仿宋" w:cs="Times New Roman"/>
                <w:color w:val="auto"/>
                <w:sz w:val="24"/>
              </w:rPr>
              <w:t>160305T033</w:t>
            </w:r>
          </w:p>
        </w:tc>
        <w:tc>
          <w:tcPr>
            <w:tcW w:w="870" w:type="pct"/>
            <w:vAlign w:val="center"/>
          </w:tcPr>
          <w:p w14:paraId="7ECE812D">
            <w:pPr>
              <w:jc w:val="center"/>
              <w:rPr>
                <w:rFonts w:ascii="Times New Roman" w:hAnsi="Times New Roman" w:eastAsia="仿宋" w:cs="Times New Roman"/>
                <w:b/>
                <w:color w:val="auto"/>
                <w:sz w:val="24"/>
              </w:rPr>
            </w:pPr>
            <w:r>
              <w:rPr>
                <w:rFonts w:ascii="Times New Roman" w:hAnsi="Times New Roman" w:eastAsia="仿宋" w:cs="Times New Roman"/>
                <w:b/>
                <w:color w:val="auto"/>
                <w:sz w:val="24"/>
              </w:rPr>
              <w:t>开课单位</w:t>
            </w:r>
          </w:p>
        </w:tc>
        <w:tc>
          <w:tcPr>
            <w:tcW w:w="1393" w:type="pct"/>
            <w:gridSpan w:val="2"/>
            <w:vAlign w:val="center"/>
          </w:tcPr>
          <w:p w14:paraId="533E9E65">
            <w:pPr>
              <w:jc w:val="center"/>
              <w:rPr>
                <w:rFonts w:ascii="Times New Roman" w:hAnsi="Times New Roman" w:eastAsia="仿宋" w:cs="Times New Roman"/>
                <w:color w:val="auto"/>
                <w:sz w:val="24"/>
              </w:rPr>
            </w:pPr>
            <w:r>
              <w:rPr>
                <w:rFonts w:ascii="Times New Roman" w:hAnsi="Times New Roman" w:eastAsia="仿宋" w:cs="Times New Roman"/>
                <w:color w:val="auto"/>
                <w:sz w:val="24"/>
              </w:rPr>
              <w:t>工学院</w:t>
            </w:r>
          </w:p>
        </w:tc>
      </w:tr>
      <w:tr w14:paraId="36535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187D5F4D">
            <w:pPr>
              <w:jc w:val="center"/>
              <w:rPr>
                <w:rFonts w:ascii="仿宋" w:hAnsi="仿宋" w:eastAsia="仿宋"/>
                <w:b/>
                <w:color w:val="auto"/>
                <w:sz w:val="24"/>
              </w:rPr>
            </w:pPr>
            <w:r>
              <w:rPr>
                <w:rFonts w:ascii="仿宋" w:hAnsi="仿宋" w:eastAsia="仿宋"/>
                <w:b/>
                <w:color w:val="auto"/>
                <w:sz w:val="24"/>
              </w:rPr>
              <w:t>课程名称（中文）</w:t>
            </w:r>
          </w:p>
        </w:tc>
        <w:tc>
          <w:tcPr>
            <w:tcW w:w="3825" w:type="pct"/>
            <w:gridSpan w:val="4"/>
            <w:vAlign w:val="center"/>
          </w:tcPr>
          <w:p w14:paraId="1CBDBEF4">
            <w:pPr>
              <w:jc w:val="center"/>
              <w:rPr>
                <w:rFonts w:ascii="Times New Roman" w:hAnsi="Times New Roman" w:eastAsia="仿宋" w:cs="Times New Roman"/>
                <w:color w:val="auto"/>
                <w:sz w:val="24"/>
              </w:rPr>
            </w:pPr>
            <w:r>
              <w:rPr>
                <w:rFonts w:ascii="Times New Roman" w:hAnsi="Times New Roman" w:eastAsia="仿宋" w:cs="Times New Roman"/>
                <w:color w:val="auto"/>
                <w:sz w:val="24"/>
              </w:rPr>
              <w:t xml:space="preserve">原油特征化及其产品表征 </w:t>
            </w:r>
          </w:p>
        </w:tc>
      </w:tr>
      <w:tr w14:paraId="7AFB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3532485B">
            <w:pPr>
              <w:jc w:val="center"/>
              <w:rPr>
                <w:rFonts w:ascii="仿宋" w:hAnsi="仿宋" w:eastAsia="仿宋"/>
                <w:b/>
                <w:color w:val="auto"/>
                <w:sz w:val="24"/>
              </w:rPr>
            </w:pPr>
            <w:r>
              <w:rPr>
                <w:rFonts w:ascii="仿宋" w:hAnsi="仿宋" w:eastAsia="仿宋"/>
                <w:b/>
                <w:color w:val="auto"/>
                <w:sz w:val="24"/>
              </w:rPr>
              <w:t>课程名称（英文）</w:t>
            </w:r>
          </w:p>
        </w:tc>
        <w:tc>
          <w:tcPr>
            <w:tcW w:w="3825" w:type="pct"/>
            <w:gridSpan w:val="4"/>
            <w:vAlign w:val="center"/>
          </w:tcPr>
          <w:p w14:paraId="650E91CA">
            <w:pPr>
              <w:jc w:val="center"/>
              <w:rPr>
                <w:rFonts w:ascii="Times New Roman" w:hAnsi="Times New Roman" w:eastAsia="仿宋" w:cs="Times New Roman"/>
                <w:color w:val="auto"/>
                <w:sz w:val="24"/>
              </w:rPr>
            </w:pPr>
            <w:r>
              <w:rPr>
                <w:rFonts w:ascii="Times New Roman" w:hAnsi="Times New Roman" w:eastAsia="仿宋" w:cs="Times New Roman"/>
                <w:color w:val="auto"/>
                <w:sz w:val="24"/>
              </w:rPr>
              <w:t>Characterization of Petroleum and Petroleum Products</w:t>
            </w:r>
          </w:p>
        </w:tc>
      </w:tr>
      <w:tr w14:paraId="0B30B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2B885958">
            <w:pPr>
              <w:jc w:val="center"/>
              <w:rPr>
                <w:rFonts w:ascii="仿宋" w:hAnsi="仿宋" w:eastAsia="仿宋"/>
                <w:b/>
                <w:color w:val="auto"/>
                <w:sz w:val="24"/>
              </w:rPr>
            </w:pPr>
            <w:r>
              <w:rPr>
                <w:rFonts w:hint="eastAsia" w:ascii="仿宋" w:hAnsi="仿宋" w:eastAsia="仿宋"/>
                <w:b/>
                <w:color w:val="auto"/>
                <w:sz w:val="24"/>
              </w:rPr>
              <w:t>课程类别</w:t>
            </w:r>
          </w:p>
        </w:tc>
        <w:tc>
          <w:tcPr>
            <w:tcW w:w="3825" w:type="pct"/>
            <w:gridSpan w:val="4"/>
            <w:vAlign w:val="center"/>
          </w:tcPr>
          <w:p w14:paraId="28D8408A">
            <w:pPr>
              <w:jc w:val="left"/>
              <w:rPr>
                <w:rFonts w:ascii="仿宋" w:hAnsi="仿宋" w:eastAsia="仿宋"/>
                <w:color w:val="auto"/>
                <w:sz w:val="24"/>
              </w:rPr>
            </w:pPr>
            <w:r>
              <w:rPr>
                <w:rFonts w:hint="eastAsia" w:ascii="仿宋" w:hAnsi="仿宋" w:eastAsia="仿宋"/>
                <w:color w:val="auto"/>
                <w:sz w:val="24"/>
              </w:rPr>
              <w:t>专业课：化学工程与工艺专业必修课（专业主干课）</w:t>
            </w:r>
          </w:p>
        </w:tc>
      </w:tr>
      <w:tr w14:paraId="3AAB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6607B492">
            <w:pPr>
              <w:jc w:val="center"/>
              <w:rPr>
                <w:rFonts w:ascii="仿宋" w:hAnsi="仿宋" w:eastAsia="仿宋"/>
                <w:b/>
                <w:color w:val="auto"/>
                <w:sz w:val="24"/>
              </w:rPr>
            </w:pPr>
            <w:r>
              <w:rPr>
                <w:rFonts w:hint="eastAsia" w:ascii="仿宋" w:hAnsi="仿宋" w:eastAsia="仿宋"/>
                <w:b/>
                <w:color w:val="auto"/>
                <w:sz w:val="24"/>
              </w:rPr>
              <w:t>适用</w:t>
            </w:r>
            <w:r>
              <w:rPr>
                <w:rFonts w:ascii="仿宋" w:hAnsi="仿宋" w:eastAsia="仿宋"/>
                <w:b/>
                <w:color w:val="auto"/>
                <w:sz w:val="24"/>
              </w:rPr>
              <w:t>专业</w:t>
            </w:r>
          </w:p>
        </w:tc>
        <w:tc>
          <w:tcPr>
            <w:tcW w:w="3825" w:type="pct"/>
            <w:gridSpan w:val="4"/>
            <w:vAlign w:val="center"/>
          </w:tcPr>
          <w:p w14:paraId="50A73BBA">
            <w:pPr>
              <w:jc w:val="left"/>
              <w:rPr>
                <w:rFonts w:ascii="仿宋" w:hAnsi="仿宋" w:eastAsia="仿宋"/>
                <w:color w:val="auto"/>
                <w:sz w:val="24"/>
              </w:rPr>
            </w:pPr>
            <w:r>
              <w:rPr>
                <w:rFonts w:hint="eastAsia" w:ascii="仿宋" w:hAnsi="仿宋" w:eastAsia="仿宋"/>
                <w:color w:val="auto"/>
                <w:sz w:val="24"/>
              </w:rPr>
              <w:t>化学工程与工艺专业</w:t>
            </w:r>
          </w:p>
        </w:tc>
      </w:tr>
      <w:tr w14:paraId="4655D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519C2870">
            <w:pPr>
              <w:jc w:val="center"/>
              <w:rPr>
                <w:rFonts w:ascii="仿宋" w:hAnsi="仿宋" w:eastAsia="仿宋"/>
                <w:b/>
                <w:color w:val="auto"/>
                <w:sz w:val="24"/>
              </w:rPr>
            </w:pPr>
            <w:r>
              <w:rPr>
                <w:rFonts w:hint="eastAsia" w:ascii="仿宋" w:hAnsi="仿宋" w:eastAsia="仿宋"/>
                <w:b/>
                <w:color w:val="auto"/>
                <w:sz w:val="24"/>
              </w:rPr>
              <w:t>总</w:t>
            </w:r>
            <w:r>
              <w:rPr>
                <w:rFonts w:ascii="仿宋" w:hAnsi="仿宋" w:eastAsia="仿宋"/>
                <w:b/>
                <w:color w:val="auto"/>
                <w:sz w:val="24"/>
              </w:rPr>
              <w:t>学分</w:t>
            </w:r>
          </w:p>
        </w:tc>
        <w:tc>
          <w:tcPr>
            <w:tcW w:w="1560" w:type="pct"/>
            <w:vAlign w:val="center"/>
          </w:tcPr>
          <w:p w14:paraId="6EC83C0F">
            <w:pPr>
              <w:jc w:val="center"/>
              <w:rPr>
                <w:rFonts w:ascii="仿宋" w:hAnsi="仿宋" w:eastAsia="仿宋"/>
                <w:color w:val="auto"/>
                <w:sz w:val="24"/>
              </w:rPr>
            </w:pPr>
            <w:r>
              <w:rPr>
                <w:rFonts w:hint="eastAsia" w:ascii="仿宋" w:hAnsi="仿宋" w:eastAsia="仿宋"/>
                <w:color w:val="auto"/>
                <w:sz w:val="24"/>
              </w:rPr>
              <w:t>2</w:t>
            </w:r>
          </w:p>
        </w:tc>
        <w:tc>
          <w:tcPr>
            <w:tcW w:w="1019" w:type="pct"/>
            <w:gridSpan w:val="2"/>
            <w:vAlign w:val="center"/>
          </w:tcPr>
          <w:p w14:paraId="12B4F075">
            <w:pPr>
              <w:jc w:val="center"/>
              <w:rPr>
                <w:rFonts w:ascii="仿宋" w:hAnsi="仿宋" w:eastAsia="仿宋"/>
                <w:b/>
                <w:color w:val="auto"/>
                <w:sz w:val="24"/>
              </w:rPr>
            </w:pPr>
            <w:r>
              <w:rPr>
                <w:rFonts w:hint="eastAsia" w:ascii="仿宋" w:hAnsi="仿宋" w:eastAsia="仿宋"/>
                <w:b/>
                <w:color w:val="auto"/>
                <w:sz w:val="24"/>
              </w:rPr>
              <w:t>总</w:t>
            </w:r>
            <w:r>
              <w:rPr>
                <w:rFonts w:ascii="仿宋" w:hAnsi="仿宋" w:eastAsia="仿宋"/>
                <w:b/>
                <w:color w:val="auto"/>
                <w:sz w:val="24"/>
              </w:rPr>
              <w:t>学时</w:t>
            </w:r>
          </w:p>
        </w:tc>
        <w:tc>
          <w:tcPr>
            <w:tcW w:w="1245" w:type="pct"/>
            <w:vAlign w:val="center"/>
          </w:tcPr>
          <w:p w14:paraId="42796649">
            <w:pPr>
              <w:jc w:val="center"/>
              <w:rPr>
                <w:rFonts w:ascii="仿宋" w:hAnsi="仿宋" w:eastAsia="仿宋"/>
                <w:color w:val="auto"/>
                <w:sz w:val="24"/>
              </w:rPr>
            </w:pPr>
            <w:r>
              <w:rPr>
                <w:rFonts w:hint="eastAsia" w:ascii="仿宋" w:hAnsi="仿宋" w:eastAsia="仿宋"/>
                <w:color w:val="auto"/>
                <w:sz w:val="24"/>
              </w:rPr>
              <w:t>32</w:t>
            </w:r>
          </w:p>
        </w:tc>
      </w:tr>
      <w:tr w14:paraId="64A87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66403441">
            <w:pPr>
              <w:jc w:val="center"/>
              <w:rPr>
                <w:rFonts w:ascii="仿宋" w:hAnsi="仿宋" w:eastAsia="仿宋"/>
                <w:b/>
                <w:color w:val="auto"/>
                <w:sz w:val="24"/>
              </w:rPr>
            </w:pPr>
            <w:r>
              <w:rPr>
                <w:rFonts w:ascii="仿宋" w:hAnsi="仿宋" w:eastAsia="仿宋"/>
                <w:b/>
                <w:color w:val="auto"/>
                <w:sz w:val="24"/>
              </w:rPr>
              <w:t>理论学时</w:t>
            </w:r>
          </w:p>
        </w:tc>
        <w:tc>
          <w:tcPr>
            <w:tcW w:w="1560" w:type="pct"/>
            <w:vAlign w:val="center"/>
          </w:tcPr>
          <w:p w14:paraId="4821A018">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32</w:t>
            </w:r>
          </w:p>
        </w:tc>
        <w:tc>
          <w:tcPr>
            <w:tcW w:w="1019" w:type="pct"/>
            <w:gridSpan w:val="2"/>
            <w:vAlign w:val="center"/>
          </w:tcPr>
          <w:p w14:paraId="4D078392">
            <w:pPr>
              <w:jc w:val="center"/>
              <w:rPr>
                <w:rFonts w:ascii="仿宋" w:hAnsi="仿宋" w:eastAsia="仿宋"/>
                <w:b/>
                <w:color w:val="auto"/>
                <w:sz w:val="24"/>
              </w:rPr>
            </w:pPr>
            <w:r>
              <w:rPr>
                <w:rFonts w:ascii="仿宋" w:hAnsi="仿宋" w:eastAsia="仿宋"/>
                <w:b/>
                <w:color w:val="auto"/>
                <w:sz w:val="24"/>
              </w:rPr>
              <w:t>实验学时</w:t>
            </w:r>
          </w:p>
        </w:tc>
        <w:tc>
          <w:tcPr>
            <w:tcW w:w="1245" w:type="pct"/>
            <w:vAlign w:val="center"/>
          </w:tcPr>
          <w:p w14:paraId="344F637D">
            <w:pPr>
              <w:jc w:val="center"/>
              <w:rPr>
                <w:rFonts w:ascii="仿宋" w:hAnsi="仿宋" w:eastAsia="仿宋"/>
                <w:color w:val="auto"/>
                <w:sz w:val="24"/>
              </w:rPr>
            </w:pPr>
            <w:r>
              <w:rPr>
                <w:rFonts w:hint="eastAsia" w:ascii="仿宋" w:hAnsi="仿宋" w:eastAsia="仿宋"/>
                <w:color w:val="auto"/>
                <w:sz w:val="24"/>
              </w:rPr>
              <w:t>0</w:t>
            </w:r>
          </w:p>
        </w:tc>
      </w:tr>
      <w:tr w14:paraId="0C0A3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2E1127D7">
            <w:pPr>
              <w:jc w:val="center"/>
              <w:rPr>
                <w:rFonts w:ascii="仿宋" w:hAnsi="仿宋" w:eastAsia="仿宋"/>
                <w:b/>
                <w:color w:val="auto"/>
                <w:sz w:val="24"/>
              </w:rPr>
            </w:pPr>
            <w:r>
              <w:rPr>
                <w:rFonts w:hint="eastAsia" w:ascii="仿宋" w:hAnsi="仿宋" w:eastAsia="仿宋"/>
                <w:b/>
                <w:color w:val="auto"/>
                <w:sz w:val="24"/>
              </w:rPr>
              <w:t>上机学时</w:t>
            </w:r>
          </w:p>
        </w:tc>
        <w:tc>
          <w:tcPr>
            <w:tcW w:w="1560" w:type="pct"/>
            <w:vAlign w:val="center"/>
          </w:tcPr>
          <w:p w14:paraId="63323CA5">
            <w:pPr>
              <w:jc w:val="center"/>
              <w:rPr>
                <w:rFonts w:hint="eastAsia" w:ascii="仿宋" w:hAnsi="仿宋" w:eastAsia="仿宋"/>
                <w:color w:val="auto"/>
                <w:sz w:val="24"/>
                <w:lang w:eastAsia="zh-CN"/>
              </w:rPr>
            </w:pPr>
            <w:r>
              <w:rPr>
                <w:rFonts w:hint="eastAsia" w:ascii="仿宋" w:hAnsi="仿宋" w:eastAsia="仿宋"/>
                <w:color w:val="auto"/>
                <w:sz w:val="24"/>
                <w:lang w:val="en-US" w:eastAsia="zh-CN"/>
              </w:rPr>
              <w:t>0</w:t>
            </w:r>
          </w:p>
        </w:tc>
        <w:tc>
          <w:tcPr>
            <w:tcW w:w="1019" w:type="pct"/>
            <w:gridSpan w:val="2"/>
            <w:vAlign w:val="center"/>
          </w:tcPr>
          <w:p w14:paraId="194D621B">
            <w:pPr>
              <w:jc w:val="center"/>
              <w:rPr>
                <w:rFonts w:ascii="仿宋" w:hAnsi="仿宋" w:eastAsia="仿宋"/>
                <w:b/>
                <w:color w:val="auto"/>
                <w:sz w:val="24"/>
              </w:rPr>
            </w:pPr>
            <w:r>
              <w:rPr>
                <w:rFonts w:hint="eastAsia" w:ascii="仿宋" w:hAnsi="仿宋" w:eastAsia="仿宋"/>
                <w:b/>
                <w:color w:val="auto"/>
                <w:sz w:val="24"/>
              </w:rPr>
              <w:t>其他实践学时</w:t>
            </w:r>
          </w:p>
        </w:tc>
        <w:tc>
          <w:tcPr>
            <w:tcW w:w="1245" w:type="pct"/>
            <w:vAlign w:val="center"/>
          </w:tcPr>
          <w:p w14:paraId="48B96952">
            <w:pPr>
              <w:jc w:val="center"/>
              <w:rPr>
                <w:rFonts w:ascii="仿宋" w:hAnsi="仿宋" w:eastAsia="仿宋"/>
                <w:color w:val="auto"/>
                <w:sz w:val="24"/>
              </w:rPr>
            </w:pPr>
            <w:r>
              <w:rPr>
                <w:rFonts w:hint="eastAsia" w:ascii="仿宋" w:hAnsi="仿宋" w:eastAsia="仿宋"/>
                <w:color w:val="auto"/>
                <w:sz w:val="24"/>
              </w:rPr>
              <w:t>0</w:t>
            </w:r>
          </w:p>
        </w:tc>
      </w:tr>
      <w:tr w14:paraId="42A6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74" w:type="pct"/>
            <w:vAlign w:val="center"/>
          </w:tcPr>
          <w:p w14:paraId="7F9A10CA">
            <w:pPr>
              <w:jc w:val="center"/>
              <w:rPr>
                <w:rFonts w:ascii="仿宋" w:hAnsi="仿宋" w:eastAsia="仿宋"/>
                <w:b/>
                <w:color w:val="auto"/>
                <w:sz w:val="24"/>
              </w:rPr>
            </w:pPr>
            <w:r>
              <w:rPr>
                <w:rFonts w:ascii="仿宋" w:hAnsi="仿宋" w:eastAsia="仿宋"/>
                <w:b/>
                <w:color w:val="auto"/>
                <w:sz w:val="24"/>
              </w:rPr>
              <w:t>先修课程</w:t>
            </w:r>
          </w:p>
        </w:tc>
        <w:tc>
          <w:tcPr>
            <w:tcW w:w="3825" w:type="pct"/>
            <w:gridSpan w:val="4"/>
            <w:vAlign w:val="center"/>
          </w:tcPr>
          <w:p w14:paraId="54830D6B">
            <w:pPr>
              <w:jc w:val="center"/>
              <w:rPr>
                <w:rFonts w:ascii="仿宋" w:hAnsi="仿宋" w:eastAsia="仿宋"/>
                <w:color w:val="auto"/>
                <w:sz w:val="24"/>
              </w:rPr>
            </w:pPr>
            <w:r>
              <w:rPr>
                <w:rFonts w:hint="eastAsia" w:ascii="仿宋" w:hAnsi="仿宋" w:eastAsia="仿宋"/>
                <w:color w:val="auto"/>
                <w:sz w:val="24"/>
              </w:rPr>
              <w:t>有机化学、物理化学、化工原理</w:t>
            </w:r>
          </w:p>
        </w:tc>
      </w:tr>
    </w:tbl>
    <w:p w14:paraId="0CA4E74F">
      <w:pPr>
        <w:rPr>
          <w:rFonts w:ascii="Times New Roman" w:hAnsi="Times New Roman" w:eastAsia="黑体" w:cs="Times New Roman"/>
          <w:color w:val="auto"/>
          <w:szCs w:val="21"/>
          <w:lang w:val="en-GB"/>
        </w:rPr>
      </w:pPr>
    </w:p>
    <w:p w14:paraId="2D4A8536">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二、</w:t>
      </w:r>
      <w:r>
        <w:rPr>
          <w:rFonts w:eastAsia="黑体"/>
          <w:color w:val="auto"/>
          <w:sz w:val="28"/>
          <w:szCs w:val="28"/>
        </w:rPr>
        <w:t>课程简介</w:t>
      </w:r>
    </w:p>
    <w:p w14:paraId="1EE53559">
      <w:pPr>
        <w:spacing w:line="360" w:lineRule="auto"/>
        <w:ind w:firstLine="480" w:firstLineChars="200"/>
        <w:rPr>
          <w:rFonts w:ascii="Times New Roman" w:hAnsi="Times New Roman" w:eastAsia="仿宋" w:cs="Times New Roman"/>
          <w:color w:val="auto"/>
          <w:sz w:val="24"/>
          <w:szCs w:val="24"/>
          <w:lang w:val="en-GB"/>
        </w:rPr>
      </w:pPr>
      <w:r>
        <w:rPr>
          <w:rFonts w:ascii="Times New Roman" w:hAnsi="Times New Roman" w:eastAsia="仿宋" w:cs="Times New Roman"/>
          <w:color w:val="auto"/>
          <w:sz w:val="24"/>
          <w:szCs w:val="24"/>
          <w:lang w:val="en-GB"/>
        </w:rPr>
        <w:t>原油特征化及产品表征是化学工程与工艺专业的一门必修课。该课程具有鲜明的石油特色，是学生从事石油炼制相关生产、设计、科研等工作必不可少的专业课程，也是我校化学工程与工艺专业学生与其他著名高校同专业学生竞争的优势所在。课程总目标是通过理论授课，让学生掌握石油及其产品的化学组成、性质及其研究方法，掌握石油产品性质、组成与其使用性能的关系，以及加工方案的制定依据，熟悉纯烃及石油馏分的性质表征方法，使学生基本具备从事石油加工的生产、设计、科研及管理所需的专业基础知识，培养和提高学生运用所学知识分析、解决石油加工复杂工程问题的能力，同时培养学生安全环保的意识</w:t>
      </w:r>
      <w:r>
        <w:rPr>
          <w:rFonts w:hint="eastAsia" w:ascii="Times New Roman" w:hAnsi="Times New Roman" w:eastAsia="仿宋" w:cs="Times New Roman"/>
          <w:color w:val="auto"/>
          <w:sz w:val="24"/>
          <w:szCs w:val="24"/>
        </w:rPr>
        <w:t>以及石油加工行业的工匠精神</w:t>
      </w:r>
      <w:r>
        <w:rPr>
          <w:rFonts w:ascii="Times New Roman" w:hAnsi="Times New Roman" w:eastAsia="仿宋" w:cs="Times New Roman"/>
          <w:color w:val="auto"/>
          <w:sz w:val="24"/>
          <w:szCs w:val="24"/>
          <w:lang w:val="en-GB"/>
        </w:rPr>
        <w:t>。课程主要讲授石油及油品性质、油品质量指标、纯烃及石油馏分的性质表征</w:t>
      </w:r>
      <w:r>
        <w:rPr>
          <w:rFonts w:hint="eastAsia" w:ascii="Times New Roman" w:hAnsi="Times New Roman" w:eastAsia="仿宋" w:cs="Times New Roman"/>
          <w:color w:val="auto"/>
          <w:sz w:val="24"/>
          <w:szCs w:val="24"/>
          <w:lang w:val="en-GB" w:eastAsia="zh-CN"/>
        </w:rPr>
        <w:t>、</w:t>
      </w:r>
      <w:r>
        <w:rPr>
          <w:rFonts w:hint="eastAsia" w:ascii="Times New Roman" w:hAnsi="Times New Roman" w:eastAsia="仿宋" w:cs="Times New Roman"/>
          <w:color w:val="auto"/>
          <w:sz w:val="24"/>
          <w:szCs w:val="24"/>
          <w:lang w:val="en-GB"/>
        </w:rPr>
        <w:t>原油评价及加工方案流程</w:t>
      </w:r>
      <w:r>
        <w:rPr>
          <w:rFonts w:hint="eastAsia" w:ascii="Times New Roman" w:hAnsi="Times New Roman" w:eastAsia="仿宋" w:cs="Times New Roman"/>
          <w:color w:val="auto"/>
          <w:sz w:val="24"/>
          <w:szCs w:val="24"/>
          <w:lang w:val="en-US" w:eastAsia="zh-CN"/>
        </w:rPr>
        <w:t>等内容</w:t>
      </w:r>
      <w:r>
        <w:rPr>
          <w:rFonts w:ascii="Times New Roman" w:hAnsi="Times New Roman" w:eastAsia="仿宋" w:cs="Times New Roman"/>
          <w:color w:val="auto"/>
          <w:sz w:val="24"/>
          <w:szCs w:val="24"/>
          <w:lang w:val="en-GB"/>
        </w:rPr>
        <w:t>。</w:t>
      </w:r>
    </w:p>
    <w:p w14:paraId="5A3C4ACE">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三、</w:t>
      </w:r>
      <w:r>
        <w:rPr>
          <w:rFonts w:eastAsia="黑体"/>
          <w:color w:val="auto"/>
          <w:sz w:val="28"/>
          <w:szCs w:val="28"/>
        </w:rPr>
        <w:t>课程目标</w:t>
      </w:r>
      <w:r>
        <w:rPr>
          <w:rFonts w:hint="eastAsia" w:eastAsia="黑体"/>
          <w:color w:val="auto"/>
          <w:sz w:val="28"/>
          <w:szCs w:val="28"/>
        </w:rPr>
        <w:t>及对毕业要求的支撑</w:t>
      </w:r>
    </w:p>
    <w:p w14:paraId="4A098676">
      <w:pPr>
        <w:snapToGrid w:val="0"/>
        <w:spacing w:line="360" w:lineRule="auto"/>
        <w:ind w:firstLine="482" w:firstLineChars="200"/>
        <w:rPr>
          <w:rFonts w:ascii="仿宋" w:hAnsi="仿宋" w:eastAsia="仿宋"/>
          <w:b/>
          <w:bCs/>
          <w:color w:val="auto"/>
          <w:sz w:val="24"/>
        </w:rPr>
      </w:pPr>
      <w:r>
        <w:rPr>
          <w:rFonts w:hint="eastAsia" w:ascii="仿宋" w:hAnsi="仿宋" w:eastAsia="仿宋"/>
          <w:b/>
          <w:bCs/>
          <w:color w:val="auto"/>
          <w:sz w:val="24"/>
        </w:rPr>
        <w:t>（一）课程目标</w:t>
      </w:r>
    </w:p>
    <w:p w14:paraId="195BAB00">
      <w:pPr>
        <w:spacing w:line="360" w:lineRule="auto"/>
        <w:ind w:firstLine="482" w:firstLineChars="200"/>
        <w:rPr>
          <w:rFonts w:hint="eastAsia" w:ascii="仿宋" w:hAnsi="仿宋" w:eastAsia="仿宋"/>
          <w:color w:val="auto"/>
          <w:sz w:val="24"/>
        </w:rPr>
      </w:pPr>
      <w:r>
        <w:rPr>
          <w:rFonts w:hint="eastAsia" w:ascii="仿宋" w:hAnsi="仿宋" w:eastAsia="仿宋"/>
          <w:b/>
          <w:color w:val="auto"/>
          <w:sz w:val="24"/>
        </w:rPr>
        <w:t>课程目标</w:t>
      </w:r>
      <w:r>
        <w:rPr>
          <w:rFonts w:ascii="仿宋" w:hAnsi="仿宋" w:eastAsia="仿宋"/>
          <w:b/>
          <w:color w:val="auto"/>
          <w:sz w:val="24"/>
        </w:rPr>
        <w:t>1</w:t>
      </w:r>
      <w:r>
        <w:rPr>
          <w:rFonts w:hint="eastAsia" w:ascii="仿宋" w:hAnsi="仿宋" w:eastAsia="仿宋"/>
          <w:b/>
          <w:color w:val="auto"/>
          <w:sz w:val="24"/>
        </w:rPr>
        <w:t>：</w:t>
      </w:r>
      <w:r>
        <w:rPr>
          <w:rFonts w:hint="eastAsia" w:ascii="仿宋" w:hAnsi="仿宋" w:eastAsia="仿宋"/>
          <w:color w:val="auto"/>
          <w:sz w:val="24"/>
        </w:rPr>
        <w:t xml:space="preserve"> 掌握石油及其产品的化学组成与物理化学性质、</w:t>
      </w:r>
      <w:r>
        <w:rPr>
          <w:rFonts w:ascii="Times New Roman" w:hAnsi="Times New Roman" w:eastAsia="仿宋" w:cs="Times New Roman"/>
          <w:color w:val="auto"/>
          <w:sz w:val="24"/>
          <w:szCs w:val="24"/>
          <w:lang w:val="en-GB"/>
        </w:rPr>
        <w:t>纯烃及石油馏分的性质表征方法</w:t>
      </w:r>
      <w:r>
        <w:rPr>
          <w:rFonts w:hint="eastAsia" w:ascii="Times New Roman" w:hAnsi="Times New Roman" w:eastAsia="仿宋" w:cs="Times New Roman"/>
          <w:color w:val="auto"/>
          <w:sz w:val="24"/>
          <w:szCs w:val="24"/>
          <w:lang w:val="en-GB" w:eastAsia="zh-CN"/>
        </w:rPr>
        <w:t>、</w:t>
      </w:r>
      <w:r>
        <w:rPr>
          <w:rFonts w:hint="eastAsia" w:ascii="仿宋" w:hAnsi="仿宋" w:eastAsia="仿宋"/>
          <w:color w:val="auto"/>
          <w:sz w:val="24"/>
        </w:rPr>
        <w:t>石油产品的使用性能与主要质量标准、原油分类及其加工方案、石油蒸馏等基础知识。</w:t>
      </w:r>
    </w:p>
    <w:p w14:paraId="3CEC158E">
      <w:pPr>
        <w:spacing w:line="360" w:lineRule="auto"/>
        <w:ind w:firstLine="482" w:firstLineChars="200"/>
        <w:rPr>
          <w:rFonts w:hint="eastAsia" w:ascii="仿宋" w:hAnsi="仿宋" w:eastAsia="仿宋"/>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2</w:t>
      </w:r>
      <w:r>
        <w:rPr>
          <w:rFonts w:hint="eastAsia" w:ascii="仿宋" w:hAnsi="仿宋" w:eastAsia="仿宋"/>
          <w:b/>
          <w:color w:val="auto"/>
          <w:sz w:val="24"/>
        </w:rPr>
        <w:t>：</w:t>
      </w:r>
      <w:r>
        <w:rPr>
          <w:rFonts w:hint="eastAsia" w:ascii="仿宋" w:hAnsi="仿宋" w:eastAsia="仿宋"/>
          <w:color w:val="auto"/>
          <w:sz w:val="24"/>
        </w:rPr>
        <w:t xml:space="preserve"> 能够针对石油与油品在加工和使用过程中的问题，提出解决方案并进行综合讨论。（知识运用能力）</w:t>
      </w:r>
    </w:p>
    <w:p w14:paraId="245BDA0E">
      <w:pPr>
        <w:spacing w:line="360" w:lineRule="auto"/>
        <w:ind w:firstLine="482" w:firstLineChars="200"/>
        <w:rPr>
          <w:rFonts w:hint="eastAsia" w:ascii="仿宋" w:hAnsi="仿宋" w:eastAsia="仿宋"/>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3</w:t>
      </w:r>
      <w:r>
        <w:rPr>
          <w:rFonts w:hint="eastAsia" w:ascii="仿宋" w:hAnsi="仿宋" w:eastAsia="仿宋"/>
          <w:b/>
          <w:color w:val="auto"/>
          <w:sz w:val="24"/>
        </w:rPr>
        <w:t>：</w:t>
      </w:r>
      <w:r>
        <w:rPr>
          <w:rFonts w:ascii="Times New Roman" w:hAnsi="Times New Roman" w:eastAsia="仿宋" w:cs="Times New Roman"/>
          <w:color w:val="auto"/>
          <w:sz w:val="24"/>
          <w:szCs w:val="24"/>
          <w:lang w:val="en-GB"/>
        </w:rPr>
        <w:t>理解对于复杂混合物石油体系的</w:t>
      </w:r>
      <w:r>
        <w:rPr>
          <w:rFonts w:hint="eastAsia" w:ascii="Times New Roman" w:hAnsi="Times New Roman" w:eastAsia="仿宋" w:cs="Times New Roman"/>
          <w:color w:val="auto"/>
          <w:sz w:val="24"/>
          <w:szCs w:val="24"/>
          <w:lang w:val="en-US" w:eastAsia="zh-CN"/>
        </w:rPr>
        <w:t>表征</w:t>
      </w:r>
      <w:r>
        <w:rPr>
          <w:rFonts w:ascii="Times New Roman" w:hAnsi="Times New Roman" w:eastAsia="仿宋" w:cs="Times New Roman"/>
          <w:color w:val="auto"/>
          <w:sz w:val="24"/>
          <w:szCs w:val="24"/>
          <w:lang w:val="en-GB"/>
        </w:rPr>
        <w:t>方法的起源与发展</w:t>
      </w:r>
      <w:r>
        <w:rPr>
          <w:rFonts w:hint="eastAsia" w:ascii="Times New Roman" w:hAnsi="Times New Roman" w:eastAsia="仿宋" w:cs="Times New Roman"/>
          <w:color w:val="auto"/>
          <w:sz w:val="24"/>
          <w:szCs w:val="24"/>
          <w:lang w:val="en-GB" w:eastAsia="zh-CN"/>
        </w:rPr>
        <w:t>，</w:t>
      </w:r>
      <w:r>
        <w:rPr>
          <w:rFonts w:hint="eastAsia" w:ascii="仿宋" w:hAnsi="仿宋" w:eastAsia="仿宋"/>
          <w:color w:val="auto"/>
          <w:sz w:val="24"/>
        </w:rPr>
        <w:t>结合现有的性质表征</w:t>
      </w:r>
      <w:r>
        <w:rPr>
          <w:rFonts w:hint="eastAsia" w:ascii="仿宋" w:hAnsi="仿宋" w:eastAsia="仿宋"/>
          <w:color w:val="auto"/>
          <w:sz w:val="24"/>
          <w:lang w:val="en-US" w:eastAsia="zh-CN"/>
        </w:rPr>
        <w:t>方法</w:t>
      </w:r>
      <w:r>
        <w:rPr>
          <w:rFonts w:hint="eastAsia" w:ascii="仿宋" w:hAnsi="仿宋" w:eastAsia="仿宋"/>
          <w:color w:val="auto"/>
          <w:sz w:val="24"/>
        </w:rPr>
        <w:t>，分析现有表征方法的优缺点，</w:t>
      </w:r>
      <w:r>
        <w:rPr>
          <w:rFonts w:hint="eastAsia" w:ascii="仿宋" w:hAnsi="仿宋" w:eastAsia="仿宋"/>
          <w:color w:val="auto"/>
          <w:sz w:val="24"/>
          <w:lang w:val="en-US" w:eastAsia="zh-CN"/>
        </w:rPr>
        <w:t>判断分析</w:t>
      </w:r>
      <w:r>
        <w:rPr>
          <w:rFonts w:hint="eastAsia" w:ascii="仿宋" w:hAnsi="仿宋" w:eastAsia="仿宋"/>
          <w:color w:val="auto"/>
          <w:sz w:val="24"/>
        </w:rPr>
        <w:t>其局限性</w:t>
      </w:r>
      <w:r>
        <w:rPr>
          <w:rFonts w:hint="eastAsia" w:ascii="仿宋" w:hAnsi="仿宋" w:eastAsia="仿宋"/>
          <w:color w:val="auto"/>
          <w:sz w:val="24"/>
          <w:lang w:val="en-US" w:eastAsia="zh-CN"/>
        </w:rPr>
        <w:t>和未来发展</w:t>
      </w:r>
      <w:r>
        <w:rPr>
          <w:rFonts w:hint="eastAsia" w:ascii="仿宋" w:hAnsi="仿宋" w:eastAsia="仿宋"/>
          <w:color w:val="auto"/>
          <w:sz w:val="24"/>
        </w:rPr>
        <w:t>。能够根据石油与油品的物性和油品的质量标准，表达油品的使用性能，判断和分析油品使用过程中存在的问题。（问题分析能力）</w:t>
      </w:r>
    </w:p>
    <w:p w14:paraId="7A50DF35">
      <w:pPr>
        <w:spacing w:line="360" w:lineRule="auto"/>
        <w:ind w:firstLine="482" w:firstLineChars="200"/>
        <w:rPr>
          <w:rFonts w:hint="eastAsia" w:ascii="仿宋" w:hAnsi="仿宋" w:eastAsia="仿宋"/>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4</w:t>
      </w:r>
      <w:r>
        <w:rPr>
          <w:rFonts w:hint="eastAsia" w:ascii="仿宋" w:hAnsi="仿宋" w:eastAsia="仿宋"/>
          <w:b/>
          <w:color w:val="auto"/>
          <w:sz w:val="24"/>
        </w:rPr>
        <w:t>：</w:t>
      </w:r>
      <w:r>
        <w:rPr>
          <w:rFonts w:hint="eastAsia" w:ascii="仿宋" w:hAnsi="仿宋" w:eastAsia="仿宋"/>
          <w:color w:val="auto"/>
          <w:sz w:val="24"/>
        </w:rPr>
        <w:t xml:space="preserve"> 能够根据原油特性、产品需求和各加工过程的特点，设计原油加工方案，并分析加工方案实施过程中的影响因素。（设计/开发解决方案的能力）</w:t>
      </w:r>
    </w:p>
    <w:p w14:paraId="5C52FC8B">
      <w:pPr>
        <w:spacing w:line="360" w:lineRule="auto"/>
        <w:ind w:firstLine="482" w:firstLineChars="200"/>
        <w:rPr>
          <w:rFonts w:hint="eastAsia" w:ascii="仿宋" w:hAnsi="仿宋" w:eastAsia="仿宋"/>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5</w:t>
      </w:r>
      <w:r>
        <w:rPr>
          <w:rFonts w:hint="eastAsia" w:ascii="仿宋" w:hAnsi="仿宋" w:eastAsia="仿宋"/>
          <w:b/>
          <w:color w:val="auto"/>
          <w:sz w:val="24"/>
        </w:rPr>
        <w:t>：</w:t>
      </w:r>
      <w:r>
        <w:rPr>
          <w:rFonts w:hint="eastAsia" w:ascii="仿宋" w:hAnsi="仿宋" w:eastAsia="仿宋"/>
          <w:color w:val="auto"/>
          <w:sz w:val="24"/>
        </w:rPr>
        <w:t xml:space="preserve"> 能够针对石油蒸馏过程的原理和方法，依据产品分离的具体要求，分析复杂工程问题的解决方案，提出原油预处理和蒸馏工艺方案，并分析多种影响因素。（研究能力）</w:t>
      </w:r>
    </w:p>
    <w:p w14:paraId="25AA558B">
      <w:pPr>
        <w:spacing w:line="360" w:lineRule="auto"/>
        <w:ind w:firstLine="482" w:firstLineChars="200"/>
        <w:rPr>
          <w:rFonts w:hint="eastAsia" w:ascii="仿宋" w:hAnsi="仿宋" w:eastAsia="仿宋"/>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6</w:t>
      </w:r>
      <w:r>
        <w:rPr>
          <w:rFonts w:hint="eastAsia" w:ascii="仿宋" w:hAnsi="仿宋" w:eastAsia="仿宋"/>
          <w:b/>
          <w:color w:val="auto"/>
          <w:sz w:val="24"/>
        </w:rPr>
        <w:t>：</w:t>
      </w:r>
      <w:r>
        <w:rPr>
          <w:rFonts w:hint="eastAsia" w:ascii="仿宋" w:hAnsi="仿宋" w:eastAsia="仿宋"/>
          <w:color w:val="auto"/>
          <w:sz w:val="24"/>
        </w:rPr>
        <w:t xml:space="preserve"> 能够了解石油产品质量标准和石油加工过程的国际发展趋势和研究热点，针对特定专题开展文献调研和汇报研讨。（沟通能力）</w:t>
      </w:r>
    </w:p>
    <w:p w14:paraId="4869D26E">
      <w:pPr>
        <w:snapToGrid w:val="0"/>
        <w:spacing w:line="360" w:lineRule="auto"/>
        <w:ind w:firstLine="482" w:firstLineChars="200"/>
        <w:rPr>
          <w:rFonts w:hint="eastAsia" w:ascii="仿宋" w:hAnsi="仿宋" w:eastAsia="仿宋"/>
          <w:b/>
          <w:bCs/>
          <w:color w:val="auto"/>
          <w:sz w:val="24"/>
        </w:rPr>
      </w:pPr>
    </w:p>
    <w:p w14:paraId="16E4E794">
      <w:pPr>
        <w:snapToGrid w:val="0"/>
        <w:spacing w:line="360" w:lineRule="auto"/>
        <w:ind w:firstLine="482" w:firstLineChars="200"/>
        <w:rPr>
          <w:rFonts w:ascii="仿宋" w:hAnsi="仿宋" w:eastAsia="仿宋"/>
          <w:b/>
          <w:bCs/>
          <w:color w:val="auto"/>
          <w:sz w:val="24"/>
        </w:rPr>
      </w:pPr>
      <w:r>
        <w:rPr>
          <w:rFonts w:hint="eastAsia" w:ascii="仿宋" w:hAnsi="仿宋" w:eastAsia="仿宋"/>
          <w:b/>
          <w:bCs/>
          <w:color w:val="auto"/>
          <w:sz w:val="24"/>
        </w:rPr>
        <w:t>（二）课程目标对毕业要求的支撑</w:t>
      </w:r>
    </w:p>
    <w:tbl>
      <w:tblPr>
        <w:tblStyle w:val="7"/>
        <w:tblW w:w="5000" w:type="pct"/>
        <w:jc w:val="center"/>
        <w:tblLayout w:type="autofit"/>
        <w:tblCellMar>
          <w:top w:w="0" w:type="dxa"/>
          <w:left w:w="108" w:type="dxa"/>
          <w:bottom w:w="0" w:type="dxa"/>
          <w:right w:w="108" w:type="dxa"/>
        </w:tblCellMar>
      </w:tblPr>
      <w:tblGrid>
        <w:gridCol w:w="2654"/>
        <w:gridCol w:w="2272"/>
        <w:gridCol w:w="2129"/>
        <w:gridCol w:w="1467"/>
      </w:tblGrid>
      <w:tr w14:paraId="3D25C408">
        <w:tblPrEx>
          <w:tblCellMar>
            <w:top w:w="0" w:type="dxa"/>
            <w:left w:w="108" w:type="dxa"/>
            <w:bottom w:w="0" w:type="dxa"/>
            <w:right w:w="108" w:type="dxa"/>
          </w:tblCellMar>
        </w:tblPrEx>
        <w:trPr>
          <w:trHeight w:val="510" w:hRule="atLeast"/>
          <w:jc w:val="center"/>
        </w:trPr>
        <w:tc>
          <w:tcPr>
            <w:tcW w:w="1557" w:type="pct"/>
            <w:tcBorders>
              <w:top w:val="single" w:color="auto" w:sz="4" w:space="0"/>
              <w:left w:val="single" w:color="auto" w:sz="4" w:space="0"/>
              <w:bottom w:val="single" w:color="auto" w:sz="4" w:space="0"/>
              <w:right w:val="single" w:color="auto" w:sz="4" w:space="0"/>
            </w:tcBorders>
            <w:shd w:val="clear" w:color="auto" w:fill="auto"/>
            <w:vAlign w:val="center"/>
          </w:tcPr>
          <w:p w14:paraId="6694DDB3">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毕业要求</w:t>
            </w:r>
          </w:p>
        </w:tc>
        <w:tc>
          <w:tcPr>
            <w:tcW w:w="1333" w:type="pct"/>
            <w:tcBorders>
              <w:top w:val="single" w:color="auto" w:sz="4" w:space="0"/>
              <w:left w:val="nil"/>
              <w:bottom w:val="single" w:color="auto" w:sz="4" w:space="0"/>
              <w:right w:val="single" w:color="auto" w:sz="4" w:space="0"/>
            </w:tcBorders>
            <w:shd w:val="clear" w:color="auto" w:fill="auto"/>
            <w:vAlign w:val="center"/>
          </w:tcPr>
          <w:p w14:paraId="7809FA0F">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观测点</w:t>
            </w:r>
          </w:p>
        </w:tc>
        <w:tc>
          <w:tcPr>
            <w:tcW w:w="1249" w:type="pct"/>
            <w:tcBorders>
              <w:top w:val="single" w:color="auto" w:sz="4" w:space="0"/>
              <w:left w:val="nil"/>
              <w:bottom w:val="single" w:color="auto" w:sz="4" w:space="0"/>
              <w:right w:val="single" w:color="auto" w:sz="4" w:space="0"/>
            </w:tcBorders>
          </w:tcPr>
          <w:p w14:paraId="31CB1014">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课程目标</w:t>
            </w:r>
          </w:p>
        </w:tc>
        <w:tc>
          <w:tcPr>
            <w:tcW w:w="860" w:type="pct"/>
            <w:tcBorders>
              <w:top w:val="single" w:color="auto" w:sz="4" w:space="0"/>
              <w:left w:val="nil"/>
              <w:bottom w:val="single" w:color="auto" w:sz="4" w:space="0"/>
              <w:right w:val="single" w:color="auto" w:sz="4" w:space="0"/>
            </w:tcBorders>
          </w:tcPr>
          <w:p w14:paraId="5634A834">
            <w:pPr>
              <w:widowControl/>
              <w:spacing w:line="276" w:lineRule="auto"/>
              <w:jc w:val="center"/>
              <w:rPr>
                <w:rFonts w:ascii="仿宋" w:hAnsi="仿宋" w:eastAsia="仿宋"/>
                <w:b/>
                <w:color w:val="auto"/>
                <w:kern w:val="0"/>
                <w:sz w:val="24"/>
              </w:rPr>
            </w:pPr>
            <w:r>
              <w:rPr>
                <w:rFonts w:hint="eastAsia" w:ascii="仿宋" w:hAnsi="仿宋" w:eastAsia="仿宋"/>
                <w:b/>
                <w:color w:val="auto"/>
                <w:kern w:val="0"/>
                <w:sz w:val="24"/>
              </w:rPr>
              <w:t>支撑强度</w:t>
            </w:r>
          </w:p>
        </w:tc>
      </w:tr>
      <w:tr w14:paraId="7EE020D4">
        <w:tblPrEx>
          <w:tblCellMar>
            <w:top w:w="0" w:type="dxa"/>
            <w:left w:w="108" w:type="dxa"/>
            <w:bottom w:w="0" w:type="dxa"/>
            <w:right w:w="108" w:type="dxa"/>
          </w:tblCellMar>
        </w:tblPrEx>
        <w:trPr>
          <w:trHeight w:val="1425" w:hRule="atLeast"/>
          <w:jc w:val="center"/>
        </w:trPr>
        <w:tc>
          <w:tcPr>
            <w:tcW w:w="1557" w:type="pct"/>
            <w:tcBorders>
              <w:top w:val="single" w:color="auto" w:sz="4" w:space="0"/>
              <w:left w:val="single" w:color="auto" w:sz="4" w:space="0"/>
              <w:bottom w:val="single" w:color="auto" w:sz="4" w:space="0"/>
              <w:right w:val="single" w:color="auto" w:sz="4" w:space="0"/>
            </w:tcBorders>
            <w:vAlign w:val="center"/>
          </w:tcPr>
          <w:p w14:paraId="6CDE4B62">
            <w:pPr>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毕业要求</w:t>
            </w:r>
            <w:r>
              <w:rPr>
                <w:rFonts w:hint="default" w:ascii="Times New Roman" w:hAnsi="Times New Roman" w:eastAsia="仿宋" w:cs="Times New Roman"/>
                <w:b/>
                <w:sz w:val="24"/>
                <w:szCs w:val="24"/>
              </w:rPr>
              <w:t>1</w:t>
            </w:r>
            <w:r>
              <w:rPr>
                <w:rFonts w:hint="default" w:ascii="Times New Roman" w:hAnsi="Times New Roman" w:eastAsia="仿宋" w:cs="Times New Roman"/>
                <w:b/>
                <w:sz w:val="24"/>
                <w:szCs w:val="24"/>
                <w:lang w:eastAsia="zh-CN"/>
              </w:rPr>
              <w:t>：</w:t>
            </w:r>
            <w:r>
              <w:rPr>
                <w:rFonts w:hint="default" w:ascii="Times New Roman" w:hAnsi="Times New Roman" w:eastAsia="仿宋" w:cs="Times New Roman"/>
                <w:b/>
                <w:sz w:val="24"/>
                <w:szCs w:val="24"/>
              </w:rPr>
              <w:t>知识运用能力</w:t>
            </w:r>
          </w:p>
          <w:p w14:paraId="004D7024">
            <w:pPr>
              <w:spacing w:line="276" w:lineRule="auto"/>
              <w:rPr>
                <w:rFonts w:hint="default" w:ascii="Times New Roman" w:hAnsi="Times New Roman" w:eastAsia="仿宋" w:cs="Times New Roman"/>
                <w:b w:val="0"/>
                <w:bCs w:val="0"/>
                <w:color w:val="auto"/>
                <w:sz w:val="24"/>
              </w:rPr>
            </w:pPr>
            <w:r>
              <w:rPr>
                <w:rFonts w:hint="default" w:ascii="Times New Roman" w:hAnsi="Times New Roman" w:eastAsia="仿宋" w:cs="Times New Roman"/>
                <w:b w:val="0"/>
                <w:bCs w:val="0"/>
                <w:color w:val="auto"/>
                <w:sz w:val="24"/>
              </w:rPr>
              <w:t>能够将数学、自然科学、工程基础和化学、化工专业知识等应用于石油化工相关过程中的复杂化工问题的表达和分析，并提出解决方</w:t>
            </w:r>
          </w:p>
          <w:p w14:paraId="4ABE0A3E">
            <w:pPr>
              <w:spacing w:line="276" w:lineRule="auto"/>
              <w:rPr>
                <w:rFonts w:hint="default" w:ascii="Times New Roman" w:hAnsi="Times New Roman" w:eastAsia="仿宋" w:cs="Times New Roman"/>
                <w:b/>
                <w:szCs w:val="21"/>
              </w:rPr>
            </w:pPr>
            <w:r>
              <w:rPr>
                <w:rFonts w:hint="default" w:ascii="Times New Roman" w:hAnsi="Times New Roman" w:eastAsia="仿宋" w:cs="Times New Roman"/>
                <w:b w:val="0"/>
                <w:bCs w:val="0"/>
                <w:color w:val="auto"/>
                <w:sz w:val="24"/>
              </w:rPr>
              <w:t>案。</w:t>
            </w:r>
          </w:p>
        </w:tc>
        <w:tc>
          <w:tcPr>
            <w:tcW w:w="1333" w:type="pct"/>
            <w:tcBorders>
              <w:top w:val="single" w:color="auto" w:sz="4" w:space="0"/>
              <w:left w:val="nil"/>
              <w:bottom w:val="single" w:color="auto" w:sz="4" w:space="0"/>
              <w:right w:val="single" w:color="auto" w:sz="4" w:space="0"/>
            </w:tcBorders>
            <w:vAlign w:val="top"/>
          </w:tcPr>
          <w:p w14:paraId="26FEDEB2">
            <w:pPr>
              <w:rPr>
                <w:rFonts w:hint="default" w:ascii="Times New Roman" w:hAnsi="Times New Roman" w:eastAsia="仿宋" w:cs="Times New Roman"/>
                <w:color w:val="auto"/>
                <w:sz w:val="24"/>
                <w:szCs w:val="24"/>
              </w:rPr>
            </w:pPr>
            <w:r>
              <w:rPr>
                <w:rFonts w:hint="default" w:ascii="Times New Roman" w:hAnsi="Times New Roman" w:eastAsia="仿宋" w:cs="Times New Roman"/>
                <w:b/>
                <w:bCs/>
                <w:sz w:val="24"/>
                <w:szCs w:val="24"/>
              </w:rPr>
              <w:t>1-4</w:t>
            </w:r>
            <w:r>
              <w:rPr>
                <w:rFonts w:hint="default" w:ascii="Times New Roman" w:hAnsi="Times New Roman" w:eastAsia="仿宋" w:cs="Times New Roman"/>
                <w:b/>
                <w:bCs/>
                <w:sz w:val="24"/>
                <w:szCs w:val="24"/>
                <w:lang w:eastAsia="zh-CN"/>
              </w:rPr>
              <w:t>：</w:t>
            </w:r>
            <w:r>
              <w:rPr>
                <w:rFonts w:hint="default" w:ascii="Times New Roman" w:hAnsi="Times New Roman" w:eastAsia="仿宋" w:cs="Times New Roman"/>
                <w:sz w:val="24"/>
                <w:szCs w:val="24"/>
              </w:rPr>
              <w:t>能够运用石油化工的基础知识、基础理论与加工技术，对石油化工相关的工艺和工程问题的解决方案进行比较和综合。</w:t>
            </w:r>
          </w:p>
        </w:tc>
        <w:tc>
          <w:tcPr>
            <w:tcW w:w="1249" w:type="pct"/>
            <w:tcBorders>
              <w:top w:val="single" w:color="auto" w:sz="4" w:space="0"/>
              <w:left w:val="nil"/>
              <w:bottom w:val="single" w:color="auto" w:sz="4" w:space="0"/>
              <w:right w:val="single" w:color="auto" w:sz="4" w:space="0"/>
            </w:tcBorders>
            <w:vAlign w:val="center"/>
          </w:tcPr>
          <w:p w14:paraId="467B1D4C">
            <w:pPr>
              <w:spacing w:line="276" w:lineRule="auto"/>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课程目标1</w:t>
            </w:r>
          </w:p>
          <w:p w14:paraId="66810DDF">
            <w:pPr>
              <w:spacing w:line="276" w:lineRule="auto"/>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课程目标2</w:t>
            </w:r>
          </w:p>
          <w:p w14:paraId="1AB22251">
            <w:pPr>
              <w:spacing w:line="276" w:lineRule="auto"/>
              <w:rPr>
                <w:rFonts w:hint="default" w:ascii="Times New Roman" w:hAnsi="Times New Roman" w:eastAsia="仿宋" w:cs="Times New Roman"/>
                <w:color w:val="auto"/>
                <w:sz w:val="24"/>
              </w:rPr>
            </w:pPr>
          </w:p>
        </w:tc>
        <w:tc>
          <w:tcPr>
            <w:tcW w:w="860" w:type="pct"/>
            <w:tcBorders>
              <w:top w:val="single" w:color="auto" w:sz="4" w:space="0"/>
              <w:left w:val="nil"/>
              <w:bottom w:val="single" w:color="auto" w:sz="4" w:space="0"/>
              <w:right w:val="single" w:color="auto" w:sz="4" w:space="0"/>
            </w:tcBorders>
            <w:vAlign w:val="center"/>
          </w:tcPr>
          <w:p w14:paraId="3EDB3420">
            <w:pPr>
              <w:numPr>
                <w:ilvl w:val="0"/>
                <w:numId w:val="0"/>
              </w:numPr>
              <w:spacing w:line="276" w:lineRule="auto"/>
              <w:ind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FE"/>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H</w:t>
            </w:r>
          </w:p>
          <w:p w14:paraId="7A6B7A07">
            <w:pPr>
              <w:numPr>
                <w:ilvl w:val="0"/>
                <w:numId w:val="1"/>
              </w:num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M</w:t>
            </w:r>
          </w:p>
          <w:p w14:paraId="0835468C">
            <w:pPr>
              <w:numPr>
                <w:ilvl w:val="0"/>
                <w:numId w:val="1"/>
              </w:num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L</w:t>
            </w:r>
          </w:p>
        </w:tc>
      </w:tr>
      <w:tr w14:paraId="0B2AEF08">
        <w:tblPrEx>
          <w:tblCellMar>
            <w:top w:w="0" w:type="dxa"/>
            <w:left w:w="108" w:type="dxa"/>
            <w:bottom w:w="0" w:type="dxa"/>
            <w:right w:w="108" w:type="dxa"/>
          </w:tblCellMar>
        </w:tblPrEx>
        <w:trPr>
          <w:trHeight w:val="690" w:hRule="atLeast"/>
          <w:jc w:val="center"/>
        </w:trPr>
        <w:tc>
          <w:tcPr>
            <w:tcW w:w="1557" w:type="pct"/>
            <w:tcBorders>
              <w:top w:val="single" w:color="auto" w:sz="4" w:space="0"/>
              <w:left w:val="single" w:color="auto" w:sz="4" w:space="0"/>
              <w:bottom w:val="single" w:color="auto" w:sz="4" w:space="0"/>
              <w:right w:val="single" w:color="auto" w:sz="4" w:space="0"/>
            </w:tcBorders>
            <w:vAlign w:val="center"/>
          </w:tcPr>
          <w:p w14:paraId="77585927">
            <w:pPr>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毕业要求2</w:t>
            </w:r>
            <w:r>
              <w:rPr>
                <w:rFonts w:hint="default" w:ascii="Times New Roman" w:hAnsi="Times New Roman" w:eastAsia="仿宋" w:cs="Times New Roman"/>
                <w:b/>
                <w:sz w:val="24"/>
                <w:szCs w:val="24"/>
                <w:lang w:eastAsia="zh-CN"/>
              </w:rPr>
              <w:t>：</w:t>
            </w:r>
            <w:r>
              <w:rPr>
                <w:rFonts w:hint="default" w:ascii="Times New Roman" w:hAnsi="Times New Roman" w:eastAsia="仿宋" w:cs="Times New Roman"/>
                <w:b/>
                <w:sz w:val="24"/>
                <w:szCs w:val="24"/>
              </w:rPr>
              <w:t>问题分析能力</w:t>
            </w:r>
          </w:p>
          <w:p w14:paraId="5C7FB7B2">
            <w:pPr>
              <w:adjustRightInd w:val="0"/>
              <w:snapToGrid w:val="0"/>
              <w:rPr>
                <w:rFonts w:hint="default" w:ascii="Times New Roman" w:hAnsi="Times New Roman" w:eastAsia="仿宋" w:cs="Times New Roman"/>
                <w:b/>
                <w:sz w:val="24"/>
                <w:szCs w:val="24"/>
              </w:rPr>
            </w:pPr>
            <w:r>
              <w:rPr>
                <w:rFonts w:hint="default" w:ascii="Times New Roman" w:hAnsi="Times New Roman" w:eastAsia="仿宋" w:cs="Times New Roman"/>
                <w:sz w:val="24"/>
                <w:szCs w:val="24"/>
              </w:rPr>
              <w:t>能够综合应用数学、自然科学和工程科学的基本原理，识别、表达并通过文献研究分析石油化工相关过程中的复杂工艺和工程问题，以获得有效结论。</w:t>
            </w:r>
          </w:p>
        </w:tc>
        <w:tc>
          <w:tcPr>
            <w:tcW w:w="1333" w:type="pct"/>
            <w:tcBorders>
              <w:top w:val="single" w:color="auto" w:sz="4" w:space="0"/>
              <w:left w:val="nil"/>
              <w:bottom w:val="single" w:color="auto" w:sz="4" w:space="0"/>
              <w:right w:val="single" w:color="auto" w:sz="4" w:space="0"/>
            </w:tcBorders>
            <w:vAlign w:val="top"/>
          </w:tcPr>
          <w:p w14:paraId="13611BFD">
            <w:pPr>
              <w:rPr>
                <w:rFonts w:hint="default" w:ascii="Times New Roman" w:hAnsi="Times New Roman" w:eastAsia="仿宋" w:cs="Times New Roman"/>
                <w:color w:val="auto"/>
                <w:sz w:val="24"/>
                <w:szCs w:val="24"/>
              </w:rPr>
            </w:pPr>
            <w:r>
              <w:rPr>
                <w:rFonts w:hint="default" w:ascii="Times New Roman" w:hAnsi="Times New Roman" w:eastAsia="仿宋" w:cs="Times New Roman"/>
                <w:b/>
                <w:bCs/>
                <w:sz w:val="24"/>
                <w:szCs w:val="24"/>
              </w:rPr>
              <w:t>2-3</w:t>
            </w:r>
            <w:r>
              <w:rPr>
                <w:rFonts w:hint="default" w:ascii="Times New Roman" w:hAnsi="Times New Roman" w:eastAsia="仿宋" w:cs="Times New Roman"/>
                <w:b/>
                <w:bCs/>
                <w:sz w:val="24"/>
                <w:szCs w:val="24"/>
                <w:lang w:eastAsia="zh-CN"/>
              </w:rPr>
              <w:t>：</w:t>
            </w:r>
            <w:r>
              <w:rPr>
                <w:rFonts w:hint="default" w:ascii="Times New Roman" w:hAnsi="Times New Roman" w:eastAsia="仿宋" w:cs="Times New Roman"/>
                <w:sz w:val="24"/>
                <w:szCs w:val="24"/>
              </w:rPr>
              <w:t>具备化学反应过程分析、设计和开发的知识和原理，能够正确表达石油化工相关的加工技术和工艺。</w:t>
            </w:r>
          </w:p>
        </w:tc>
        <w:tc>
          <w:tcPr>
            <w:tcW w:w="1249" w:type="pct"/>
            <w:tcBorders>
              <w:top w:val="single" w:color="auto" w:sz="4" w:space="0"/>
              <w:left w:val="nil"/>
              <w:bottom w:val="single" w:color="auto" w:sz="4" w:space="0"/>
              <w:right w:val="single" w:color="auto" w:sz="4" w:space="0"/>
            </w:tcBorders>
            <w:vAlign w:val="center"/>
          </w:tcPr>
          <w:p w14:paraId="6DC4DFBC">
            <w:pPr>
              <w:spacing w:line="276" w:lineRule="auto"/>
              <w:rPr>
                <w:rFonts w:hint="default" w:ascii="Times New Roman" w:hAnsi="Times New Roman" w:eastAsia="仿宋" w:cs="Times New Roman"/>
                <w:color w:val="auto"/>
                <w:kern w:val="0"/>
                <w:sz w:val="24"/>
              </w:rPr>
            </w:pPr>
            <w:r>
              <w:rPr>
                <w:rFonts w:hint="default" w:ascii="Times New Roman" w:hAnsi="Times New Roman" w:eastAsia="仿宋" w:cs="Times New Roman"/>
                <w:color w:val="auto"/>
                <w:kern w:val="0"/>
                <w:sz w:val="24"/>
              </w:rPr>
              <w:t>课程目标3</w:t>
            </w:r>
          </w:p>
          <w:p w14:paraId="24D06098">
            <w:pPr>
              <w:spacing w:line="276" w:lineRule="auto"/>
              <w:rPr>
                <w:rFonts w:hint="default" w:ascii="Times New Roman" w:hAnsi="Times New Roman" w:eastAsia="仿宋" w:cs="Times New Roman"/>
                <w:color w:val="auto"/>
                <w:kern w:val="0"/>
                <w:sz w:val="24"/>
                <w:lang w:eastAsia="zh-CN"/>
              </w:rPr>
            </w:pPr>
          </w:p>
        </w:tc>
        <w:tc>
          <w:tcPr>
            <w:tcW w:w="860" w:type="pct"/>
            <w:tcBorders>
              <w:top w:val="single" w:color="auto" w:sz="4" w:space="0"/>
              <w:left w:val="nil"/>
              <w:bottom w:val="single" w:color="auto" w:sz="4" w:space="0"/>
              <w:right w:val="single" w:color="auto" w:sz="4" w:space="0"/>
            </w:tcBorders>
          </w:tcPr>
          <w:p w14:paraId="10B438B4">
            <w:pPr>
              <w:numPr>
                <w:ilvl w:val="0"/>
                <w:numId w:val="0"/>
              </w:numPr>
              <w:spacing w:line="276" w:lineRule="auto"/>
              <w:ind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FE"/>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H</w:t>
            </w:r>
          </w:p>
          <w:p w14:paraId="6CF0114D">
            <w:pPr>
              <w:numPr>
                <w:ilvl w:val="0"/>
                <w:numId w:val="0"/>
              </w:numPr>
              <w:spacing w:line="276" w:lineRule="auto"/>
              <w:ind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A8"/>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M</w:t>
            </w:r>
          </w:p>
          <w:p w14:paraId="50D4B4DA">
            <w:pPr>
              <w:numPr>
                <w:ilvl w:val="0"/>
                <w:numId w:val="1"/>
              </w:num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L</w:t>
            </w:r>
          </w:p>
        </w:tc>
      </w:tr>
      <w:tr w14:paraId="6CC51BFD">
        <w:tblPrEx>
          <w:tblCellMar>
            <w:top w:w="0" w:type="dxa"/>
            <w:left w:w="108" w:type="dxa"/>
            <w:bottom w:w="0" w:type="dxa"/>
            <w:right w:w="108" w:type="dxa"/>
          </w:tblCellMar>
        </w:tblPrEx>
        <w:trPr>
          <w:trHeight w:val="690" w:hRule="atLeast"/>
          <w:jc w:val="center"/>
        </w:trPr>
        <w:tc>
          <w:tcPr>
            <w:tcW w:w="1557" w:type="pct"/>
            <w:tcBorders>
              <w:top w:val="single" w:color="auto" w:sz="4" w:space="0"/>
              <w:left w:val="single" w:color="auto" w:sz="4" w:space="0"/>
              <w:bottom w:val="single" w:color="auto" w:sz="4" w:space="0"/>
              <w:right w:val="single" w:color="auto" w:sz="4" w:space="0"/>
            </w:tcBorders>
            <w:vAlign w:val="center"/>
          </w:tcPr>
          <w:p w14:paraId="0920C599">
            <w:pPr>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毕业要求3</w:t>
            </w:r>
            <w:r>
              <w:rPr>
                <w:rFonts w:hint="default" w:ascii="Times New Roman" w:hAnsi="Times New Roman" w:eastAsia="仿宋" w:cs="Times New Roman"/>
                <w:b/>
                <w:sz w:val="24"/>
                <w:szCs w:val="24"/>
                <w:lang w:eastAsia="zh-CN"/>
              </w:rPr>
              <w:t>：</w:t>
            </w:r>
            <w:r>
              <w:rPr>
                <w:rFonts w:hint="default" w:ascii="Times New Roman" w:hAnsi="Times New Roman" w:eastAsia="仿宋" w:cs="Times New Roman"/>
                <w:b/>
                <w:sz w:val="24"/>
                <w:szCs w:val="24"/>
              </w:rPr>
              <w:t xml:space="preserve"> 设计/开发解决方案的能力</w:t>
            </w:r>
          </w:p>
          <w:p w14:paraId="750D47E3">
            <w:pPr>
              <w:adjustRightInd w:val="0"/>
              <w:snapToGrid w:val="0"/>
              <w:rPr>
                <w:rFonts w:hint="default" w:ascii="Times New Roman" w:hAnsi="Times New Roman" w:eastAsia="仿宋" w:cs="Times New Roman"/>
                <w:sz w:val="24"/>
                <w:szCs w:val="24"/>
              </w:rPr>
            </w:pPr>
            <w:r>
              <w:rPr>
                <w:rFonts w:hint="default" w:ascii="Times New Roman" w:hAnsi="Times New Roman" w:eastAsia="仿宋" w:cs="Times New Roman"/>
                <w:sz w:val="24"/>
                <w:szCs w:val="24"/>
              </w:rPr>
              <w:t>能够针对石油化工相关过程中的复杂工艺和工程问题的解决方案，设计满足特定需求的系统、单元或工艺流程，并能够在设计环节中体现出创新</w:t>
            </w:r>
          </w:p>
          <w:p w14:paraId="198BBC7D">
            <w:pPr>
              <w:adjustRightInd w:val="0"/>
              <w:snapToGrid w:val="0"/>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意识，考虑社会、健康、</w:t>
            </w:r>
          </w:p>
          <w:p w14:paraId="03824A43">
            <w:pPr>
              <w:jc w:val="center"/>
              <w:rPr>
                <w:rFonts w:hint="default" w:ascii="Times New Roman" w:hAnsi="Times New Roman" w:eastAsia="仿宋" w:cs="Times New Roman"/>
                <w:b/>
                <w:sz w:val="24"/>
                <w:szCs w:val="24"/>
              </w:rPr>
            </w:pPr>
            <w:r>
              <w:rPr>
                <w:rFonts w:hint="default" w:ascii="Times New Roman" w:hAnsi="Times New Roman" w:eastAsia="仿宋" w:cs="Times New Roman"/>
                <w:sz w:val="24"/>
                <w:szCs w:val="24"/>
              </w:rPr>
              <w:t>安全、法律、环境、文化等因素。</w:t>
            </w:r>
          </w:p>
        </w:tc>
        <w:tc>
          <w:tcPr>
            <w:tcW w:w="1333" w:type="pct"/>
            <w:tcBorders>
              <w:top w:val="single" w:color="auto" w:sz="4" w:space="0"/>
              <w:left w:val="nil"/>
              <w:bottom w:val="single" w:color="auto" w:sz="4" w:space="0"/>
              <w:right w:val="single" w:color="auto" w:sz="4" w:space="0"/>
            </w:tcBorders>
            <w:vAlign w:val="top"/>
          </w:tcPr>
          <w:p w14:paraId="24DBD2A1">
            <w:pPr>
              <w:rPr>
                <w:rFonts w:hint="default" w:ascii="Times New Roman" w:hAnsi="Times New Roman" w:eastAsia="仿宋" w:cs="Times New Roman"/>
                <w:sz w:val="24"/>
                <w:szCs w:val="24"/>
              </w:rPr>
            </w:pPr>
            <w:r>
              <w:rPr>
                <w:rFonts w:hint="default" w:ascii="Times New Roman" w:hAnsi="Times New Roman" w:eastAsia="仿宋" w:cs="Times New Roman"/>
                <w:b/>
                <w:bCs/>
                <w:sz w:val="24"/>
                <w:szCs w:val="24"/>
              </w:rPr>
              <w:t>3-1</w:t>
            </w:r>
            <w:r>
              <w:rPr>
                <w:rFonts w:hint="eastAsia" w:ascii="Times New Roman" w:hAnsi="Times New Roman" w:eastAsia="仿宋" w:cs="Times New Roman"/>
                <w:b/>
                <w:bCs/>
                <w:sz w:val="24"/>
                <w:szCs w:val="24"/>
                <w:lang w:eastAsia="zh-CN"/>
              </w:rPr>
              <w:t>：</w:t>
            </w:r>
            <w:r>
              <w:rPr>
                <w:rFonts w:hint="default" w:ascii="Times New Roman" w:hAnsi="Times New Roman" w:eastAsia="仿宋" w:cs="Times New Roman"/>
                <w:sz w:val="24"/>
                <w:szCs w:val="24"/>
              </w:rPr>
              <w:t>具备石油化工过程涉及的设备设计、工艺设计等基本设计方法和技术，了解影响工艺技术方案实现的各种影响因素。</w:t>
            </w:r>
          </w:p>
        </w:tc>
        <w:tc>
          <w:tcPr>
            <w:tcW w:w="1249" w:type="pct"/>
            <w:tcBorders>
              <w:top w:val="single" w:color="auto" w:sz="4" w:space="0"/>
              <w:left w:val="nil"/>
              <w:bottom w:val="single" w:color="auto" w:sz="4" w:space="0"/>
              <w:right w:val="single" w:color="auto" w:sz="4" w:space="0"/>
            </w:tcBorders>
            <w:vAlign w:val="center"/>
          </w:tcPr>
          <w:p w14:paraId="67D8FEE5">
            <w:pPr>
              <w:spacing w:line="276" w:lineRule="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课程目标</w:t>
            </w:r>
            <w:r>
              <w:rPr>
                <w:rFonts w:hint="default" w:ascii="Times New Roman" w:hAnsi="Times New Roman" w:eastAsia="仿宋" w:cs="Times New Roman"/>
                <w:color w:val="auto"/>
                <w:kern w:val="0"/>
                <w:sz w:val="24"/>
                <w:szCs w:val="24"/>
                <w:lang w:val="en-US" w:eastAsia="zh-CN"/>
              </w:rPr>
              <w:t>4</w:t>
            </w:r>
          </w:p>
        </w:tc>
        <w:tc>
          <w:tcPr>
            <w:tcW w:w="860" w:type="pct"/>
            <w:tcBorders>
              <w:top w:val="single" w:color="auto" w:sz="4" w:space="0"/>
              <w:left w:val="nil"/>
              <w:bottom w:val="single" w:color="auto" w:sz="4" w:space="0"/>
              <w:right w:val="single" w:color="auto" w:sz="4" w:space="0"/>
            </w:tcBorders>
          </w:tcPr>
          <w:p w14:paraId="12027B91">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FE"/>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H</w:t>
            </w:r>
          </w:p>
          <w:p w14:paraId="044B36DB">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A8"/>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M</w:t>
            </w:r>
          </w:p>
          <w:p w14:paraId="5484267B">
            <w:pPr>
              <w:numPr>
                <w:ilvl w:val="0"/>
                <w:numId w:val="1"/>
              </w:numPr>
              <w:spacing w:line="276" w:lineRule="auto"/>
              <w:jc w:val="center"/>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L</w:t>
            </w:r>
          </w:p>
        </w:tc>
      </w:tr>
      <w:tr w14:paraId="25D2AA87">
        <w:tblPrEx>
          <w:tblCellMar>
            <w:top w:w="0" w:type="dxa"/>
            <w:left w:w="108" w:type="dxa"/>
            <w:bottom w:w="0" w:type="dxa"/>
            <w:right w:w="108" w:type="dxa"/>
          </w:tblCellMar>
        </w:tblPrEx>
        <w:trPr>
          <w:trHeight w:val="690" w:hRule="atLeast"/>
          <w:jc w:val="center"/>
        </w:trPr>
        <w:tc>
          <w:tcPr>
            <w:tcW w:w="1557" w:type="pct"/>
            <w:tcBorders>
              <w:top w:val="single" w:color="auto" w:sz="4" w:space="0"/>
              <w:left w:val="single" w:color="auto" w:sz="4" w:space="0"/>
              <w:bottom w:val="single" w:color="auto" w:sz="4" w:space="0"/>
              <w:right w:val="single" w:color="auto" w:sz="4" w:space="0"/>
            </w:tcBorders>
            <w:vAlign w:val="center"/>
          </w:tcPr>
          <w:p w14:paraId="2135FDAF">
            <w:pPr>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毕业要求4</w:t>
            </w:r>
            <w:r>
              <w:rPr>
                <w:rFonts w:hint="default" w:ascii="Times New Roman" w:hAnsi="Times New Roman" w:eastAsia="仿宋" w:cs="Times New Roman"/>
                <w:b/>
                <w:sz w:val="24"/>
                <w:szCs w:val="24"/>
                <w:lang w:eastAsia="zh-CN"/>
              </w:rPr>
              <w:t>：</w:t>
            </w:r>
            <w:r>
              <w:rPr>
                <w:rFonts w:hint="default" w:ascii="Times New Roman" w:hAnsi="Times New Roman" w:eastAsia="仿宋" w:cs="Times New Roman"/>
                <w:b/>
                <w:sz w:val="24"/>
                <w:szCs w:val="24"/>
              </w:rPr>
              <w:t xml:space="preserve"> 研究能力</w:t>
            </w:r>
          </w:p>
          <w:p w14:paraId="1F7E112C">
            <w:pPr>
              <w:adjustRightInd w:val="0"/>
              <w:snapToGrid w:val="0"/>
              <w:rPr>
                <w:rFonts w:hint="default" w:ascii="Times New Roman" w:hAnsi="Times New Roman" w:eastAsia="仿宋" w:cs="Times New Roman"/>
                <w:b/>
                <w:sz w:val="24"/>
                <w:szCs w:val="24"/>
              </w:rPr>
            </w:pPr>
            <w:r>
              <w:rPr>
                <w:rFonts w:hint="default" w:ascii="Times New Roman" w:hAnsi="Times New Roman" w:eastAsia="仿宋" w:cs="Times New Roman"/>
                <w:sz w:val="24"/>
                <w:szCs w:val="24"/>
              </w:rPr>
              <w:t>能够基于化学和化工的原理并采用科学研究方法对石油化工相关过程中复杂化工问题进行研究，包括设计并开展综合性和设计性实验、分析与解释数据、并综合得到合理有效的结论。</w:t>
            </w:r>
          </w:p>
        </w:tc>
        <w:tc>
          <w:tcPr>
            <w:tcW w:w="1333" w:type="pct"/>
            <w:tcBorders>
              <w:top w:val="single" w:color="auto" w:sz="4" w:space="0"/>
              <w:left w:val="nil"/>
              <w:bottom w:val="single" w:color="auto" w:sz="4" w:space="0"/>
              <w:right w:val="single" w:color="auto" w:sz="4" w:space="0"/>
            </w:tcBorders>
            <w:vAlign w:val="top"/>
          </w:tcPr>
          <w:p w14:paraId="48785B8E">
            <w:pPr>
              <w:rPr>
                <w:rFonts w:hint="default" w:ascii="Times New Roman" w:hAnsi="Times New Roman" w:eastAsia="仿宋" w:cs="Times New Roman"/>
                <w:sz w:val="24"/>
                <w:szCs w:val="24"/>
              </w:rPr>
            </w:pPr>
            <w:r>
              <w:rPr>
                <w:rFonts w:hint="default" w:ascii="Times New Roman" w:hAnsi="Times New Roman" w:eastAsia="仿宋" w:cs="Times New Roman"/>
                <w:b/>
                <w:bCs/>
                <w:sz w:val="24"/>
                <w:szCs w:val="24"/>
              </w:rPr>
              <w:t>4-2</w:t>
            </w:r>
            <w:r>
              <w:rPr>
                <w:rFonts w:hint="eastAsia" w:ascii="Times New Roman" w:hAnsi="Times New Roman" w:eastAsia="仿宋" w:cs="Times New Roman"/>
                <w:b/>
                <w:bCs/>
                <w:sz w:val="24"/>
                <w:szCs w:val="24"/>
                <w:lang w:eastAsia="zh-CN"/>
              </w:rPr>
              <w:t>：</w:t>
            </w:r>
            <w:r>
              <w:rPr>
                <w:rFonts w:hint="default" w:ascii="Times New Roman" w:hAnsi="Times New Roman" w:eastAsia="仿宋" w:cs="Times New Roman"/>
                <w:sz w:val="24"/>
                <w:szCs w:val="24"/>
              </w:rPr>
              <w:t>能够根据石油化工相关的原理和方法，结合文献调研，分析复杂工程问题的解决方案，根据对象特征，选择研究路线，设计实验方案。</w:t>
            </w:r>
          </w:p>
        </w:tc>
        <w:tc>
          <w:tcPr>
            <w:tcW w:w="1249" w:type="pct"/>
            <w:tcBorders>
              <w:top w:val="single" w:color="auto" w:sz="4" w:space="0"/>
              <w:left w:val="nil"/>
              <w:bottom w:val="single" w:color="auto" w:sz="4" w:space="0"/>
              <w:right w:val="single" w:color="auto" w:sz="4" w:space="0"/>
            </w:tcBorders>
            <w:vAlign w:val="center"/>
          </w:tcPr>
          <w:p w14:paraId="033021FD">
            <w:pPr>
              <w:spacing w:line="276" w:lineRule="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课程目标</w:t>
            </w:r>
            <w:r>
              <w:rPr>
                <w:rFonts w:hint="eastAsia" w:ascii="Times New Roman" w:hAnsi="Times New Roman" w:eastAsia="仿宋" w:cs="Times New Roman"/>
                <w:color w:val="auto"/>
                <w:kern w:val="0"/>
                <w:sz w:val="24"/>
                <w:szCs w:val="24"/>
                <w:lang w:val="en-US" w:eastAsia="zh-CN"/>
              </w:rPr>
              <w:t>5</w:t>
            </w:r>
          </w:p>
        </w:tc>
        <w:tc>
          <w:tcPr>
            <w:tcW w:w="860" w:type="pct"/>
            <w:tcBorders>
              <w:top w:val="single" w:color="auto" w:sz="4" w:space="0"/>
              <w:left w:val="nil"/>
              <w:bottom w:val="single" w:color="auto" w:sz="4" w:space="0"/>
              <w:right w:val="single" w:color="auto" w:sz="4" w:space="0"/>
            </w:tcBorders>
          </w:tcPr>
          <w:p w14:paraId="7D9D92B1">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p>
          <w:p w14:paraId="3BE98CD3">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FE"/>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H</w:t>
            </w:r>
          </w:p>
          <w:p w14:paraId="28B33E98">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A8"/>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M</w:t>
            </w:r>
          </w:p>
          <w:p w14:paraId="25FBB433">
            <w:pPr>
              <w:numPr>
                <w:ilvl w:val="0"/>
                <w:numId w:val="0"/>
              </w:numPr>
              <w:spacing w:line="276" w:lineRule="auto"/>
              <w:ind w:leftChars="0"/>
              <w:jc w:val="both"/>
              <w:rPr>
                <w:rFonts w:hint="default" w:ascii="Times New Roman" w:hAnsi="Times New Roman" w:eastAsia="仿宋" w:cs="Times New Roman"/>
                <w:color w:val="auto"/>
                <w:sz w:val="24"/>
              </w:rPr>
            </w:pP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sym w:font="Wingdings" w:char="00A8"/>
            </w: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L</w:t>
            </w:r>
          </w:p>
        </w:tc>
      </w:tr>
      <w:tr w14:paraId="1F61D1FB">
        <w:tblPrEx>
          <w:tblCellMar>
            <w:top w:w="0" w:type="dxa"/>
            <w:left w:w="108" w:type="dxa"/>
            <w:bottom w:w="0" w:type="dxa"/>
            <w:right w:w="108" w:type="dxa"/>
          </w:tblCellMar>
        </w:tblPrEx>
        <w:trPr>
          <w:trHeight w:val="690" w:hRule="atLeast"/>
          <w:jc w:val="center"/>
        </w:trPr>
        <w:tc>
          <w:tcPr>
            <w:tcW w:w="1557" w:type="pct"/>
            <w:tcBorders>
              <w:top w:val="single" w:color="auto" w:sz="4" w:space="0"/>
              <w:left w:val="single" w:color="auto" w:sz="4" w:space="0"/>
              <w:bottom w:val="single" w:color="auto" w:sz="4" w:space="0"/>
              <w:right w:val="single" w:color="auto" w:sz="4" w:space="0"/>
            </w:tcBorders>
            <w:vAlign w:val="center"/>
          </w:tcPr>
          <w:p w14:paraId="2D2470A7">
            <w:pPr>
              <w:jc w:val="center"/>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毕业要求10</w:t>
            </w:r>
            <w:r>
              <w:rPr>
                <w:rFonts w:hint="default" w:ascii="Times New Roman" w:hAnsi="Times New Roman" w:eastAsia="仿宋" w:cs="Times New Roman"/>
                <w:b/>
                <w:sz w:val="24"/>
                <w:szCs w:val="24"/>
                <w:lang w:eastAsia="zh-CN"/>
              </w:rPr>
              <w:t>：</w:t>
            </w:r>
            <w:r>
              <w:rPr>
                <w:rFonts w:hint="default" w:ascii="Times New Roman" w:hAnsi="Times New Roman" w:eastAsia="仿宋" w:cs="Times New Roman"/>
                <w:b/>
                <w:sz w:val="24"/>
                <w:szCs w:val="24"/>
              </w:rPr>
              <w:t>沟通能力</w:t>
            </w:r>
          </w:p>
          <w:p w14:paraId="2B7137DA">
            <w:pPr>
              <w:jc w:val="center"/>
              <w:rPr>
                <w:rFonts w:hint="default" w:ascii="Times New Roman" w:hAnsi="Times New Roman" w:eastAsia="仿宋" w:cs="Times New Roman"/>
                <w:b/>
                <w:sz w:val="24"/>
                <w:szCs w:val="24"/>
              </w:rPr>
            </w:pPr>
            <w:r>
              <w:rPr>
                <w:rFonts w:hint="default" w:ascii="Times New Roman" w:hAnsi="Times New Roman" w:eastAsia="仿宋" w:cs="Times New Roman"/>
                <w:sz w:val="24"/>
                <w:szCs w:val="24"/>
              </w:rPr>
              <w:t>能够就复杂石油化工问题与业界同行及社会公众进行有效沟通和交流，包括撰写报告和设计文稿、陈述发言、清晰表达或回应指令，并具备一定的国际视野，能够在跨文化背景下进行沟通和交流。</w:t>
            </w:r>
          </w:p>
        </w:tc>
        <w:tc>
          <w:tcPr>
            <w:tcW w:w="1333" w:type="pct"/>
            <w:tcBorders>
              <w:top w:val="single" w:color="auto" w:sz="4" w:space="0"/>
              <w:left w:val="nil"/>
              <w:bottom w:val="single" w:color="auto" w:sz="4" w:space="0"/>
              <w:right w:val="single" w:color="auto" w:sz="4" w:space="0"/>
            </w:tcBorders>
            <w:vAlign w:val="top"/>
          </w:tcPr>
          <w:p w14:paraId="13CA7148">
            <w:pPr>
              <w:rPr>
                <w:rFonts w:hint="default" w:ascii="Times New Roman" w:hAnsi="Times New Roman" w:eastAsia="仿宋" w:cs="Times New Roman"/>
                <w:sz w:val="24"/>
                <w:szCs w:val="24"/>
              </w:rPr>
            </w:pPr>
            <w:r>
              <w:rPr>
                <w:rFonts w:hint="default" w:ascii="Times New Roman" w:hAnsi="Times New Roman" w:eastAsia="仿宋" w:cs="Times New Roman"/>
                <w:b/>
                <w:bCs/>
                <w:sz w:val="24"/>
                <w:szCs w:val="24"/>
              </w:rPr>
              <w:t>10-2</w:t>
            </w:r>
            <w:r>
              <w:rPr>
                <w:rFonts w:hint="eastAsia" w:ascii="Times New Roman" w:hAnsi="Times New Roman" w:eastAsia="仿宋" w:cs="Times New Roman"/>
                <w:b/>
                <w:bCs/>
                <w:sz w:val="24"/>
                <w:szCs w:val="24"/>
                <w:lang w:eastAsia="zh-CN"/>
              </w:rPr>
              <w:t>：</w:t>
            </w:r>
            <w:r>
              <w:rPr>
                <w:rFonts w:hint="default" w:ascii="Times New Roman" w:hAnsi="Times New Roman" w:eastAsia="仿宋" w:cs="Times New Roman"/>
                <w:sz w:val="24"/>
                <w:szCs w:val="24"/>
              </w:rPr>
              <w:t>具有一定的国际视野，能够了解石油化工领域的国际发展趋势和研究热点，理解和尊重世界不同文化的差异性和多样性。</w:t>
            </w:r>
          </w:p>
        </w:tc>
        <w:tc>
          <w:tcPr>
            <w:tcW w:w="1249" w:type="pct"/>
            <w:tcBorders>
              <w:top w:val="single" w:color="auto" w:sz="4" w:space="0"/>
              <w:left w:val="nil"/>
              <w:bottom w:val="single" w:color="auto" w:sz="4" w:space="0"/>
              <w:right w:val="single" w:color="auto" w:sz="4" w:space="0"/>
            </w:tcBorders>
            <w:vAlign w:val="center"/>
          </w:tcPr>
          <w:p w14:paraId="02566442">
            <w:pPr>
              <w:spacing w:line="276" w:lineRule="auto"/>
              <w:rPr>
                <w:rFonts w:hint="default" w:ascii="Times New Roman" w:hAnsi="Times New Roman" w:eastAsia="仿宋" w:cs="Times New Roman"/>
                <w:color w:val="auto"/>
                <w:kern w:val="0"/>
                <w:sz w:val="24"/>
                <w:szCs w:val="24"/>
              </w:rPr>
            </w:pPr>
            <w:r>
              <w:rPr>
                <w:rFonts w:hint="default" w:ascii="Times New Roman" w:hAnsi="Times New Roman" w:eastAsia="仿宋" w:cs="Times New Roman"/>
                <w:color w:val="auto"/>
                <w:kern w:val="0"/>
                <w:sz w:val="24"/>
                <w:szCs w:val="24"/>
              </w:rPr>
              <w:t>课程目标</w:t>
            </w:r>
            <w:r>
              <w:rPr>
                <w:rFonts w:hint="eastAsia" w:ascii="Times New Roman" w:hAnsi="Times New Roman" w:eastAsia="仿宋" w:cs="Times New Roman"/>
                <w:color w:val="auto"/>
                <w:kern w:val="0"/>
                <w:sz w:val="24"/>
                <w:szCs w:val="24"/>
                <w:lang w:val="en-US" w:eastAsia="zh-CN"/>
              </w:rPr>
              <w:t>6</w:t>
            </w:r>
          </w:p>
        </w:tc>
        <w:tc>
          <w:tcPr>
            <w:tcW w:w="860" w:type="pct"/>
            <w:tcBorders>
              <w:top w:val="single" w:color="auto" w:sz="4" w:space="0"/>
              <w:left w:val="nil"/>
              <w:bottom w:val="single" w:color="auto" w:sz="4" w:space="0"/>
              <w:right w:val="single" w:color="auto" w:sz="4" w:space="0"/>
            </w:tcBorders>
          </w:tcPr>
          <w:p w14:paraId="5516E529">
            <w:pPr>
              <w:numPr>
                <w:ilvl w:val="0"/>
                <w:numId w:val="0"/>
              </w:numPr>
              <w:spacing w:line="276" w:lineRule="auto"/>
              <w:ind w:leftChars="0"/>
              <w:jc w:val="both"/>
              <w:rPr>
                <w:rFonts w:hint="default" w:ascii="Times New Roman" w:hAnsi="Times New Roman" w:eastAsia="仿宋" w:cs="Times New Roman"/>
                <w:color w:val="auto"/>
                <w:sz w:val="24"/>
              </w:rPr>
            </w:pPr>
          </w:p>
          <w:p w14:paraId="1D471D5D">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p>
          <w:p w14:paraId="099E2C7D">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A8"/>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H</w:t>
            </w:r>
          </w:p>
          <w:p w14:paraId="2D21401E">
            <w:pPr>
              <w:numPr>
                <w:ilvl w:val="0"/>
                <w:numId w:val="0"/>
              </w:numPr>
              <w:spacing w:line="276" w:lineRule="auto"/>
              <w:ind w:leftChars="0" w:firstLine="480" w:firstLineChars="2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sym w:font="Wingdings" w:char="00FE"/>
            </w:r>
            <w:r>
              <w:rPr>
                <w:rFonts w:hint="default"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M</w:t>
            </w:r>
          </w:p>
          <w:p w14:paraId="7000EFA4">
            <w:pPr>
              <w:numPr>
                <w:ilvl w:val="0"/>
                <w:numId w:val="0"/>
              </w:numPr>
              <w:spacing w:line="276" w:lineRule="auto"/>
              <w:ind w:leftChars="0"/>
              <w:jc w:val="both"/>
              <w:rPr>
                <w:rFonts w:hint="default" w:ascii="Times New Roman" w:hAnsi="Times New Roman" w:eastAsia="仿宋" w:cs="Times New Roman"/>
                <w:color w:val="auto"/>
                <w:sz w:val="24"/>
              </w:rPr>
            </w:pP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sym w:font="Wingdings" w:char="00A8"/>
            </w: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L</w:t>
            </w:r>
          </w:p>
        </w:tc>
      </w:tr>
    </w:tbl>
    <w:p w14:paraId="772C57C1">
      <w:pPr>
        <w:spacing w:line="360" w:lineRule="auto"/>
        <w:rPr>
          <w:rFonts w:hint="default" w:ascii="Times New Roman" w:hAnsi="Times New Roman" w:eastAsia="仿宋" w:cs="Times New Roman"/>
          <w:color w:val="auto"/>
          <w:sz w:val="24"/>
          <w:szCs w:val="24"/>
          <w:lang w:val="en-GB"/>
        </w:rPr>
      </w:pPr>
    </w:p>
    <w:p w14:paraId="7D6C0C8B">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四</w:t>
      </w:r>
      <w:r>
        <w:rPr>
          <w:rFonts w:eastAsia="黑体"/>
          <w:color w:val="auto"/>
          <w:sz w:val="28"/>
          <w:szCs w:val="28"/>
        </w:rPr>
        <w:t>、</w:t>
      </w:r>
      <w:r>
        <w:rPr>
          <w:rFonts w:hint="eastAsia" w:eastAsia="黑体"/>
          <w:color w:val="auto"/>
          <w:sz w:val="28"/>
          <w:szCs w:val="28"/>
        </w:rPr>
        <w:t>课程教学内容及对课程目标的支撑</w:t>
      </w:r>
    </w:p>
    <w:p w14:paraId="32577272">
      <w:pPr>
        <w:snapToGrid w:val="0"/>
        <w:spacing w:line="300" w:lineRule="auto"/>
        <w:ind w:firstLine="480" w:firstLineChars="200"/>
        <w:rPr>
          <w:rFonts w:ascii="仿宋" w:hAnsi="仿宋" w:eastAsia="仿宋"/>
          <w:color w:val="auto"/>
          <w:sz w:val="24"/>
        </w:rPr>
      </w:pP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1311"/>
        <w:gridCol w:w="1780"/>
        <w:gridCol w:w="457"/>
        <w:gridCol w:w="1640"/>
        <w:gridCol w:w="810"/>
        <w:gridCol w:w="810"/>
        <w:gridCol w:w="816"/>
      </w:tblGrid>
      <w:tr w14:paraId="72EA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blHeader/>
          <w:jc w:val="center"/>
        </w:trPr>
        <w:tc>
          <w:tcPr>
            <w:tcW w:w="1294" w:type="pct"/>
            <w:gridSpan w:val="2"/>
            <w:vAlign w:val="center"/>
          </w:tcPr>
          <w:p w14:paraId="5FCE5581">
            <w:pPr>
              <w:jc w:val="center"/>
              <w:rPr>
                <w:rFonts w:hint="eastAsia" w:ascii="仿宋" w:hAnsi="仿宋" w:eastAsia="仿宋" w:cs="仿宋"/>
                <w:b/>
                <w:color w:val="auto"/>
                <w:sz w:val="24"/>
                <w:szCs w:val="24"/>
                <w:lang w:val="zh-CN"/>
              </w:rPr>
            </w:pPr>
            <w:r>
              <w:rPr>
                <w:rFonts w:hint="eastAsia" w:ascii="仿宋" w:hAnsi="仿宋" w:eastAsia="仿宋" w:cs="仿宋"/>
                <w:b/>
                <w:color w:val="auto"/>
                <w:sz w:val="24"/>
                <w:szCs w:val="24"/>
                <w:lang w:val="zh-CN"/>
              </w:rPr>
              <w:t>章节/教学单元</w:t>
            </w:r>
          </w:p>
        </w:tc>
        <w:tc>
          <w:tcPr>
            <w:tcW w:w="1044" w:type="pct"/>
            <w:vAlign w:val="center"/>
          </w:tcPr>
          <w:p w14:paraId="09B32AC1">
            <w:pPr>
              <w:jc w:val="center"/>
              <w:rPr>
                <w:rFonts w:hint="eastAsia" w:ascii="仿宋" w:hAnsi="仿宋" w:eastAsia="仿宋" w:cs="仿宋"/>
                <w:b/>
                <w:color w:val="auto"/>
                <w:sz w:val="24"/>
                <w:szCs w:val="24"/>
                <w:lang w:val="zh-CN"/>
              </w:rPr>
            </w:pPr>
            <w:r>
              <w:rPr>
                <w:rFonts w:hint="eastAsia" w:ascii="仿宋" w:hAnsi="仿宋" w:eastAsia="仿宋" w:cs="仿宋"/>
                <w:b/>
                <w:color w:val="auto"/>
                <w:sz w:val="24"/>
                <w:szCs w:val="24"/>
                <w:lang w:val="zh-CN"/>
              </w:rPr>
              <w:t>教学内容</w:t>
            </w:r>
          </w:p>
        </w:tc>
        <w:tc>
          <w:tcPr>
            <w:tcW w:w="268" w:type="pct"/>
            <w:vAlign w:val="center"/>
          </w:tcPr>
          <w:p w14:paraId="397BEF60">
            <w:pPr>
              <w:jc w:val="center"/>
              <w:rPr>
                <w:rFonts w:hint="eastAsia" w:ascii="仿宋" w:hAnsi="仿宋" w:eastAsia="仿宋" w:cs="仿宋"/>
                <w:b/>
                <w:color w:val="auto"/>
                <w:sz w:val="24"/>
                <w:szCs w:val="24"/>
                <w:lang w:val="zh-CN"/>
              </w:rPr>
            </w:pPr>
            <w:r>
              <w:rPr>
                <w:rFonts w:hint="eastAsia" w:ascii="仿宋" w:hAnsi="仿宋" w:eastAsia="仿宋" w:cs="仿宋"/>
                <w:b/>
                <w:color w:val="auto"/>
                <w:sz w:val="24"/>
                <w:szCs w:val="24"/>
                <w:lang w:val="zh-CN"/>
              </w:rPr>
              <w:t>学时</w:t>
            </w:r>
          </w:p>
        </w:tc>
        <w:tc>
          <w:tcPr>
            <w:tcW w:w="962" w:type="pct"/>
            <w:vAlign w:val="center"/>
          </w:tcPr>
          <w:p w14:paraId="7E6C1839">
            <w:pPr>
              <w:suppressAutoHyphens/>
              <w:spacing w:before="156" w:beforeLines="50" w:after="156" w:afterLines="50" w:line="276" w:lineRule="auto"/>
              <w:jc w:val="center"/>
              <w:rPr>
                <w:rFonts w:hint="eastAsia" w:ascii="仿宋" w:hAnsi="仿宋" w:eastAsia="仿宋" w:cs="仿宋"/>
                <w:b/>
                <w:color w:val="auto"/>
                <w:spacing w:val="-3"/>
                <w:sz w:val="24"/>
                <w:szCs w:val="24"/>
                <w:lang w:val="en-GB"/>
              </w:rPr>
            </w:pPr>
            <w:r>
              <w:rPr>
                <w:rFonts w:hint="eastAsia" w:ascii="仿宋" w:hAnsi="仿宋" w:eastAsia="仿宋" w:cs="仿宋"/>
                <w:b/>
                <w:color w:val="auto"/>
                <w:spacing w:val="-3"/>
                <w:sz w:val="24"/>
                <w:szCs w:val="24"/>
                <w:lang w:val="en-GB"/>
              </w:rPr>
              <w:t>授课要点</w:t>
            </w:r>
          </w:p>
          <w:p w14:paraId="00641337">
            <w:pPr>
              <w:suppressAutoHyphens/>
              <w:spacing w:before="156" w:beforeLines="50" w:after="156" w:afterLines="50" w:line="276" w:lineRule="auto"/>
              <w:jc w:val="center"/>
              <w:rPr>
                <w:rFonts w:hint="eastAsia" w:ascii="仿宋" w:hAnsi="仿宋" w:eastAsia="仿宋" w:cs="仿宋"/>
                <w:b/>
                <w:color w:val="auto"/>
                <w:sz w:val="24"/>
                <w:szCs w:val="24"/>
                <w:lang w:val="zh-CN"/>
              </w:rPr>
            </w:pPr>
            <w:r>
              <w:rPr>
                <w:rFonts w:hint="eastAsia" w:ascii="仿宋" w:hAnsi="仿宋" w:eastAsia="仿宋" w:cs="仿宋"/>
                <w:b/>
                <w:color w:val="auto"/>
                <w:spacing w:val="-3"/>
                <w:sz w:val="13"/>
                <w:szCs w:val="13"/>
                <w:lang w:val="en-GB"/>
              </w:rPr>
              <w:t>（重点、难点、课程思政元素等）</w:t>
            </w:r>
          </w:p>
        </w:tc>
        <w:tc>
          <w:tcPr>
            <w:tcW w:w="475" w:type="pct"/>
            <w:vAlign w:val="center"/>
          </w:tcPr>
          <w:p w14:paraId="79552E47">
            <w:pPr>
              <w:suppressAutoHyphens/>
              <w:spacing w:before="156" w:beforeLines="50" w:after="156" w:afterLines="50" w:line="276" w:lineRule="auto"/>
              <w:jc w:val="center"/>
              <w:rPr>
                <w:rFonts w:hint="eastAsia" w:ascii="仿宋" w:hAnsi="仿宋" w:eastAsia="仿宋" w:cs="仿宋"/>
                <w:b/>
                <w:color w:val="auto"/>
                <w:sz w:val="24"/>
                <w:szCs w:val="24"/>
                <w:lang w:val="zh-CN"/>
              </w:rPr>
            </w:pPr>
            <w:r>
              <w:rPr>
                <w:rFonts w:hint="eastAsia" w:ascii="仿宋" w:hAnsi="仿宋" w:eastAsia="仿宋" w:cs="仿宋"/>
                <w:b/>
                <w:color w:val="auto"/>
                <w:spacing w:val="-3"/>
                <w:sz w:val="24"/>
                <w:szCs w:val="24"/>
                <w:lang w:val="en-GB"/>
              </w:rPr>
              <w:t>教学方法</w:t>
            </w:r>
          </w:p>
        </w:tc>
        <w:tc>
          <w:tcPr>
            <w:tcW w:w="475" w:type="pct"/>
            <w:vAlign w:val="center"/>
          </w:tcPr>
          <w:p w14:paraId="10768809">
            <w:pPr>
              <w:suppressAutoHyphens/>
              <w:spacing w:before="156" w:beforeLines="50" w:after="156" w:afterLines="50" w:line="276" w:lineRule="auto"/>
              <w:jc w:val="center"/>
              <w:rPr>
                <w:rFonts w:hint="eastAsia" w:ascii="仿宋" w:hAnsi="仿宋" w:eastAsia="仿宋" w:cs="仿宋"/>
                <w:b/>
                <w:color w:val="auto"/>
                <w:sz w:val="24"/>
                <w:szCs w:val="24"/>
                <w:lang w:val="zh-CN"/>
              </w:rPr>
            </w:pPr>
            <w:r>
              <w:rPr>
                <w:rFonts w:hint="eastAsia" w:ascii="仿宋" w:hAnsi="仿宋" w:eastAsia="仿宋" w:cs="仿宋"/>
                <w:b/>
                <w:color w:val="auto"/>
                <w:spacing w:val="-3"/>
                <w:sz w:val="24"/>
                <w:szCs w:val="24"/>
                <w:lang w:val="en-GB"/>
              </w:rPr>
              <w:t>考核形式</w:t>
            </w:r>
          </w:p>
        </w:tc>
        <w:tc>
          <w:tcPr>
            <w:tcW w:w="478" w:type="pct"/>
            <w:vAlign w:val="center"/>
          </w:tcPr>
          <w:p w14:paraId="629B17BB">
            <w:pPr>
              <w:suppressAutoHyphens/>
              <w:spacing w:before="156" w:beforeLines="50" w:after="156" w:afterLines="50" w:line="276" w:lineRule="auto"/>
              <w:jc w:val="center"/>
              <w:rPr>
                <w:rFonts w:hint="eastAsia" w:ascii="仿宋" w:hAnsi="仿宋" w:eastAsia="仿宋" w:cs="仿宋"/>
                <w:b/>
                <w:color w:val="auto"/>
                <w:sz w:val="24"/>
                <w:szCs w:val="24"/>
                <w:lang w:val="zh-CN"/>
              </w:rPr>
            </w:pPr>
            <w:r>
              <w:rPr>
                <w:rFonts w:hint="eastAsia" w:ascii="仿宋" w:hAnsi="仿宋" w:eastAsia="仿宋" w:cs="仿宋"/>
                <w:b/>
                <w:color w:val="auto"/>
                <w:spacing w:val="-3"/>
                <w:sz w:val="24"/>
                <w:szCs w:val="24"/>
                <w:lang w:val="en-GB"/>
              </w:rPr>
              <w:t>课程目标</w:t>
            </w:r>
          </w:p>
        </w:tc>
      </w:tr>
      <w:tr w14:paraId="15451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Align w:val="center"/>
          </w:tcPr>
          <w:p w14:paraId="202540DC">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绪论</w:t>
            </w:r>
          </w:p>
        </w:tc>
        <w:tc>
          <w:tcPr>
            <w:tcW w:w="769" w:type="pct"/>
            <w:vAlign w:val="center"/>
          </w:tcPr>
          <w:p w14:paraId="503607DF">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石油工业的发展及作用</w:t>
            </w:r>
          </w:p>
        </w:tc>
        <w:tc>
          <w:tcPr>
            <w:tcW w:w="1044" w:type="pct"/>
            <w:vAlign w:val="center"/>
          </w:tcPr>
          <w:p w14:paraId="43D8C895">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zh-CN"/>
              </w:rPr>
              <w:t>课程简介，世界与我国炼油工业发展概况、能源和油气资源形势，炼油业面临的宏观形势分析</w:t>
            </w:r>
          </w:p>
        </w:tc>
        <w:tc>
          <w:tcPr>
            <w:tcW w:w="268" w:type="pct"/>
            <w:vAlign w:val="center"/>
          </w:tcPr>
          <w:p w14:paraId="6E93DC69">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1</w:t>
            </w:r>
          </w:p>
        </w:tc>
        <w:tc>
          <w:tcPr>
            <w:tcW w:w="962" w:type="pct"/>
          </w:tcPr>
          <w:p w14:paraId="292E4952">
            <w:pPr>
              <w:rPr>
                <w:rFonts w:hint="default"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基于石油炼制工业发展过程中的危机与机遇，深入了解行业技术人员需要具备的能力</w:t>
            </w:r>
          </w:p>
        </w:tc>
        <w:tc>
          <w:tcPr>
            <w:tcW w:w="475" w:type="pct"/>
          </w:tcPr>
          <w:p w14:paraId="7C213C44">
            <w:pPr>
              <w:rPr>
                <w:rFonts w:hint="default"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线下教学</w:t>
            </w:r>
          </w:p>
        </w:tc>
        <w:tc>
          <w:tcPr>
            <w:tcW w:w="475" w:type="pct"/>
          </w:tcPr>
          <w:p w14:paraId="2A98AD2D">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Align w:val="center"/>
          </w:tcPr>
          <w:p w14:paraId="548F3730">
            <w:pPr>
              <w:rPr>
                <w:rFonts w:hint="default"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目标1</w:t>
            </w:r>
          </w:p>
        </w:tc>
      </w:tr>
      <w:tr w14:paraId="6D7FE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525" w:type="pct"/>
            <w:vMerge w:val="restart"/>
            <w:vAlign w:val="center"/>
          </w:tcPr>
          <w:p w14:paraId="17251FE7">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zh-CN"/>
              </w:rPr>
              <w:t>第</w:t>
            </w:r>
            <w:r>
              <w:rPr>
                <w:rFonts w:ascii="Times New Roman" w:hAnsi="Times New Roman" w:eastAsia="仿宋" w:cs="Times New Roman"/>
                <w:color w:val="auto"/>
                <w:sz w:val="18"/>
                <w:szCs w:val="18"/>
              </w:rPr>
              <w:t>1</w:t>
            </w:r>
            <w:r>
              <w:rPr>
                <w:rFonts w:ascii="Times New Roman" w:hAnsi="Times New Roman" w:eastAsia="仿宋" w:cs="Times New Roman"/>
                <w:color w:val="auto"/>
                <w:sz w:val="18"/>
                <w:szCs w:val="18"/>
                <w:lang w:val="zh-CN"/>
              </w:rPr>
              <w:t>章 石油的化学组成</w:t>
            </w:r>
          </w:p>
        </w:tc>
        <w:tc>
          <w:tcPr>
            <w:tcW w:w="769" w:type="pct"/>
            <w:vAlign w:val="center"/>
          </w:tcPr>
          <w:p w14:paraId="0645A58E">
            <w:pPr>
              <w:numPr>
                <w:ilvl w:val="1"/>
                <w:numId w:val="2"/>
              </w:num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zh-CN"/>
              </w:rPr>
              <w:t>石油的一般性质、元素组成和馏分组成</w:t>
            </w:r>
          </w:p>
        </w:tc>
        <w:tc>
          <w:tcPr>
            <w:tcW w:w="1044" w:type="pct"/>
            <w:vAlign w:val="center"/>
          </w:tcPr>
          <w:p w14:paraId="38ECFAC0">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lang w:val="zh-CN"/>
              </w:rPr>
              <w:t>石油的一般性质、元素组成和馏分组成</w:t>
            </w:r>
          </w:p>
        </w:tc>
        <w:tc>
          <w:tcPr>
            <w:tcW w:w="268" w:type="pct"/>
            <w:vAlign w:val="center"/>
          </w:tcPr>
          <w:p w14:paraId="765C5A22">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1</w:t>
            </w:r>
          </w:p>
        </w:tc>
        <w:tc>
          <w:tcPr>
            <w:tcW w:w="962" w:type="pct"/>
          </w:tcPr>
          <w:p w14:paraId="24A6F1D4">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zh-CN"/>
              </w:rPr>
              <w:t>石油的一般性质、元素组成和馏分组成</w:t>
            </w:r>
          </w:p>
        </w:tc>
        <w:tc>
          <w:tcPr>
            <w:tcW w:w="475" w:type="pct"/>
          </w:tcPr>
          <w:p w14:paraId="322E9905">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5CB65A72">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restart"/>
            <w:vAlign w:val="center"/>
          </w:tcPr>
          <w:p w14:paraId="09E33BF5">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目标1</w:t>
            </w:r>
          </w:p>
          <w:p w14:paraId="3034E901">
            <w:pPr>
              <w:rPr>
                <w:rFonts w:ascii="Times New Roman" w:hAnsi="Times New Roman" w:eastAsia="仿宋" w:cs="Times New Roman"/>
                <w:color w:val="auto"/>
                <w:sz w:val="18"/>
                <w:szCs w:val="18"/>
                <w:lang w:val="zh-CN"/>
              </w:rPr>
            </w:pPr>
          </w:p>
        </w:tc>
      </w:tr>
      <w:tr w14:paraId="16C1C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continue"/>
            <w:vAlign w:val="center"/>
          </w:tcPr>
          <w:p w14:paraId="5E428448">
            <w:pPr>
              <w:rPr>
                <w:rFonts w:ascii="Times New Roman" w:hAnsi="Times New Roman" w:eastAsia="仿宋" w:cs="Times New Roman"/>
                <w:color w:val="auto"/>
                <w:sz w:val="18"/>
                <w:szCs w:val="18"/>
                <w:lang w:val="zh-CN"/>
              </w:rPr>
            </w:pPr>
          </w:p>
        </w:tc>
        <w:tc>
          <w:tcPr>
            <w:tcW w:w="769" w:type="pct"/>
            <w:vAlign w:val="center"/>
          </w:tcPr>
          <w:p w14:paraId="38D9B72B">
            <w:pPr>
              <w:numPr>
                <w:ilvl w:val="1"/>
                <w:numId w:val="2"/>
              </w:num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zh-CN"/>
              </w:rPr>
              <w:t>石油馏分的烃类组成</w:t>
            </w:r>
          </w:p>
          <w:p w14:paraId="1354AD83">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 xml:space="preserve">1.3 </w:t>
            </w:r>
            <w:r>
              <w:rPr>
                <w:rFonts w:ascii="Times New Roman" w:hAnsi="Times New Roman" w:eastAsia="仿宋" w:cs="Times New Roman"/>
                <w:color w:val="auto"/>
                <w:sz w:val="18"/>
                <w:szCs w:val="18"/>
                <w:lang w:val="en-GB"/>
              </w:rPr>
              <w:t>石油中的非烃化合物</w:t>
            </w:r>
          </w:p>
        </w:tc>
        <w:tc>
          <w:tcPr>
            <w:tcW w:w="1044" w:type="pct"/>
            <w:vAlign w:val="center"/>
          </w:tcPr>
          <w:p w14:paraId="3291399B">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石油的三种烃类组成表示方法，</w:t>
            </w:r>
            <w:r>
              <w:rPr>
                <w:rFonts w:ascii="Times New Roman" w:hAnsi="Times New Roman" w:eastAsia="仿宋" w:cs="Times New Roman"/>
                <w:color w:val="auto"/>
                <w:sz w:val="18"/>
                <w:szCs w:val="18"/>
                <w:lang w:val="en-GB"/>
              </w:rPr>
              <w:t>石油中的非烃化合物</w:t>
            </w:r>
          </w:p>
        </w:tc>
        <w:tc>
          <w:tcPr>
            <w:tcW w:w="268" w:type="pct"/>
            <w:vAlign w:val="center"/>
          </w:tcPr>
          <w:p w14:paraId="085BBFEF">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2</w:t>
            </w:r>
          </w:p>
        </w:tc>
        <w:tc>
          <w:tcPr>
            <w:tcW w:w="962" w:type="pct"/>
          </w:tcPr>
          <w:p w14:paraId="01F075BC">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石油的三种烃类组成表示方法，</w:t>
            </w:r>
          </w:p>
          <w:p w14:paraId="6DD1D982">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en-GB"/>
              </w:rPr>
              <w:t>石油中的非烃化合物</w:t>
            </w:r>
          </w:p>
        </w:tc>
        <w:tc>
          <w:tcPr>
            <w:tcW w:w="475" w:type="pct"/>
          </w:tcPr>
          <w:p w14:paraId="7DF3A12F">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376B0234">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79AA5668">
            <w:pPr>
              <w:rPr>
                <w:rFonts w:ascii="Times New Roman" w:hAnsi="Times New Roman" w:eastAsia="仿宋" w:cs="Times New Roman"/>
                <w:color w:val="auto"/>
                <w:sz w:val="18"/>
                <w:szCs w:val="18"/>
                <w:lang w:val="zh-CN"/>
              </w:rPr>
            </w:pPr>
          </w:p>
        </w:tc>
      </w:tr>
      <w:tr w14:paraId="20D37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continue"/>
            <w:vAlign w:val="center"/>
          </w:tcPr>
          <w:p w14:paraId="2444A3DA">
            <w:pPr>
              <w:rPr>
                <w:rFonts w:ascii="Times New Roman" w:hAnsi="Times New Roman" w:eastAsia="仿宋" w:cs="Times New Roman"/>
                <w:color w:val="auto"/>
                <w:sz w:val="18"/>
                <w:szCs w:val="18"/>
                <w:lang w:val="zh-CN"/>
              </w:rPr>
            </w:pPr>
          </w:p>
        </w:tc>
        <w:tc>
          <w:tcPr>
            <w:tcW w:w="769" w:type="pct"/>
            <w:vAlign w:val="center"/>
          </w:tcPr>
          <w:p w14:paraId="784EA22E">
            <w:pPr>
              <w:rPr>
                <w:rFonts w:ascii="Times New Roman" w:hAnsi="Times New Roman" w:eastAsia="仿宋" w:cs="Times New Roman"/>
                <w:color w:val="auto"/>
                <w:sz w:val="18"/>
                <w:szCs w:val="18"/>
                <w:lang w:val="en-GB"/>
              </w:rPr>
            </w:pPr>
            <w:r>
              <w:rPr>
                <w:rFonts w:ascii="Times New Roman" w:hAnsi="Times New Roman" w:eastAsia="仿宋" w:cs="Times New Roman"/>
                <w:color w:val="auto"/>
                <w:sz w:val="18"/>
                <w:szCs w:val="18"/>
              </w:rPr>
              <w:t>1.4</w:t>
            </w:r>
            <w:r>
              <w:rPr>
                <w:rFonts w:ascii="Times New Roman" w:hAnsi="Times New Roman" w:eastAsia="仿宋" w:cs="Times New Roman"/>
                <w:color w:val="auto"/>
                <w:sz w:val="18"/>
                <w:szCs w:val="18"/>
                <w:lang w:val="en-GB"/>
              </w:rPr>
              <w:t xml:space="preserve"> 石油中的微量元素</w:t>
            </w:r>
          </w:p>
          <w:p w14:paraId="7BB0C38E">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 xml:space="preserve">1.5 </w:t>
            </w:r>
            <w:r>
              <w:rPr>
                <w:rFonts w:ascii="Times New Roman" w:hAnsi="Times New Roman" w:eastAsia="仿宋" w:cs="Times New Roman"/>
                <w:color w:val="auto"/>
                <w:sz w:val="18"/>
                <w:szCs w:val="18"/>
                <w:lang w:val="en-GB"/>
              </w:rPr>
              <w:t>渣油及渣油中的胶质、沥青质</w:t>
            </w:r>
          </w:p>
        </w:tc>
        <w:tc>
          <w:tcPr>
            <w:tcW w:w="1044" w:type="pct"/>
            <w:vAlign w:val="center"/>
          </w:tcPr>
          <w:p w14:paraId="474B20BC">
            <w:pPr>
              <w:rPr>
                <w:rFonts w:ascii="Times New Roman" w:hAnsi="Times New Roman" w:eastAsia="仿宋" w:cs="Times New Roman"/>
                <w:color w:val="auto"/>
                <w:sz w:val="18"/>
                <w:szCs w:val="18"/>
                <w:lang w:val="en-GB"/>
              </w:rPr>
            </w:pPr>
            <w:r>
              <w:rPr>
                <w:rFonts w:ascii="Times New Roman" w:hAnsi="Times New Roman" w:eastAsia="仿宋" w:cs="Times New Roman"/>
                <w:color w:val="auto"/>
                <w:sz w:val="18"/>
                <w:szCs w:val="18"/>
                <w:lang w:val="en-GB"/>
              </w:rPr>
              <w:t>石油中的微量元素</w:t>
            </w:r>
          </w:p>
          <w:p w14:paraId="2833B9C5">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渣油的特点，胶质沥青质的定义及区别</w:t>
            </w:r>
          </w:p>
          <w:p w14:paraId="636A7C80">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第一章内容复习及讨论</w:t>
            </w:r>
          </w:p>
        </w:tc>
        <w:tc>
          <w:tcPr>
            <w:tcW w:w="268" w:type="pct"/>
            <w:vAlign w:val="center"/>
          </w:tcPr>
          <w:p w14:paraId="073734B6">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2</w:t>
            </w:r>
          </w:p>
        </w:tc>
        <w:tc>
          <w:tcPr>
            <w:tcW w:w="962" w:type="pct"/>
          </w:tcPr>
          <w:p w14:paraId="6B8AB32E">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渣油的特点，</w:t>
            </w:r>
          </w:p>
          <w:p w14:paraId="699DD8B9">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胶质沥青质的定义及区别</w:t>
            </w:r>
          </w:p>
        </w:tc>
        <w:tc>
          <w:tcPr>
            <w:tcW w:w="475" w:type="pct"/>
          </w:tcPr>
          <w:p w14:paraId="6EF1E15C">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18BB81E5">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6BEDE768">
            <w:pPr>
              <w:rPr>
                <w:rFonts w:ascii="Times New Roman" w:hAnsi="Times New Roman" w:eastAsia="仿宋" w:cs="Times New Roman"/>
                <w:color w:val="auto"/>
                <w:sz w:val="18"/>
                <w:szCs w:val="18"/>
                <w:lang w:val="zh-CN"/>
              </w:rPr>
            </w:pPr>
          </w:p>
        </w:tc>
      </w:tr>
      <w:tr w14:paraId="398D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restart"/>
            <w:vAlign w:val="center"/>
          </w:tcPr>
          <w:p w14:paraId="6AA0F0F8">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zh-CN"/>
              </w:rPr>
              <w:t>第</w:t>
            </w:r>
            <w:r>
              <w:rPr>
                <w:rFonts w:ascii="Times New Roman" w:hAnsi="Times New Roman" w:eastAsia="仿宋" w:cs="Times New Roman"/>
                <w:color w:val="auto"/>
                <w:sz w:val="18"/>
                <w:szCs w:val="18"/>
              </w:rPr>
              <w:t>2</w:t>
            </w:r>
            <w:r>
              <w:rPr>
                <w:rFonts w:ascii="Times New Roman" w:hAnsi="Times New Roman" w:eastAsia="仿宋" w:cs="Times New Roman"/>
                <w:color w:val="auto"/>
                <w:sz w:val="18"/>
                <w:szCs w:val="18"/>
                <w:lang w:val="zh-CN"/>
              </w:rPr>
              <w:t>章 石油及油品的物理性质</w:t>
            </w:r>
          </w:p>
        </w:tc>
        <w:tc>
          <w:tcPr>
            <w:tcW w:w="769" w:type="pct"/>
            <w:vAlign w:val="center"/>
          </w:tcPr>
          <w:p w14:paraId="3B493A01">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2.1</w:t>
            </w:r>
            <w:r>
              <w:rPr>
                <w:rFonts w:ascii="Times New Roman" w:hAnsi="Times New Roman" w:eastAsia="仿宋" w:cs="Times New Roman"/>
                <w:color w:val="auto"/>
                <w:sz w:val="18"/>
                <w:szCs w:val="18"/>
                <w:lang w:val="zh-CN"/>
              </w:rPr>
              <w:t xml:space="preserve"> 密度、折射率和分子量</w:t>
            </w:r>
          </w:p>
          <w:p w14:paraId="0342FF06">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2.2</w:t>
            </w:r>
            <w:r>
              <w:rPr>
                <w:rFonts w:ascii="Times New Roman" w:hAnsi="Times New Roman" w:eastAsia="仿宋" w:cs="Times New Roman"/>
                <w:color w:val="auto"/>
                <w:sz w:val="18"/>
                <w:szCs w:val="18"/>
                <w:lang w:val="zh-CN"/>
              </w:rPr>
              <w:t xml:space="preserve"> 蒸气压、沸程和平均沸点</w:t>
            </w:r>
          </w:p>
        </w:tc>
        <w:tc>
          <w:tcPr>
            <w:tcW w:w="1044" w:type="pct"/>
            <w:vAlign w:val="center"/>
          </w:tcPr>
          <w:p w14:paraId="3C3E47AC">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lang w:val="zh-CN"/>
              </w:rPr>
              <w:t>密度、折射率和分子量</w:t>
            </w:r>
            <w:r>
              <w:rPr>
                <w:rFonts w:ascii="Times New Roman" w:hAnsi="Times New Roman" w:eastAsia="仿宋" w:cs="Times New Roman"/>
                <w:color w:val="auto"/>
                <w:sz w:val="18"/>
                <w:szCs w:val="18"/>
              </w:rPr>
              <w:t>的定义、影响因素，</w:t>
            </w:r>
          </w:p>
          <w:p w14:paraId="3C5057B2">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蒸气压的定义、影响因素，</w:t>
            </w:r>
          </w:p>
          <w:p w14:paraId="714119B5">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lang w:val="zh-CN"/>
              </w:rPr>
              <w:t>沸程</w:t>
            </w:r>
            <w:r>
              <w:rPr>
                <w:rFonts w:ascii="Times New Roman" w:hAnsi="Times New Roman" w:eastAsia="仿宋" w:cs="Times New Roman"/>
                <w:color w:val="auto"/>
                <w:sz w:val="18"/>
                <w:szCs w:val="18"/>
              </w:rPr>
              <w:t>的定义</w:t>
            </w:r>
            <w:r>
              <w:rPr>
                <w:rFonts w:ascii="Times New Roman" w:hAnsi="Times New Roman" w:eastAsia="仿宋" w:cs="Times New Roman"/>
                <w:color w:val="auto"/>
                <w:sz w:val="18"/>
                <w:szCs w:val="18"/>
                <w:lang w:val="zh-CN"/>
              </w:rPr>
              <w:t>和</w:t>
            </w:r>
            <w:r>
              <w:rPr>
                <w:rFonts w:ascii="Times New Roman" w:hAnsi="Times New Roman" w:eastAsia="仿宋" w:cs="Times New Roman"/>
                <w:color w:val="auto"/>
                <w:sz w:val="18"/>
                <w:szCs w:val="18"/>
              </w:rPr>
              <w:t>测定，</w:t>
            </w:r>
            <w:r>
              <w:rPr>
                <w:rFonts w:ascii="Times New Roman" w:hAnsi="Times New Roman" w:eastAsia="仿宋" w:cs="Times New Roman"/>
                <w:color w:val="auto"/>
                <w:sz w:val="18"/>
                <w:szCs w:val="18"/>
                <w:lang w:val="zh-CN"/>
              </w:rPr>
              <w:t>平均沸点</w:t>
            </w:r>
            <w:r>
              <w:rPr>
                <w:rFonts w:ascii="Times New Roman" w:hAnsi="Times New Roman" w:eastAsia="仿宋" w:cs="Times New Roman"/>
                <w:color w:val="auto"/>
                <w:sz w:val="18"/>
                <w:szCs w:val="18"/>
              </w:rPr>
              <w:t>的定义和用途</w:t>
            </w:r>
          </w:p>
        </w:tc>
        <w:tc>
          <w:tcPr>
            <w:tcW w:w="268" w:type="pct"/>
            <w:vAlign w:val="center"/>
          </w:tcPr>
          <w:p w14:paraId="698430FC">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2</w:t>
            </w:r>
          </w:p>
        </w:tc>
        <w:tc>
          <w:tcPr>
            <w:tcW w:w="962" w:type="pct"/>
          </w:tcPr>
          <w:p w14:paraId="51AAC17B">
            <w:pPr>
              <w:rPr>
                <w:rFonts w:hint="default"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相关基础物理性质的定义及影响因素及应用</w:t>
            </w:r>
          </w:p>
        </w:tc>
        <w:tc>
          <w:tcPr>
            <w:tcW w:w="475" w:type="pct"/>
          </w:tcPr>
          <w:p w14:paraId="40799C3C">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7F24BEF8">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restart"/>
            <w:vAlign w:val="center"/>
          </w:tcPr>
          <w:p w14:paraId="7B518DE9">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目标1</w:t>
            </w:r>
          </w:p>
          <w:p w14:paraId="6ED2CF5A">
            <w:pPr>
              <w:rPr>
                <w:rFonts w:ascii="Times New Roman" w:hAnsi="Times New Roman" w:eastAsia="仿宋" w:cs="Times New Roman"/>
                <w:color w:val="auto"/>
                <w:sz w:val="18"/>
                <w:szCs w:val="18"/>
                <w:lang w:val="zh-CN"/>
              </w:rPr>
            </w:pPr>
          </w:p>
        </w:tc>
      </w:tr>
      <w:tr w14:paraId="76D8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25" w:type="pct"/>
            <w:vMerge w:val="continue"/>
            <w:vAlign w:val="center"/>
          </w:tcPr>
          <w:p w14:paraId="718AD3E3">
            <w:pPr>
              <w:rPr>
                <w:rFonts w:ascii="Times New Roman" w:hAnsi="Times New Roman" w:eastAsia="仿宋" w:cs="Times New Roman"/>
                <w:color w:val="auto"/>
                <w:sz w:val="18"/>
                <w:szCs w:val="18"/>
                <w:lang w:val="zh-CN"/>
              </w:rPr>
            </w:pPr>
          </w:p>
        </w:tc>
        <w:tc>
          <w:tcPr>
            <w:tcW w:w="769" w:type="pct"/>
            <w:vAlign w:val="center"/>
          </w:tcPr>
          <w:p w14:paraId="75EF9111">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2.3</w:t>
            </w:r>
            <w:r>
              <w:rPr>
                <w:rFonts w:ascii="Times New Roman" w:hAnsi="Times New Roman" w:eastAsia="仿宋" w:cs="Times New Roman"/>
                <w:color w:val="auto"/>
                <w:sz w:val="18"/>
                <w:szCs w:val="18"/>
                <w:lang w:val="zh-CN"/>
              </w:rPr>
              <w:t xml:space="preserve"> 油品的粘度</w:t>
            </w:r>
          </w:p>
          <w:p w14:paraId="029D1EB5">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2.4</w:t>
            </w:r>
            <w:r>
              <w:rPr>
                <w:rFonts w:ascii="Times New Roman" w:hAnsi="Times New Roman" w:eastAsia="仿宋" w:cs="Times New Roman"/>
                <w:color w:val="auto"/>
                <w:sz w:val="18"/>
                <w:szCs w:val="18"/>
                <w:lang w:val="zh-CN"/>
              </w:rPr>
              <w:t xml:space="preserve"> 临界性质、压缩因子及偏心因子</w:t>
            </w:r>
          </w:p>
        </w:tc>
        <w:tc>
          <w:tcPr>
            <w:tcW w:w="1044" w:type="pct"/>
            <w:vAlign w:val="center"/>
          </w:tcPr>
          <w:p w14:paraId="60AFBE06">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粘度的表示方法、测定及影响因素，</w:t>
            </w:r>
          </w:p>
          <w:p w14:paraId="5119D5D5">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临界性质、压缩因子及偏心因子的定义及应用</w:t>
            </w:r>
          </w:p>
        </w:tc>
        <w:tc>
          <w:tcPr>
            <w:tcW w:w="268" w:type="pct"/>
            <w:vAlign w:val="center"/>
          </w:tcPr>
          <w:p w14:paraId="672D1B34">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2</w:t>
            </w:r>
          </w:p>
        </w:tc>
        <w:tc>
          <w:tcPr>
            <w:tcW w:w="962" w:type="pct"/>
          </w:tcPr>
          <w:p w14:paraId="4B0F9C95">
            <w:pPr>
              <w:rPr>
                <w:rFonts w:hint="default" w:ascii="Times New Roman" w:hAnsi="Times New Roman" w:eastAsia="仿宋" w:cs="Times New Roman"/>
                <w:color w:val="auto"/>
                <w:sz w:val="18"/>
                <w:szCs w:val="18"/>
                <w:lang w:val="en-US"/>
              </w:rPr>
            </w:pPr>
            <w:r>
              <w:rPr>
                <w:rFonts w:hint="eastAsia" w:ascii="Times New Roman" w:hAnsi="Times New Roman" w:eastAsia="仿宋" w:cs="Times New Roman"/>
                <w:color w:val="auto"/>
                <w:sz w:val="18"/>
                <w:szCs w:val="18"/>
                <w:lang w:val="en-US" w:eastAsia="zh-CN"/>
              </w:rPr>
              <w:t>相关基础物理性质的定义及影响因素</w:t>
            </w:r>
          </w:p>
        </w:tc>
        <w:tc>
          <w:tcPr>
            <w:tcW w:w="475" w:type="pct"/>
          </w:tcPr>
          <w:p w14:paraId="3424A9AC">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0476A839">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48797707">
            <w:pPr>
              <w:rPr>
                <w:rFonts w:ascii="Times New Roman" w:hAnsi="Times New Roman" w:eastAsia="仿宋" w:cs="Times New Roman"/>
                <w:color w:val="auto"/>
                <w:sz w:val="18"/>
                <w:szCs w:val="18"/>
                <w:lang w:val="zh-CN"/>
              </w:rPr>
            </w:pPr>
          </w:p>
        </w:tc>
      </w:tr>
      <w:tr w14:paraId="3B47C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525" w:type="pct"/>
            <w:vMerge w:val="continue"/>
            <w:vAlign w:val="center"/>
          </w:tcPr>
          <w:p w14:paraId="5B40ACE3">
            <w:pPr>
              <w:rPr>
                <w:rFonts w:ascii="Times New Roman" w:hAnsi="Times New Roman" w:eastAsia="仿宋" w:cs="Times New Roman"/>
                <w:color w:val="auto"/>
                <w:sz w:val="18"/>
                <w:szCs w:val="18"/>
                <w:lang w:val="zh-CN"/>
              </w:rPr>
            </w:pPr>
          </w:p>
        </w:tc>
        <w:tc>
          <w:tcPr>
            <w:tcW w:w="769" w:type="pct"/>
            <w:vAlign w:val="center"/>
          </w:tcPr>
          <w:p w14:paraId="5B355F3F">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2.5</w:t>
            </w:r>
            <w:r>
              <w:rPr>
                <w:rFonts w:ascii="Times New Roman" w:hAnsi="Times New Roman" w:eastAsia="仿宋" w:cs="Times New Roman"/>
                <w:color w:val="auto"/>
                <w:sz w:val="18"/>
                <w:szCs w:val="18"/>
                <w:lang w:val="zh-CN"/>
              </w:rPr>
              <w:t xml:space="preserve"> 油品的热性质</w:t>
            </w:r>
          </w:p>
          <w:p w14:paraId="2993EB79">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2.6</w:t>
            </w:r>
            <w:r>
              <w:rPr>
                <w:rFonts w:ascii="Times New Roman" w:hAnsi="Times New Roman" w:eastAsia="仿宋" w:cs="Times New Roman"/>
                <w:color w:val="auto"/>
                <w:sz w:val="18"/>
                <w:szCs w:val="18"/>
                <w:lang w:val="zh-CN"/>
              </w:rPr>
              <w:t>其他物理性质</w:t>
            </w:r>
          </w:p>
        </w:tc>
        <w:tc>
          <w:tcPr>
            <w:tcW w:w="1044" w:type="pct"/>
            <w:vAlign w:val="center"/>
          </w:tcPr>
          <w:p w14:paraId="2ABD56E7">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几种热性质的定义及应用，</w:t>
            </w:r>
          </w:p>
          <w:p w14:paraId="3CBB9C82">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可燃性、低温性能等相关的性质</w:t>
            </w:r>
          </w:p>
        </w:tc>
        <w:tc>
          <w:tcPr>
            <w:tcW w:w="268" w:type="pct"/>
            <w:vAlign w:val="center"/>
          </w:tcPr>
          <w:p w14:paraId="046FF0BC">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2</w:t>
            </w:r>
          </w:p>
        </w:tc>
        <w:tc>
          <w:tcPr>
            <w:tcW w:w="962" w:type="pct"/>
          </w:tcPr>
          <w:p w14:paraId="07A7C132">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相关基础物理性质的定义及影响因素</w:t>
            </w:r>
          </w:p>
        </w:tc>
        <w:tc>
          <w:tcPr>
            <w:tcW w:w="475" w:type="pct"/>
          </w:tcPr>
          <w:p w14:paraId="7C514C07">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1D405A8F">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5573170A">
            <w:pPr>
              <w:rPr>
                <w:rFonts w:ascii="Times New Roman" w:hAnsi="Times New Roman" w:eastAsia="仿宋" w:cs="Times New Roman"/>
                <w:color w:val="auto"/>
                <w:sz w:val="18"/>
                <w:szCs w:val="18"/>
                <w:lang w:val="zh-CN"/>
              </w:rPr>
            </w:pPr>
          </w:p>
        </w:tc>
      </w:tr>
      <w:tr w14:paraId="66F51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restart"/>
            <w:vAlign w:val="center"/>
          </w:tcPr>
          <w:p w14:paraId="4B393CBB">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zh-CN"/>
              </w:rPr>
              <w:t>第</w:t>
            </w:r>
            <w:r>
              <w:rPr>
                <w:rFonts w:ascii="Times New Roman" w:hAnsi="Times New Roman" w:eastAsia="仿宋" w:cs="Times New Roman"/>
                <w:color w:val="auto"/>
                <w:sz w:val="18"/>
                <w:szCs w:val="18"/>
              </w:rPr>
              <w:t>3</w:t>
            </w:r>
            <w:r>
              <w:rPr>
                <w:rFonts w:ascii="Times New Roman" w:hAnsi="Times New Roman" w:eastAsia="仿宋" w:cs="Times New Roman"/>
                <w:color w:val="auto"/>
                <w:sz w:val="18"/>
                <w:szCs w:val="18"/>
                <w:lang w:val="zh-CN"/>
              </w:rPr>
              <w:t>章 纯烃及石油馏分的性质表征</w:t>
            </w:r>
          </w:p>
        </w:tc>
        <w:tc>
          <w:tcPr>
            <w:tcW w:w="769" w:type="pct"/>
            <w:vAlign w:val="center"/>
          </w:tcPr>
          <w:p w14:paraId="6DDB9E22">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3.1</w:t>
            </w:r>
            <w:r>
              <w:rPr>
                <w:rFonts w:ascii="Times New Roman" w:hAnsi="Times New Roman" w:eastAsia="仿宋" w:cs="Times New Roman"/>
                <w:color w:val="auto"/>
                <w:sz w:val="18"/>
                <w:szCs w:val="18"/>
                <w:lang w:val="en-GB"/>
              </w:rPr>
              <w:t xml:space="preserve"> 纯烃的性质表征</w:t>
            </w:r>
          </w:p>
        </w:tc>
        <w:tc>
          <w:tcPr>
            <w:tcW w:w="1044" w:type="pct"/>
            <w:vAlign w:val="center"/>
          </w:tcPr>
          <w:p w14:paraId="1D4E7424">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lang w:val="en-GB"/>
              </w:rPr>
              <w:t>纯烃性质表征的</w:t>
            </w:r>
            <w:r>
              <w:rPr>
                <w:rFonts w:ascii="Times New Roman" w:hAnsi="Times New Roman" w:eastAsia="仿宋" w:cs="Times New Roman"/>
                <w:color w:val="auto"/>
                <w:sz w:val="18"/>
                <w:szCs w:val="18"/>
              </w:rPr>
              <w:t>基础理论及发展</w:t>
            </w:r>
          </w:p>
        </w:tc>
        <w:tc>
          <w:tcPr>
            <w:tcW w:w="268" w:type="pct"/>
            <w:vAlign w:val="center"/>
          </w:tcPr>
          <w:p w14:paraId="65CA513B">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2</w:t>
            </w:r>
          </w:p>
        </w:tc>
        <w:tc>
          <w:tcPr>
            <w:tcW w:w="962" w:type="pct"/>
          </w:tcPr>
          <w:p w14:paraId="49D573B1">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en-GB"/>
              </w:rPr>
              <w:t>纯烃性质表征的</w:t>
            </w:r>
            <w:r>
              <w:rPr>
                <w:rFonts w:ascii="Times New Roman" w:hAnsi="Times New Roman" w:eastAsia="仿宋" w:cs="Times New Roman"/>
                <w:color w:val="auto"/>
                <w:sz w:val="18"/>
                <w:szCs w:val="18"/>
              </w:rPr>
              <w:t>基础理论</w:t>
            </w:r>
          </w:p>
        </w:tc>
        <w:tc>
          <w:tcPr>
            <w:tcW w:w="475" w:type="pct"/>
          </w:tcPr>
          <w:p w14:paraId="27EEDF75">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748B2DAB">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restart"/>
            <w:vAlign w:val="center"/>
          </w:tcPr>
          <w:p w14:paraId="11195FC7">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目标1</w:t>
            </w:r>
          </w:p>
          <w:p w14:paraId="17D02722">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目标3</w:t>
            </w:r>
          </w:p>
          <w:p w14:paraId="1A372110">
            <w:pPr>
              <w:rPr>
                <w:rFonts w:ascii="Times New Roman" w:hAnsi="Times New Roman" w:eastAsia="仿宋" w:cs="Times New Roman"/>
                <w:color w:val="auto"/>
                <w:sz w:val="18"/>
                <w:szCs w:val="18"/>
                <w:lang w:val="zh-CN"/>
              </w:rPr>
            </w:pPr>
          </w:p>
        </w:tc>
      </w:tr>
      <w:tr w14:paraId="16232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continue"/>
            <w:vAlign w:val="center"/>
          </w:tcPr>
          <w:p w14:paraId="62D26EB7">
            <w:pPr>
              <w:rPr>
                <w:rFonts w:ascii="Times New Roman" w:hAnsi="Times New Roman" w:eastAsia="仿宋" w:cs="Times New Roman"/>
                <w:color w:val="auto"/>
                <w:sz w:val="18"/>
                <w:szCs w:val="18"/>
                <w:lang w:val="zh-CN"/>
              </w:rPr>
            </w:pPr>
          </w:p>
        </w:tc>
        <w:tc>
          <w:tcPr>
            <w:tcW w:w="769" w:type="pct"/>
            <w:vAlign w:val="center"/>
          </w:tcPr>
          <w:p w14:paraId="3DEE5C9D">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3.2</w:t>
            </w:r>
            <w:r>
              <w:rPr>
                <w:rFonts w:ascii="Times New Roman" w:hAnsi="Times New Roman" w:eastAsia="仿宋" w:cs="Times New Roman"/>
                <w:color w:val="auto"/>
                <w:sz w:val="18"/>
                <w:szCs w:val="18"/>
                <w:lang w:val="en-GB"/>
              </w:rPr>
              <w:t xml:space="preserve"> 石油馏分的性质表征</w:t>
            </w:r>
          </w:p>
        </w:tc>
        <w:tc>
          <w:tcPr>
            <w:tcW w:w="1044" w:type="pct"/>
            <w:vAlign w:val="center"/>
          </w:tcPr>
          <w:p w14:paraId="7C63CFB8">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石油馏分性质</w:t>
            </w:r>
            <w:r>
              <w:rPr>
                <w:rFonts w:ascii="Times New Roman" w:hAnsi="Times New Roman" w:eastAsia="仿宋" w:cs="Times New Roman"/>
                <w:color w:val="auto"/>
                <w:sz w:val="18"/>
                <w:szCs w:val="18"/>
                <w:lang w:val="en-GB"/>
              </w:rPr>
              <w:t>表征的</w:t>
            </w:r>
            <w:r>
              <w:rPr>
                <w:rFonts w:ascii="Times New Roman" w:hAnsi="Times New Roman" w:eastAsia="仿宋" w:cs="Times New Roman"/>
                <w:color w:val="auto"/>
                <w:sz w:val="18"/>
                <w:szCs w:val="18"/>
              </w:rPr>
              <w:t>基础理论及发展</w:t>
            </w:r>
          </w:p>
        </w:tc>
        <w:tc>
          <w:tcPr>
            <w:tcW w:w="268" w:type="pct"/>
            <w:vAlign w:val="center"/>
          </w:tcPr>
          <w:p w14:paraId="1C24BA23">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2</w:t>
            </w:r>
          </w:p>
        </w:tc>
        <w:tc>
          <w:tcPr>
            <w:tcW w:w="962" w:type="pct"/>
          </w:tcPr>
          <w:p w14:paraId="2DCAAE7B">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油品馏程的数学模型预测</w:t>
            </w:r>
          </w:p>
        </w:tc>
        <w:tc>
          <w:tcPr>
            <w:tcW w:w="475" w:type="pct"/>
          </w:tcPr>
          <w:p w14:paraId="7B723E4F">
            <w:pPr>
              <w:rPr>
                <w:rFonts w:hint="default" w:ascii="Times New Roman" w:hAnsi="Times New Roman" w:eastAsia="仿宋" w:cs="Times New Roman"/>
                <w:color w:val="auto"/>
                <w:sz w:val="18"/>
                <w:szCs w:val="18"/>
                <w:lang w:val="en-US" w:eastAsia="zh-CN"/>
              </w:rPr>
            </w:pPr>
            <w:r>
              <w:rPr>
                <w:rFonts w:hint="eastAsia" w:ascii="Times New Roman" w:hAnsi="Times New Roman" w:eastAsia="仿宋" w:cs="Times New Roman"/>
                <w:b/>
                <w:bCs/>
                <w:color w:val="auto"/>
                <w:sz w:val="18"/>
                <w:szCs w:val="18"/>
                <w:lang w:val="en-US" w:eastAsia="zh-CN"/>
              </w:rPr>
              <w:t>上机教学+</w:t>
            </w:r>
            <w:bookmarkStart w:id="1" w:name="_GoBack"/>
            <w:bookmarkEnd w:id="1"/>
            <w:r>
              <w:rPr>
                <w:rFonts w:hint="eastAsia" w:ascii="Times New Roman" w:hAnsi="Times New Roman" w:eastAsia="仿宋" w:cs="Times New Roman"/>
                <w:b/>
                <w:bCs/>
                <w:color w:val="auto"/>
                <w:sz w:val="18"/>
                <w:szCs w:val="18"/>
                <w:lang w:val="en-US" w:eastAsia="zh-CN"/>
              </w:rPr>
              <w:t>上机练习</w:t>
            </w:r>
          </w:p>
        </w:tc>
        <w:tc>
          <w:tcPr>
            <w:tcW w:w="475" w:type="pct"/>
          </w:tcPr>
          <w:p w14:paraId="4530D21C">
            <w:pPr>
              <w:rPr>
                <w:rFonts w:hint="default"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48058098">
            <w:pPr>
              <w:rPr>
                <w:rFonts w:ascii="Times New Roman" w:hAnsi="Times New Roman" w:eastAsia="仿宋" w:cs="Times New Roman"/>
                <w:color w:val="auto"/>
                <w:sz w:val="18"/>
                <w:szCs w:val="18"/>
                <w:lang w:val="zh-CN"/>
              </w:rPr>
            </w:pPr>
          </w:p>
        </w:tc>
      </w:tr>
      <w:tr w14:paraId="10264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continue"/>
            <w:vAlign w:val="center"/>
          </w:tcPr>
          <w:p w14:paraId="63772302">
            <w:pPr>
              <w:rPr>
                <w:rFonts w:ascii="Times New Roman" w:hAnsi="Times New Roman" w:eastAsia="仿宋" w:cs="Times New Roman"/>
                <w:color w:val="auto"/>
                <w:sz w:val="18"/>
                <w:szCs w:val="18"/>
                <w:lang w:val="zh-CN"/>
              </w:rPr>
            </w:pPr>
          </w:p>
        </w:tc>
        <w:tc>
          <w:tcPr>
            <w:tcW w:w="769" w:type="pct"/>
            <w:shd w:val="clear" w:color="auto" w:fill="auto"/>
            <w:vAlign w:val="center"/>
          </w:tcPr>
          <w:p w14:paraId="0D1D747B">
            <w:pPr>
              <w:rPr>
                <w:rFonts w:ascii="Times New Roman" w:hAnsi="Times New Roman" w:eastAsia="仿宋" w:cs="Times New Roman"/>
                <w:color w:val="auto"/>
                <w:kern w:val="2"/>
                <w:sz w:val="18"/>
                <w:szCs w:val="18"/>
                <w:lang w:val="zh-CN" w:eastAsia="zh-CN" w:bidi="ar-SA"/>
              </w:rPr>
            </w:pPr>
            <w:r>
              <w:rPr>
                <w:rFonts w:ascii="Times New Roman" w:hAnsi="Times New Roman" w:eastAsia="仿宋" w:cs="Times New Roman"/>
                <w:color w:val="auto"/>
                <w:sz w:val="18"/>
                <w:szCs w:val="18"/>
              </w:rPr>
              <w:t>3.2</w:t>
            </w:r>
            <w:r>
              <w:rPr>
                <w:rFonts w:ascii="Times New Roman" w:hAnsi="Times New Roman" w:eastAsia="仿宋" w:cs="Times New Roman"/>
                <w:color w:val="auto"/>
                <w:sz w:val="18"/>
                <w:szCs w:val="18"/>
                <w:lang w:val="en-GB"/>
              </w:rPr>
              <w:t xml:space="preserve"> 石油馏分的性质表征</w:t>
            </w:r>
          </w:p>
        </w:tc>
        <w:tc>
          <w:tcPr>
            <w:tcW w:w="1044" w:type="pct"/>
            <w:shd w:val="clear" w:color="auto" w:fill="auto"/>
            <w:vAlign w:val="center"/>
          </w:tcPr>
          <w:p w14:paraId="5A4E5683">
            <w:pPr>
              <w:rPr>
                <w:rFonts w:ascii="Times New Roman" w:hAnsi="Times New Roman" w:eastAsia="仿宋" w:cs="Times New Roman"/>
                <w:color w:val="auto"/>
                <w:kern w:val="2"/>
                <w:sz w:val="18"/>
                <w:szCs w:val="18"/>
                <w:lang w:val="zh-CN" w:eastAsia="zh-CN" w:bidi="ar-SA"/>
              </w:rPr>
            </w:pPr>
            <w:r>
              <w:rPr>
                <w:rFonts w:ascii="Times New Roman" w:hAnsi="Times New Roman" w:eastAsia="仿宋" w:cs="Times New Roman"/>
                <w:color w:val="auto"/>
                <w:sz w:val="18"/>
                <w:szCs w:val="18"/>
              </w:rPr>
              <w:t>石油馏分性质</w:t>
            </w:r>
            <w:r>
              <w:rPr>
                <w:rFonts w:ascii="Times New Roman" w:hAnsi="Times New Roman" w:eastAsia="仿宋" w:cs="Times New Roman"/>
                <w:color w:val="auto"/>
                <w:sz w:val="18"/>
                <w:szCs w:val="18"/>
                <w:lang w:val="en-GB"/>
              </w:rPr>
              <w:t>表征的</w:t>
            </w:r>
            <w:r>
              <w:rPr>
                <w:rFonts w:ascii="Times New Roman" w:hAnsi="Times New Roman" w:eastAsia="仿宋" w:cs="Times New Roman"/>
                <w:color w:val="auto"/>
                <w:sz w:val="18"/>
                <w:szCs w:val="18"/>
              </w:rPr>
              <w:t>基础理论及发展</w:t>
            </w:r>
          </w:p>
        </w:tc>
        <w:tc>
          <w:tcPr>
            <w:tcW w:w="268" w:type="pct"/>
            <w:vAlign w:val="center"/>
          </w:tcPr>
          <w:p w14:paraId="1533E3C5">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2</w:t>
            </w:r>
          </w:p>
        </w:tc>
        <w:tc>
          <w:tcPr>
            <w:tcW w:w="962" w:type="pct"/>
          </w:tcPr>
          <w:p w14:paraId="6822363A">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石油馏分性质</w:t>
            </w:r>
            <w:r>
              <w:rPr>
                <w:rFonts w:ascii="Times New Roman" w:hAnsi="Times New Roman" w:eastAsia="仿宋" w:cs="Times New Roman"/>
                <w:color w:val="auto"/>
                <w:sz w:val="18"/>
                <w:szCs w:val="18"/>
                <w:lang w:val="en-GB"/>
              </w:rPr>
              <w:t>表征的</w:t>
            </w:r>
            <w:r>
              <w:rPr>
                <w:rFonts w:ascii="Times New Roman" w:hAnsi="Times New Roman" w:eastAsia="仿宋" w:cs="Times New Roman"/>
                <w:color w:val="auto"/>
                <w:sz w:val="18"/>
                <w:szCs w:val="18"/>
              </w:rPr>
              <w:t>基础理论及发展</w:t>
            </w:r>
          </w:p>
        </w:tc>
        <w:tc>
          <w:tcPr>
            <w:tcW w:w="475" w:type="pct"/>
          </w:tcPr>
          <w:p w14:paraId="353F3966">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线下教学</w:t>
            </w:r>
          </w:p>
        </w:tc>
        <w:tc>
          <w:tcPr>
            <w:tcW w:w="475" w:type="pct"/>
          </w:tcPr>
          <w:p w14:paraId="6AE56EB8">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67B12C40">
            <w:pPr>
              <w:rPr>
                <w:rFonts w:ascii="Times New Roman" w:hAnsi="Times New Roman" w:eastAsia="仿宋" w:cs="Times New Roman"/>
                <w:color w:val="auto"/>
                <w:sz w:val="18"/>
                <w:szCs w:val="18"/>
                <w:lang w:val="zh-CN"/>
              </w:rPr>
            </w:pPr>
          </w:p>
        </w:tc>
      </w:tr>
      <w:tr w14:paraId="61A0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restart"/>
            <w:vAlign w:val="center"/>
          </w:tcPr>
          <w:p w14:paraId="5D1CA998">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zh-CN"/>
              </w:rPr>
              <w:t>第</w:t>
            </w:r>
            <w:r>
              <w:rPr>
                <w:rFonts w:ascii="Times New Roman" w:hAnsi="Times New Roman" w:eastAsia="仿宋" w:cs="Times New Roman"/>
                <w:color w:val="auto"/>
                <w:sz w:val="18"/>
                <w:szCs w:val="18"/>
              </w:rPr>
              <w:t>4</w:t>
            </w:r>
            <w:r>
              <w:rPr>
                <w:rFonts w:ascii="Times New Roman" w:hAnsi="Times New Roman" w:eastAsia="仿宋" w:cs="Times New Roman"/>
                <w:color w:val="auto"/>
                <w:sz w:val="18"/>
                <w:szCs w:val="18"/>
                <w:lang w:val="zh-CN"/>
              </w:rPr>
              <w:t>章 石油产品的性质和应用</w:t>
            </w:r>
          </w:p>
        </w:tc>
        <w:tc>
          <w:tcPr>
            <w:tcW w:w="769" w:type="pct"/>
            <w:vAlign w:val="center"/>
          </w:tcPr>
          <w:p w14:paraId="2FA30ED3">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4.1</w:t>
            </w:r>
            <w:r>
              <w:rPr>
                <w:rFonts w:ascii="Times New Roman" w:hAnsi="Times New Roman" w:eastAsia="仿宋" w:cs="Times New Roman"/>
                <w:color w:val="auto"/>
                <w:sz w:val="18"/>
                <w:szCs w:val="18"/>
                <w:lang w:val="zh-CN"/>
              </w:rPr>
              <w:t xml:space="preserve"> 汽油</w:t>
            </w:r>
          </w:p>
          <w:p w14:paraId="1D7C8FFE">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4.2</w:t>
            </w:r>
            <w:r>
              <w:rPr>
                <w:rFonts w:ascii="Times New Roman" w:hAnsi="Times New Roman" w:eastAsia="仿宋" w:cs="Times New Roman"/>
                <w:color w:val="auto"/>
                <w:sz w:val="18"/>
                <w:szCs w:val="18"/>
                <w:lang w:val="zh-CN"/>
              </w:rPr>
              <w:t xml:space="preserve"> 柴油</w:t>
            </w:r>
          </w:p>
        </w:tc>
        <w:tc>
          <w:tcPr>
            <w:tcW w:w="1044" w:type="pct"/>
            <w:vAlign w:val="center"/>
          </w:tcPr>
          <w:p w14:paraId="4EACC6DC">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汽油发动机的工作原理、对燃料的要求，汽油的质量要求，</w:t>
            </w:r>
          </w:p>
          <w:p w14:paraId="5555B99E">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柴油发动机的工作原理、对燃料的要求，柴油的质量要求</w:t>
            </w:r>
          </w:p>
        </w:tc>
        <w:tc>
          <w:tcPr>
            <w:tcW w:w="268" w:type="pct"/>
            <w:vAlign w:val="center"/>
          </w:tcPr>
          <w:p w14:paraId="54BEB81E">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2</w:t>
            </w:r>
          </w:p>
        </w:tc>
        <w:tc>
          <w:tcPr>
            <w:tcW w:w="962" w:type="pct"/>
          </w:tcPr>
          <w:p w14:paraId="73E3F58A">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lang w:val="en-US" w:eastAsia="zh-CN"/>
              </w:rPr>
              <w:t>基于汽油发动机的工作原理深入理解</w:t>
            </w:r>
            <w:r>
              <w:rPr>
                <w:rFonts w:ascii="Times New Roman" w:hAnsi="Times New Roman" w:eastAsia="仿宋" w:cs="Times New Roman"/>
                <w:color w:val="auto"/>
                <w:sz w:val="18"/>
                <w:szCs w:val="18"/>
              </w:rPr>
              <w:t>汽油的</w:t>
            </w:r>
            <w:r>
              <w:rPr>
                <w:rFonts w:hint="eastAsia" w:ascii="Times New Roman" w:hAnsi="Times New Roman" w:eastAsia="仿宋" w:cs="Times New Roman"/>
                <w:color w:val="auto"/>
                <w:sz w:val="18"/>
                <w:szCs w:val="18"/>
                <w:lang w:val="en-US" w:eastAsia="zh-CN"/>
              </w:rPr>
              <w:t>不同性能的</w:t>
            </w:r>
            <w:r>
              <w:rPr>
                <w:rFonts w:ascii="Times New Roman" w:hAnsi="Times New Roman" w:eastAsia="仿宋" w:cs="Times New Roman"/>
                <w:color w:val="auto"/>
                <w:sz w:val="18"/>
                <w:szCs w:val="18"/>
              </w:rPr>
              <w:t>质量要求，</w:t>
            </w:r>
          </w:p>
          <w:p w14:paraId="076570A7">
            <w:pPr>
              <w:rPr>
                <w:rFonts w:hint="default"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基于柴油发动机的工作原理深入理解柴油</w:t>
            </w:r>
            <w:r>
              <w:rPr>
                <w:rFonts w:ascii="Times New Roman" w:hAnsi="Times New Roman" w:eastAsia="仿宋" w:cs="Times New Roman"/>
                <w:color w:val="auto"/>
                <w:sz w:val="18"/>
                <w:szCs w:val="18"/>
              </w:rPr>
              <w:t>的</w:t>
            </w:r>
            <w:r>
              <w:rPr>
                <w:rFonts w:hint="eastAsia" w:ascii="Times New Roman" w:hAnsi="Times New Roman" w:eastAsia="仿宋" w:cs="Times New Roman"/>
                <w:color w:val="auto"/>
                <w:sz w:val="18"/>
                <w:szCs w:val="18"/>
                <w:lang w:val="en-US" w:eastAsia="zh-CN"/>
              </w:rPr>
              <w:t>不同性能的</w:t>
            </w:r>
            <w:r>
              <w:rPr>
                <w:rFonts w:ascii="Times New Roman" w:hAnsi="Times New Roman" w:eastAsia="仿宋" w:cs="Times New Roman"/>
                <w:color w:val="auto"/>
                <w:sz w:val="18"/>
                <w:szCs w:val="18"/>
              </w:rPr>
              <w:t>质量要求</w:t>
            </w:r>
          </w:p>
        </w:tc>
        <w:tc>
          <w:tcPr>
            <w:tcW w:w="475" w:type="pct"/>
          </w:tcPr>
          <w:p w14:paraId="60190A4C">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0E1EC641">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restart"/>
            <w:vAlign w:val="center"/>
          </w:tcPr>
          <w:p w14:paraId="470C6B4F">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目标1</w:t>
            </w:r>
          </w:p>
          <w:p w14:paraId="401A8DE0">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目标2</w:t>
            </w:r>
          </w:p>
          <w:p w14:paraId="4B35F424">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目标3</w:t>
            </w:r>
          </w:p>
          <w:p w14:paraId="35442A67">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目标4</w:t>
            </w:r>
          </w:p>
          <w:p w14:paraId="3C9FEED3">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目标6</w:t>
            </w:r>
          </w:p>
          <w:p w14:paraId="64627D4E">
            <w:pPr>
              <w:rPr>
                <w:rFonts w:ascii="Times New Roman" w:hAnsi="Times New Roman" w:eastAsia="仿宋" w:cs="Times New Roman"/>
                <w:color w:val="auto"/>
                <w:sz w:val="18"/>
                <w:szCs w:val="18"/>
                <w:lang w:val="zh-CN"/>
              </w:rPr>
            </w:pPr>
          </w:p>
          <w:p w14:paraId="3B714919">
            <w:pPr>
              <w:rPr>
                <w:rFonts w:ascii="Times New Roman" w:hAnsi="Times New Roman" w:eastAsia="仿宋" w:cs="Times New Roman"/>
                <w:color w:val="auto"/>
                <w:sz w:val="18"/>
                <w:szCs w:val="18"/>
                <w:lang w:val="zh-CN"/>
              </w:rPr>
            </w:pPr>
          </w:p>
        </w:tc>
      </w:tr>
      <w:tr w14:paraId="48BC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continue"/>
            <w:vAlign w:val="center"/>
          </w:tcPr>
          <w:p w14:paraId="6CD12A82">
            <w:pPr>
              <w:rPr>
                <w:rFonts w:ascii="Times New Roman" w:hAnsi="Times New Roman" w:eastAsia="仿宋" w:cs="Times New Roman"/>
                <w:color w:val="auto"/>
                <w:sz w:val="18"/>
                <w:szCs w:val="18"/>
                <w:lang w:val="zh-CN"/>
              </w:rPr>
            </w:pPr>
          </w:p>
        </w:tc>
        <w:tc>
          <w:tcPr>
            <w:tcW w:w="769" w:type="pct"/>
            <w:vAlign w:val="center"/>
          </w:tcPr>
          <w:p w14:paraId="2F58A9CD">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4.3 喷气燃料</w:t>
            </w:r>
          </w:p>
          <w:p w14:paraId="7776D897">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4.4 润滑油</w:t>
            </w:r>
          </w:p>
        </w:tc>
        <w:tc>
          <w:tcPr>
            <w:tcW w:w="1044" w:type="pct"/>
            <w:vAlign w:val="center"/>
          </w:tcPr>
          <w:p w14:paraId="255FFEC3">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喷气发动机的工作原理、对燃料的要求，航煤的质量要求，</w:t>
            </w:r>
          </w:p>
          <w:p w14:paraId="6EBD3383">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润滑油的分类及质量要求</w:t>
            </w:r>
          </w:p>
        </w:tc>
        <w:tc>
          <w:tcPr>
            <w:tcW w:w="268" w:type="pct"/>
            <w:vAlign w:val="center"/>
          </w:tcPr>
          <w:p w14:paraId="6B6E1D07">
            <w:pPr>
              <w:rPr>
                <w:rFonts w:hint="eastAsia" w:ascii="Times New Roman" w:hAnsi="Times New Roman" w:eastAsia="仿宋" w:cs="Times New Roman"/>
                <w:color w:val="auto"/>
                <w:sz w:val="18"/>
                <w:szCs w:val="18"/>
                <w:lang w:eastAsia="zh-CN"/>
              </w:rPr>
            </w:pPr>
            <w:r>
              <w:rPr>
                <w:rFonts w:hint="eastAsia" w:ascii="Times New Roman" w:hAnsi="Times New Roman" w:eastAsia="仿宋" w:cs="Times New Roman"/>
                <w:color w:val="auto"/>
                <w:sz w:val="18"/>
                <w:szCs w:val="18"/>
                <w:lang w:val="en-US" w:eastAsia="zh-CN"/>
              </w:rPr>
              <w:t>2</w:t>
            </w:r>
          </w:p>
        </w:tc>
        <w:tc>
          <w:tcPr>
            <w:tcW w:w="962" w:type="pct"/>
          </w:tcPr>
          <w:p w14:paraId="6DAF9264">
            <w:pPr>
              <w:rPr>
                <w:rFonts w:hint="eastAsia" w:ascii="Times New Roman" w:hAnsi="Times New Roman" w:eastAsia="仿宋" w:cs="Times New Roman"/>
                <w:color w:val="auto"/>
                <w:sz w:val="18"/>
                <w:szCs w:val="18"/>
                <w:lang w:eastAsia="zh-CN"/>
              </w:rPr>
            </w:pPr>
            <w:r>
              <w:rPr>
                <w:rFonts w:hint="eastAsia" w:ascii="Times New Roman" w:hAnsi="Times New Roman" w:eastAsia="仿宋" w:cs="Times New Roman"/>
                <w:color w:val="auto"/>
                <w:sz w:val="18"/>
                <w:szCs w:val="18"/>
                <w:lang w:val="en-US" w:eastAsia="zh-CN"/>
              </w:rPr>
              <w:t>基于喷气发动机的工作原理深入理解航煤</w:t>
            </w:r>
            <w:r>
              <w:rPr>
                <w:rFonts w:ascii="Times New Roman" w:hAnsi="Times New Roman" w:eastAsia="仿宋" w:cs="Times New Roman"/>
                <w:color w:val="auto"/>
                <w:sz w:val="18"/>
                <w:szCs w:val="18"/>
              </w:rPr>
              <w:t>的</w:t>
            </w:r>
            <w:r>
              <w:rPr>
                <w:rFonts w:hint="eastAsia" w:ascii="Times New Roman" w:hAnsi="Times New Roman" w:eastAsia="仿宋" w:cs="Times New Roman"/>
                <w:color w:val="auto"/>
                <w:sz w:val="18"/>
                <w:szCs w:val="18"/>
                <w:lang w:val="en-US" w:eastAsia="zh-CN"/>
              </w:rPr>
              <w:t>不同性能的</w:t>
            </w:r>
            <w:r>
              <w:rPr>
                <w:rFonts w:ascii="Times New Roman" w:hAnsi="Times New Roman" w:eastAsia="仿宋" w:cs="Times New Roman"/>
                <w:color w:val="auto"/>
                <w:sz w:val="18"/>
                <w:szCs w:val="18"/>
              </w:rPr>
              <w:t>质量要求</w:t>
            </w:r>
            <w:r>
              <w:rPr>
                <w:rFonts w:hint="eastAsia" w:ascii="Times New Roman" w:hAnsi="Times New Roman" w:eastAsia="仿宋" w:cs="Times New Roman"/>
                <w:color w:val="auto"/>
                <w:sz w:val="18"/>
                <w:szCs w:val="18"/>
                <w:lang w:eastAsia="zh-CN"/>
              </w:rPr>
              <w:t>，</w:t>
            </w:r>
          </w:p>
          <w:p w14:paraId="43F10A7F">
            <w:pPr>
              <w:rPr>
                <w:rFonts w:hint="default"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几种润滑油的质量要求</w:t>
            </w:r>
          </w:p>
        </w:tc>
        <w:tc>
          <w:tcPr>
            <w:tcW w:w="475" w:type="pct"/>
          </w:tcPr>
          <w:p w14:paraId="3CC522C0">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78AE47DC">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7A5C79DE">
            <w:pPr>
              <w:rPr>
                <w:rFonts w:ascii="Times New Roman" w:hAnsi="Times New Roman" w:eastAsia="仿宋" w:cs="Times New Roman"/>
                <w:color w:val="auto"/>
                <w:sz w:val="18"/>
                <w:szCs w:val="18"/>
                <w:lang w:val="zh-CN"/>
              </w:rPr>
            </w:pPr>
          </w:p>
        </w:tc>
      </w:tr>
      <w:tr w14:paraId="0485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continue"/>
            <w:vAlign w:val="center"/>
          </w:tcPr>
          <w:p w14:paraId="79462374">
            <w:pPr>
              <w:rPr>
                <w:rFonts w:ascii="Times New Roman" w:hAnsi="Times New Roman" w:eastAsia="仿宋" w:cs="Times New Roman"/>
                <w:color w:val="auto"/>
                <w:sz w:val="18"/>
                <w:szCs w:val="18"/>
                <w:lang w:val="zh-CN"/>
              </w:rPr>
            </w:pPr>
          </w:p>
        </w:tc>
        <w:tc>
          <w:tcPr>
            <w:tcW w:w="769" w:type="pct"/>
            <w:vAlign w:val="center"/>
          </w:tcPr>
          <w:p w14:paraId="12CB1EAA">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4.5 燃料油</w:t>
            </w:r>
          </w:p>
          <w:p w14:paraId="15642D9C">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4.6 其他石油产品</w:t>
            </w:r>
          </w:p>
        </w:tc>
        <w:tc>
          <w:tcPr>
            <w:tcW w:w="1044" w:type="pct"/>
            <w:vAlign w:val="center"/>
          </w:tcPr>
          <w:p w14:paraId="3F3688F2">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燃料油、石油沥青、石油焦、石油蜡的</w:t>
            </w:r>
            <w:r>
              <w:rPr>
                <w:rFonts w:hint="eastAsia" w:ascii="Times New Roman" w:hAnsi="Times New Roman" w:eastAsia="仿宋" w:cs="Times New Roman"/>
                <w:color w:val="auto"/>
                <w:sz w:val="18"/>
                <w:szCs w:val="18"/>
                <w:lang w:val="en-US" w:eastAsia="zh-CN"/>
              </w:rPr>
              <w:t>性能</w:t>
            </w:r>
            <w:r>
              <w:rPr>
                <w:rFonts w:ascii="Times New Roman" w:hAnsi="Times New Roman" w:eastAsia="仿宋" w:cs="Times New Roman"/>
                <w:color w:val="auto"/>
                <w:sz w:val="18"/>
                <w:szCs w:val="18"/>
              </w:rPr>
              <w:t>及应用</w:t>
            </w:r>
          </w:p>
        </w:tc>
        <w:tc>
          <w:tcPr>
            <w:tcW w:w="268" w:type="pct"/>
            <w:vAlign w:val="center"/>
          </w:tcPr>
          <w:p w14:paraId="2A308C80">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2</w:t>
            </w:r>
          </w:p>
        </w:tc>
        <w:tc>
          <w:tcPr>
            <w:tcW w:w="962" w:type="pct"/>
          </w:tcPr>
          <w:p w14:paraId="47AD9D46">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石油沥青、石油焦、石油蜡的</w:t>
            </w:r>
            <w:r>
              <w:rPr>
                <w:rFonts w:hint="eastAsia" w:ascii="Times New Roman" w:hAnsi="Times New Roman" w:eastAsia="仿宋" w:cs="Times New Roman"/>
                <w:color w:val="auto"/>
                <w:sz w:val="18"/>
                <w:szCs w:val="18"/>
                <w:lang w:val="en-US" w:eastAsia="zh-CN"/>
              </w:rPr>
              <w:t>性能</w:t>
            </w:r>
            <w:r>
              <w:rPr>
                <w:rFonts w:ascii="Times New Roman" w:hAnsi="Times New Roman" w:eastAsia="仿宋" w:cs="Times New Roman"/>
                <w:color w:val="auto"/>
                <w:sz w:val="18"/>
                <w:szCs w:val="18"/>
              </w:rPr>
              <w:t>及应用</w:t>
            </w:r>
          </w:p>
        </w:tc>
        <w:tc>
          <w:tcPr>
            <w:tcW w:w="475" w:type="pct"/>
          </w:tcPr>
          <w:p w14:paraId="44A5C6AC">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616EF432">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1D6D4892">
            <w:pPr>
              <w:rPr>
                <w:rFonts w:ascii="Times New Roman" w:hAnsi="Times New Roman" w:eastAsia="仿宋" w:cs="Times New Roman"/>
                <w:color w:val="auto"/>
                <w:sz w:val="18"/>
                <w:szCs w:val="18"/>
                <w:lang w:val="zh-CN"/>
              </w:rPr>
            </w:pPr>
          </w:p>
        </w:tc>
      </w:tr>
      <w:tr w14:paraId="2850E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525" w:type="pct"/>
            <w:vMerge w:val="restart"/>
            <w:vAlign w:val="center"/>
          </w:tcPr>
          <w:p w14:paraId="1CEDDF7A">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lang w:val="zh-CN"/>
              </w:rPr>
              <w:t>第</w:t>
            </w:r>
            <w:r>
              <w:rPr>
                <w:rFonts w:ascii="Times New Roman" w:hAnsi="Times New Roman" w:eastAsia="仿宋" w:cs="Times New Roman"/>
                <w:color w:val="auto"/>
                <w:sz w:val="18"/>
                <w:szCs w:val="18"/>
              </w:rPr>
              <w:t>5</w:t>
            </w:r>
            <w:r>
              <w:rPr>
                <w:rFonts w:ascii="Times New Roman" w:hAnsi="Times New Roman" w:eastAsia="仿宋" w:cs="Times New Roman"/>
                <w:color w:val="auto"/>
                <w:sz w:val="18"/>
                <w:szCs w:val="18"/>
                <w:lang w:val="zh-CN"/>
              </w:rPr>
              <w:t>章 原油评价及加工方案确定</w:t>
            </w:r>
          </w:p>
        </w:tc>
        <w:tc>
          <w:tcPr>
            <w:tcW w:w="769" w:type="pct"/>
            <w:vAlign w:val="center"/>
          </w:tcPr>
          <w:p w14:paraId="6CA30A42">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5.1</w:t>
            </w:r>
            <w:r>
              <w:rPr>
                <w:rFonts w:ascii="Times New Roman" w:hAnsi="Times New Roman" w:eastAsia="仿宋" w:cs="Times New Roman"/>
                <w:color w:val="auto"/>
                <w:sz w:val="18"/>
                <w:szCs w:val="18"/>
                <w:lang w:val="zh-CN"/>
              </w:rPr>
              <w:t xml:space="preserve"> 原油评价方法</w:t>
            </w:r>
          </w:p>
          <w:p w14:paraId="45CD75FF">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5.2</w:t>
            </w:r>
            <w:r>
              <w:rPr>
                <w:rFonts w:ascii="Times New Roman" w:hAnsi="Times New Roman" w:eastAsia="仿宋" w:cs="Times New Roman"/>
                <w:color w:val="auto"/>
                <w:sz w:val="18"/>
                <w:szCs w:val="18"/>
                <w:lang w:val="zh-CN"/>
              </w:rPr>
              <w:t xml:space="preserve"> 原油分类方法</w:t>
            </w:r>
          </w:p>
        </w:tc>
        <w:tc>
          <w:tcPr>
            <w:tcW w:w="1044" w:type="pct"/>
            <w:vAlign w:val="center"/>
          </w:tcPr>
          <w:p w14:paraId="76348064">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原油的评价及分类方法</w:t>
            </w:r>
          </w:p>
        </w:tc>
        <w:tc>
          <w:tcPr>
            <w:tcW w:w="268" w:type="pct"/>
            <w:vAlign w:val="center"/>
          </w:tcPr>
          <w:p w14:paraId="572E647A">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1</w:t>
            </w:r>
          </w:p>
        </w:tc>
        <w:tc>
          <w:tcPr>
            <w:tcW w:w="962" w:type="pct"/>
          </w:tcPr>
          <w:p w14:paraId="00676C3C">
            <w:pPr>
              <w:rPr>
                <w:rFonts w:hint="eastAsia" w:ascii="Times New Roman" w:hAnsi="Times New Roman" w:eastAsia="仿宋" w:cs="Times New Roman"/>
                <w:color w:val="auto"/>
                <w:sz w:val="18"/>
                <w:szCs w:val="18"/>
                <w:lang w:val="en-US" w:eastAsia="zh-CN"/>
              </w:rPr>
            </w:pPr>
            <w:r>
              <w:rPr>
                <w:rFonts w:ascii="Times New Roman" w:hAnsi="Times New Roman" w:eastAsia="仿宋" w:cs="Times New Roman"/>
                <w:color w:val="auto"/>
                <w:sz w:val="18"/>
                <w:szCs w:val="18"/>
              </w:rPr>
              <w:t>原油的评价及分类方法</w:t>
            </w:r>
          </w:p>
        </w:tc>
        <w:tc>
          <w:tcPr>
            <w:tcW w:w="475" w:type="pct"/>
          </w:tcPr>
          <w:p w14:paraId="72698923">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287AA09D">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restart"/>
            <w:vAlign w:val="center"/>
          </w:tcPr>
          <w:p w14:paraId="2E63C7A3">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目标1</w:t>
            </w:r>
          </w:p>
          <w:p w14:paraId="58CC4863">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目标4</w:t>
            </w:r>
          </w:p>
          <w:p w14:paraId="2C19EF84">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目标5</w:t>
            </w:r>
          </w:p>
          <w:p w14:paraId="4DDA5320">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目标6</w:t>
            </w:r>
          </w:p>
          <w:p w14:paraId="1D44F356">
            <w:pPr>
              <w:rPr>
                <w:rFonts w:ascii="Times New Roman" w:hAnsi="Times New Roman" w:eastAsia="仿宋" w:cs="Times New Roman"/>
                <w:color w:val="auto"/>
                <w:sz w:val="18"/>
                <w:szCs w:val="18"/>
                <w:lang w:val="zh-CN"/>
              </w:rPr>
            </w:pPr>
          </w:p>
        </w:tc>
      </w:tr>
      <w:tr w14:paraId="5C122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continue"/>
            <w:vAlign w:val="center"/>
          </w:tcPr>
          <w:p w14:paraId="42FB45C2">
            <w:pPr>
              <w:rPr>
                <w:rFonts w:ascii="Times New Roman" w:hAnsi="Times New Roman" w:eastAsia="仿宋" w:cs="Times New Roman"/>
                <w:color w:val="auto"/>
                <w:sz w:val="18"/>
                <w:szCs w:val="18"/>
                <w:lang w:val="zh-CN"/>
              </w:rPr>
            </w:pPr>
          </w:p>
        </w:tc>
        <w:tc>
          <w:tcPr>
            <w:tcW w:w="769" w:type="pct"/>
            <w:vAlign w:val="center"/>
          </w:tcPr>
          <w:p w14:paraId="3CB0088E">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 xml:space="preserve">5.3 </w:t>
            </w:r>
            <w:r>
              <w:rPr>
                <w:rFonts w:ascii="Times New Roman" w:hAnsi="Times New Roman" w:eastAsia="仿宋" w:cs="Times New Roman"/>
                <w:color w:val="auto"/>
                <w:sz w:val="18"/>
                <w:szCs w:val="18"/>
                <w:lang w:val="zh-CN"/>
              </w:rPr>
              <w:t>渣油评价</w:t>
            </w:r>
          </w:p>
          <w:p w14:paraId="48450AB3">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5.4</w:t>
            </w:r>
            <w:r>
              <w:rPr>
                <w:rFonts w:ascii="Times New Roman" w:hAnsi="Times New Roman" w:eastAsia="仿宋" w:cs="Times New Roman"/>
                <w:color w:val="auto"/>
                <w:sz w:val="18"/>
                <w:szCs w:val="18"/>
                <w:lang w:val="zh-CN"/>
              </w:rPr>
              <w:t xml:space="preserve"> 原油加工方案</w:t>
            </w:r>
          </w:p>
        </w:tc>
        <w:tc>
          <w:tcPr>
            <w:tcW w:w="1044" w:type="pct"/>
            <w:vAlign w:val="center"/>
          </w:tcPr>
          <w:p w14:paraId="1BB84A13">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渣油的评价方法，</w:t>
            </w:r>
          </w:p>
          <w:p w14:paraId="07FE749A">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原油的三种加工方案</w:t>
            </w:r>
            <w:r>
              <w:rPr>
                <w:rFonts w:hint="eastAsia" w:ascii="Times New Roman" w:hAnsi="Times New Roman" w:eastAsia="仿宋" w:cs="Times New Roman"/>
                <w:color w:val="auto"/>
                <w:sz w:val="18"/>
                <w:szCs w:val="18"/>
              </w:rPr>
              <w:t>及原油评价</w:t>
            </w:r>
            <w:r>
              <w:rPr>
                <w:rFonts w:ascii="Times New Roman" w:hAnsi="Times New Roman" w:eastAsia="仿宋" w:cs="Times New Roman"/>
                <w:color w:val="auto"/>
                <w:sz w:val="18"/>
                <w:szCs w:val="18"/>
              </w:rPr>
              <w:t>举例</w:t>
            </w:r>
          </w:p>
        </w:tc>
        <w:tc>
          <w:tcPr>
            <w:tcW w:w="268" w:type="pct"/>
            <w:vAlign w:val="center"/>
          </w:tcPr>
          <w:p w14:paraId="47CBE62D">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2</w:t>
            </w:r>
          </w:p>
        </w:tc>
        <w:tc>
          <w:tcPr>
            <w:tcW w:w="962" w:type="pct"/>
          </w:tcPr>
          <w:p w14:paraId="289BA59B">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渣油的评价方法，</w:t>
            </w:r>
          </w:p>
          <w:p w14:paraId="54EDE25A">
            <w:pPr>
              <w:rPr>
                <w:rFonts w:ascii="Times New Roman" w:hAnsi="Times New Roman" w:eastAsia="仿宋" w:cs="Times New Roman"/>
                <w:color w:val="auto"/>
                <w:sz w:val="18"/>
                <w:szCs w:val="18"/>
                <w:lang w:val="zh-CN"/>
              </w:rPr>
            </w:pPr>
            <w:r>
              <w:rPr>
                <w:rFonts w:ascii="Times New Roman" w:hAnsi="Times New Roman" w:eastAsia="仿宋" w:cs="Times New Roman"/>
                <w:color w:val="auto"/>
                <w:sz w:val="18"/>
                <w:szCs w:val="18"/>
              </w:rPr>
              <w:t>原油的加工方案</w:t>
            </w:r>
            <w:r>
              <w:rPr>
                <w:rFonts w:hint="eastAsia" w:ascii="Times New Roman" w:hAnsi="Times New Roman" w:eastAsia="仿宋" w:cs="Times New Roman"/>
                <w:color w:val="auto"/>
                <w:sz w:val="18"/>
                <w:szCs w:val="18"/>
              </w:rPr>
              <w:t>及原油评价</w:t>
            </w:r>
            <w:r>
              <w:rPr>
                <w:rFonts w:ascii="Times New Roman" w:hAnsi="Times New Roman" w:eastAsia="仿宋" w:cs="Times New Roman"/>
                <w:color w:val="auto"/>
                <w:sz w:val="18"/>
                <w:szCs w:val="18"/>
              </w:rPr>
              <w:t>举例</w:t>
            </w:r>
          </w:p>
        </w:tc>
        <w:tc>
          <w:tcPr>
            <w:tcW w:w="475" w:type="pct"/>
          </w:tcPr>
          <w:p w14:paraId="361121B6">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线下教学</w:t>
            </w:r>
          </w:p>
        </w:tc>
        <w:tc>
          <w:tcPr>
            <w:tcW w:w="475" w:type="pct"/>
          </w:tcPr>
          <w:p w14:paraId="28D96456">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744A28F5">
            <w:pPr>
              <w:rPr>
                <w:rFonts w:ascii="Times New Roman" w:hAnsi="Times New Roman" w:eastAsia="仿宋" w:cs="Times New Roman"/>
                <w:color w:val="auto"/>
                <w:sz w:val="18"/>
                <w:szCs w:val="18"/>
                <w:lang w:val="zh-CN"/>
              </w:rPr>
            </w:pPr>
          </w:p>
        </w:tc>
      </w:tr>
      <w:tr w14:paraId="6EE3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continue"/>
            <w:vAlign w:val="center"/>
          </w:tcPr>
          <w:p w14:paraId="403B4697">
            <w:pPr>
              <w:rPr>
                <w:rFonts w:ascii="Times New Roman" w:hAnsi="Times New Roman" w:eastAsia="仿宋" w:cs="Times New Roman"/>
                <w:color w:val="auto"/>
                <w:sz w:val="18"/>
                <w:szCs w:val="18"/>
              </w:rPr>
            </w:pPr>
          </w:p>
        </w:tc>
        <w:tc>
          <w:tcPr>
            <w:tcW w:w="769" w:type="pct"/>
            <w:vAlign w:val="center"/>
          </w:tcPr>
          <w:p w14:paraId="3D0FF1E9">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5.5 原油快速分析评价技术</w:t>
            </w:r>
          </w:p>
          <w:p w14:paraId="27C0566E">
            <w:pPr>
              <w:rPr>
                <w:rFonts w:ascii="Times New Roman" w:hAnsi="Times New Roman" w:eastAsia="仿宋" w:cs="Times New Roman"/>
                <w:color w:val="auto"/>
                <w:sz w:val="18"/>
                <w:szCs w:val="18"/>
              </w:rPr>
            </w:pPr>
          </w:p>
        </w:tc>
        <w:tc>
          <w:tcPr>
            <w:tcW w:w="1044" w:type="pct"/>
            <w:vAlign w:val="center"/>
          </w:tcPr>
          <w:p w14:paraId="18C08B30">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原油快速评价技术发展趋势</w:t>
            </w:r>
          </w:p>
          <w:p w14:paraId="2DA86005">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原油评价及加工方案研讨</w:t>
            </w:r>
          </w:p>
        </w:tc>
        <w:tc>
          <w:tcPr>
            <w:tcW w:w="268" w:type="pct"/>
            <w:vAlign w:val="center"/>
          </w:tcPr>
          <w:p w14:paraId="2F786068">
            <w:pPr>
              <w:rPr>
                <w:rFonts w:hint="eastAsia" w:ascii="Times New Roman" w:hAnsi="Times New Roman" w:eastAsia="仿宋" w:cs="Times New Roman"/>
                <w:color w:val="auto"/>
                <w:sz w:val="18"/>
                <w:szCs w:val="18"/>
                <w:lang w:eastAsia="zh-CN"/>
              </w:rPr>
            </w:pPr>
            <w:r>
              <w:rPr>
                <w:rFonts w:hint="eastAsia" w:ascii="Times New Roman" w:hAnsi="Times New Roman" w:eastAsia="仿宋" w:cs="Times New Roman"/>
                <w:color w:val="auto"/>
                <w:sz w:val="18"/>
                <w:szCs w:val="18"/>
                <w:lang w:val="en-US" w:eastAsia="zh-CN"/>
              </w:rPr>
              <w:t>1</w:t>
            </w:r>
          </w:p>
        </w:tc>
        <w:tc>
          <w:tcPr>
            <w:tcW w:w="962" w:type="pct"/>
          </w:tcPr>
          <w:p w14:paraId="57667F9B">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原油快速评价技术发展趋势</w:t>
            </w:r>
          </w:p>
          <w:p w14:paraId="6CD83662">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原油评价及加工方案研讨</w:t>
            </w:r>
          </w:p>
        </w:tc>
        <w:tc>
          <w:tcPr>
            <w:tcW w:w="475" w:type="pct"/>
          </w:tcPr>
          <w:p w14:paraId="3FF78A04">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lang w:val="en-US" w:eastAsia="zh-CN"/>
              </w:rPr>
              <w:t>线下教学</w:t>
            </w:r>
          </w:p>
        </w:tc>
        <w:tc>
          <w:tcPr>
            <w:tcW w:w="475" w:type="pct"/>
          </w:tcPr>
          <w:p w14:paraId="2A359627">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lang w:val="en-US" w:eastAsia="zh-CN"/>
              </w:rPr>
              <w:t>作业+考试</w:t>
            </w:r>
          </w:p>
        </w:tc>
        <w:tc>
          <w:tcPr>
            <w:tcW w:w="478" w:type="pct"/>
            <w:vMerge w:val="continue"/>
            <w:vAlign w:val="center"/>
          </w:tcPr>
          <w:p w14:paraId="38173F49">
            <w:pPr>
              <w:rPr>
                <w:rFonts w:ascii="Times New Roman" w:hAnsi="Times New Roman" w:eastAsia="仿宋" w:cs="Times New Roman"/>
                <w:color w:val="auto"/>
                <w:sz w:val="18"/>
                <w:szCs w:val="18"/>
              </w:rPr>
            </w:pPr>
          </w:p>
        </w:tc>
      </w:tr>
      <w:tr w14:paraId="2BFA4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restart"/>
            <w:shd w:val="clear" w:color="auto" w:fill="auto"/>
            <w:vAlign w:val="center"/>
          </w:tcPr>
          <w:p w14:paraId="0A0CAAD6">
            <w:pPr>
              <w:rPr>
                <w:rFonts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课题研讨</w:t>
            </w:r>
          </w:p>
        </w:tc>
        <w:tc>
          <w:tcPr>
            <w:tcW w:w="769" w:type="pct"/>
            <w:shd w:val="clear" w:color="auto" w:fill="auto"/>
            <w:vAlign w:val="center"/>
          </w:tcPr>
          <w:p w14:paraId="34F2DD7D">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zh-CN"/>
              </w:rPr>
              <w:t>第1次研讨</w:t>
            </w:r>
          </w:p>
        </w:tc>
        <w:tc>
          <w:tcPr>
            <w:tcW w:w="1044" w:type="pct"/>
            <w:shd w:val="clear" w:color="auto" w:fill="auto"/>
            <w:vAlign w:val="center"/>
          </w:tcPr>
          <w:p w14:paraId="02451CFE">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zh-CN"/>
              </w:rPr>
              <w:t>油品性质及使用性能系列研究</w:t>
            </w:r>
          </w:p>
        </w:tc>
        <w:tc>
          <w:tcPr>
            <w:tcW w:w="268" w:type="pct"/>
            <w:shd w:val="clear" w:color="auto" w:fill="auto"/>
            <w:vAlign w:val="center"/>
          </w:tcPr>
          <w:p w14:paraId="37B1A692">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2</w:t>
            </w:r>
          </w:p>
        </w:tc>
        <w:tc>
          <w:tcPr>
            <w:tcW w:w="962" w:type="pct"/>
          </w:tcPr>
          <w:p w14:paraId="22DD6994">
            <w:pPr>
              <w:rPr>
                <w:rFonts w:hint="eastAsia"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lang w:val="zh-CN"/>
              </w:rPr>
              <w:t>油品自燃与相应安全案例分析；油品爆炸与相应安全案例分析；国内外汽油标准发展演变过程及相应指标变化分析；国内外柴油标准发展演变过程及相应指标变化分析；汽油车尾气排放特征与雾霾的关系；柴油车尾气排放特征与雾霾的关系；醇类汽油发展与现状；生物柴油发展与现状；生物航煤发展与现状；石油蒸馏中的节能增效与减碳减排措施等。</w:t>
            </w:r>
          </w:p>
        </w:tc>
        <w:tc>
          <w:tcPr>
            <w:tcW w:w="475" w:type="pct"/>
          </w:tcPr>
          <w:p w14:paraId="774E08DE">
            <w:pPr>
              <w:rPr>
                <w:rFonts w:hint="eastAsia"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讲授</w:t>
            </w:r>
          </w:p>
          <w:p w14:paraId="05785D02">
            <w:pPr>
              <w:rPr>
                <w:rFonts w:hint="eastAsia"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研讨</w:t>
            </w:r>
          </w:p>
        </w:tc>
        <w:tc>
          <w:tcPr>
            <w:tcW w:w="475" w:type="pct"/>
          </w:tcPr>
          <w:p w14:paraId="620AE5C2">
            <w:pPr>
              <w:rPr>
                <w:rFonts w:hint="eastAsia" w:ascii="Times New Roman" w:hAnsi="Times New Roman" w:eastAsia="仿宋" w:cs="Times New Roman"/>
                <w:color w:val="auto"/>
                <w:sz w:val="18"/>
                <w:szCs w:val="18"/>
              </w:rPr>
            </w:pPr>
          </w:p>
        </w:tc>
        <w:tc>
          <w:tcPr>
            <w:tcW w:w="478" w:type="pct"/>
            <w:shd w:val="clear" w:color="auto" w:fill="auto"/>
            <w:vAlign w:val="center"/>
          </w:tcPr>
          <w:p w14:paraId="4F628801">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目标1</w:t>
            </w:r>
          </w:p>
          <w:p w14:paraId="1DEBB15F">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目标2</w:t>
            </w:r>
          </w:p>
          <w:p w14:paraId="6B3CFB8D">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目标3</w:t>
            </w:r>
          </w:p>
          <w:p w14:paraId="3266FD59">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目标5</w:t>
            </w:r>
          </w:p>
          <w:p w14:paraId="413FA738">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目标6</w:t>
            </w:r>
          </w:p>
          <w:p w14:paraId="3A62FF70">
            <w:pPr>
              <w:rPr>
                <w:rFonts w:hint="eastAsia" w:ascii="Times New Roman" w:hAnsi="Times New Roman" w:eastAsia="仿宋" w:cs="Times New Roman"/>
                <w:color w:val="auto"/>
                <w:sz w:val="18"/>
                <w:szCs w:val="18"/>
                <w:lang w:val="en-US" w:eastAsia="zh-CN"/>
              </w:rPr>
            </w:pPr>
          </w:p>
        </w:tc>
      </w:tr>
      <w:tr w14:paraId="7657A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vMerge w:val="continue"/>
            <w:shd w:val="clear" w:color="auto" w:fill="auto"/>
            <w:vAlign w:val="center"/>
          </w:tcPr>
          <w:p w14:paraId="350DAC82">
            <w:pPr>
              <w:rPr>
                <w:rFonts w:ascii="Times New Roman" w:hAnsi="Times New Roman" w:eastAsia="仿宋" w:cs="Times New Roman"/>
                <w:color w:val="auto"/>
                <w:sz w:val="18"/>
                <w:szCs w:val="18"/>
              </w:rPr>
            </w:pPr>
          </w:p>
        </w:tc>
        <w:tc>
          <w:tcPr>
            <w:tcW w:w="769" w:type="pct"/>
            <w:shd w:val="clear" w:color="auto" w:fill="auto"/>
            <w:vAlign w:val="center"/>
          </w:tcPr>
          <w:p w14:paraId="59F2F236">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GB"/>
              </w:rPr>
              <w:t>第2次研讨：</w:t>
            </w:r>
          </w:p>
        </w:tc>
        <w:tc>
          <w:tcPr>
            <w:tcW w:w="1044" w:type="pct"/>
            <w:shd w:val="clear" w:color="auto" w:fill="auto"/>
            <w:vAlign w:val="center"/>
          </w:tcPr>
          <w:p w14:paraId="41E06FC1">
            <w:pPr>
              <w:rPr>
                <w:rFonts w:ascii="Times New Roman" w:hAnsi="Times New Roman" w:eastAsia="仿宋" w:cs="Times New Roman"/>
                <w:color w:val="auto"/>
                <w:sz w:val="18"/>
                <w:szCs w:val="18"/>
                <w:lang w:val="zh-CN"/>
              </w:rPr>
            </w:pPr>
            <w:r>
              <w:rPr>
                <w:rFonts w:hint="eastAsia" w:ascii="Times New Roman" w:hAnsi="Times New Roman" w:eastAsia="仿宋" w:cs="Times New Roman"/>
                <w:color w:val="auto"/>
                <w:sz w:val="18"/>
                <w:szCs w:val="18"/>
                <w:lang w:val="en-GB"/>
              </w:rPr>
              <w:t>原油特性与加工方案设计研讨</w:t>
            </w:r>
          </w:p>
        </w:tc>
        <w:tc>
          <w:tcPr>
            <w:tcW w:w="268" w:type="pct"/>
            <w:shd w:val="clear" w:color="auto" w:fill="auto"/>
            <w:vAlign w:val="center"/>
          </w:tcPr>
          <w:p w14:paraId="70C0D730">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2</w:t>
            </w:r>
          </w:p>
        </w:tc>
        <w:tc>
          <w:tcPr>
            <w:tcW w:w="962" w:type="pct"/>
          </w:tcPr>
          <w:p w14:paraId="6BE0574D">
            <w:pPr>
              <w:rPr>
                <w:rFonts w:hint="eastAsia"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lang w:val="en-GB"/>
              </w:rPr>
              <w:t>针对某种原油，设计一种燃料型加工方案，要求具有高的轻油收率和不同的柴汽比；设计一种燃料型加工方案，要求具有高的液收和高的汽油收率；设计一种化工—润滑油型加工方案，既生产润滑油基础油，又生产化工原料；设计一种燃料—化工型加工方案，要求具有高的汽油/柴油/轻油收率和高的三烯/三苯收率</w:t>
            </w:r>
          </w:p>
        </w:tc>
        <w:tc>
          <w:tcPr>
            <w:tcW w:w="475" w:type="pct"/>
          </w:tcPr>
          <w:p w14:paraId="63514465">
            <w:pPr>
              <w:rPr>
                <w:rFonts w:hint="eastAsia"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讲授</w:t>
            </w:r>
          </w:p>
          <w:p w14:paraId="1C22759D">
            <w:pPr>
              <w:rPr>
                <w:rFonts w:hint="eastAsia" w:ascii="Times New Roman" w:hAnsi="Times New Roman" w:eastAsia="仿宋" w:cs="Times New Roman"/>
                <w:color w:val="auto"/>
                <w:sz w:val="18"/>
                <w:szCs w:val="18"/>
              </w:rPr>
            </w:pPr>
            <w:r>
              <w:rPr>
                <w:rFonts w:hint="eastAsia" w:ascii="Times New Roman" w:hAnsi="Times New Roman" w:eastAsia="仿宋" w:cs="Times New Roman"/>
                <w:color w:val="auto"/>
                <w:sz w:val="18"/>
                <w:szCs w:val="18"/>
              </w:rPr>
              <w:t>研讨</w:t>
            </w:r>
          </w:p>
        </w:tc>
        <w:tc>
          <w:tcPr>
            <w:tcW w:w="475" w:type="pct"/>
          </w:tcPr>
          <w:p w14:paraId="576C6A4A">
            <w:pPr>
              <w:rPr>
                <w:rFonts w:hint="eastAsia" w:ascii="Times New Roman" w:hAnsi="Times New Roman" w:eastAsia="仿宋" w:cs="Times New Roman"/>
                <w:color w:val="auto"/>
                <w:sz w:val="18"/>
                <w:szCs w:val="18"/>
              </w:rPr>
            </w:pPr>
          </w:p>
        </w:tc>
        <w:tc>
          <w:tcPr>
            <w:tcW w:w="478" w:type="pct"/>
            <w:shd w:val="clear" w:color="auto" w:fill="auto"/>
            <w:vAlign w:val="center"/>
          </w:tcPr>
          <w:p w14:paraId="06098AAC">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目标1</w:t>
            </w:r>
          </w:p>
          <w:p w14:paraId="31A59945">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目标4</w:t>
            </w:r>
          </w:p>
          <w:p w14:paraId="4D7719CD">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目标5</w:t>
            </w:r>
          </w:p>
          <w:p w14:paraId="4424F540">
            <w:pPr>
              <w:rPr>
                <w:rFonts w:hint="eastAsia"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目标6</w:t>
            </w:r>
          </w:p>
          <w:p w14:paraId="572ECD5A">
            <w:pPr>
              <w:rPr>
                <w:rFonts w:hint="eastAsia" w:ascii="Times New Roman" w:hAnsi="Times New Roman" w:eastAsia="仿宋" w:cs="Times New Roman"/>
                <w:color w:val="auto"/>
                <w:sz w:val="18"/>
                <w:szCs w:val="18"/>
                <w:lang w:val="en-US" w:eastAsia="zh-CN"/>
              </w:rPr>
            </w:pPr>
          </w:p>
        </w:tc>
      </w:tr>
      <w:tr w14:paraId="0733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5" w:type="pct"/>
            <w:shd w:val="clear" w:color="auto" w:fill="auto"/>
            <w:vAlign w:val="center"/>
          </w:tcPr>
          <w:p w14:paraId="3095478D">
            <w:pPr>
              <w:rPr>
                <w:rFonts w:ascii="Times New Roman" w:hAnsi="Times New Roman" w:eastAsia="仿宋" w:cs="Times New Roman"/>
                <w:color w:val="auto"/>
                <w:sz w:val="18"/>
                <w:szCs w:val="18"/>
              </w:rPr>
            </w:pPr>
            <w:r>
              <w:rPr>
                <w:rFonts w:ascii="Times New Roman" w:hAnsi="Times New Roman" w:eastAsia="仿宋" w:cs="Times New Roman"/>
                <w:color w:val="auto"/>
                <w:sz w:val="18"/>
                <w:szCs w:val="18"/>
              </w:rPr>
              <w:t>合计</w:t>
            </w:r>
          </w:p>
        </w:tc>
        <w:tc>
          <w:tcPr>
            <w:tcW w:w="769" w:type="pct"/>
            <w:shd w:val="clear" w:color="auto" w:fill="auto"/>
            <w:vAlign w:val="center"/>
          </w:tcPr>
          <w:p w14:paraId="69E6B593">
            <w:pPr>
              <w:rPr>
                <w:rFonts w:ascii="Times New Roman" w:hAnsi="Times New Roman" w:eastAsia="仿宋" w:cs="Times New Roman"/>
                <w:color w:val="auto"/>
                <w:sz w:val="18"/>
                <w:szCs w:val="18"/>
                <w:lang w:val="zh-CN"/>
              </w:rPr>
            </w:pPr>
          </w:p>
        </w:tc>
        <w:tc>
          <w:tcPr>
            <w:tcW w:w="1044" w:type="pct"/>
            <w:shd w:val="clear" w:color="auto" w:fill="auto"/>
            <w:vAlign w:val="center"/>
          </w:tcPr>
          <w:p w14:paraId="52D0C1EF">
            <w:pPr>
              <w:rPr>
                <w:rFonts w:ascii="Times New Roman" w:hAnsi="Times New Roman" w:eastAsia="仿宋" w:cs="Times New Roman"/>
                <w:color w:val="auto"/>
                <w:sz w:val="18"/>
                <w:szCs w:val="18"/>
                <w:lang w:val="zh-CN"/>
              </w:rPr>
            </w:pPr>
          </w:p>
        </w:tc>
        <w:tc>
          <w:tcPr>
            <w:tcW w:w="268" w:type="pct"/>
            <w:shd w:val="clear" w:color="auto" w:fill="auto"/>
            <w:vAlign w:val="center"/>
          </w:tcPr>
          <w:p w14:paraId="2DACDF7E">
            <w:pPr>
              <w:rPr>
                <w:rFonts w:ascii="Times New Roman" w:hAnsi="Times New Roman" w:eastAsia="仿宋" w:cs="Times New Roman"/>
                <w:color w:val="auto"/>
                <w:sz w:val="18"/>
                <w:szCs w:val="18"/>
                <w:lang w:val="zh-CN"/>
              </w:rPr>
            </w:pPr>
          </w:p>
        </w:tc>
        <w:tc>
          <w:tcPr>
            <w:tcW w:w="962" w:type="pct"/>
          </w:tcPr>
          <w:p w14:paraId="2543CE92">
            <w:pPr>
              <w:rPr>
                <w:rFonts w:hint="eastAsia" w:ascii="Times New Roman" w:hAnsi="Times New Roman" w:eastAsia="仿宋" w:cs="Times New Roman"/>
                <w:color w:val="auto"/>
                <w:sz w:val="18"/>
                <w:szCs w:val="18"/>
              </w:rPr>
            </w:pPr>
          </w:p>
        </w:tc>
        <w:tc>
          <w:tcPr>
            <w:tcW w:w="475" w:type="pct"/>
          </w:tcPr>
          <w:p w14:paraId="2955A0B8">
            <w:pPr>
              <w:rPr>
                <w:rFonts w:hint="eastAsia" w:ascii="Times New Roman" w:hAnsi="Times New Roman" w:eastAsia="仿宋" w:cs="Times New Roman"/>
                <w:color w:val="auto"/>
                <w:sz w:val="18"/>
                <w:szCs w:val="18"/>
              </w:rPr>
            </w:pPr>
          </w:p>
        </w:tc>
        <w:tc>
          <w:tcPr>
            <w:tcW w:w="475" w:type="pct"/>
          </w:tcPr>
          <w:p w14:paraId="52854F6A">
            <w:pPr>
              <w:rPr>
                <w:rFonts w:hint="eastAsia" w:ascii="Times New Roman" w:hAnsi="Times New Roman" w:eastAsia="仿宋" w:cs="Times New Roman"/>
                <w:color w:val="auto"/>
                <w:sz w:val="18"/>
                <w:szCs w:val="18"/>
              </w:rPr>
            </w:pPr>
          </w:p>
        </w:tc>
        <w:tc>
          <w:tcPr>
            <w:tcW w:w="478" w:type="pct"/>
            <w:shd w:val="clear" w:color="auto" w:fill="auto"/>
            <w:vAlign w:val="center"/>
          </w:tcPr>
          <w:p w14:paraId="5C06AD4D">
            <w:pPr>
              <w:rPr>
                <w:rFonts w:hint="default" w:ascii="Times New Roman" w:hAnsi="Times New Roman" w:eastAsia="仿宋" w:cs="Times New Roman"/>
                <w:color w:val="auto"/>
                <w:sz w:val="18"/>
                <w:szCs w:val="18"/>
                <w:lang w:val="en-US" w:eastAsia="zh-CN"/>
              </w:rPr>
            </w:pPr>
            <w:r>
              <w:rPr>
                <w:rFonts w:hint="eastAsia" w:ascii="Times New Roman" w:hAnsi="Times New Roman" w:eastAsia="仿宋" w:cs="Times New Roman"/>
                <w:color w:val="auto"/>
                <w:sz w:val="18"/>
                <w:szCs w:val="18"/>
                <w:lang w:val="en-US" w:eastAsia="zh-CN"/>
              </w:rPr>
              <w:t>32</w:t>
            </w:r>
          </w:p>
        </w:tc>
      </w:tr>
    </w:tbl>
    <w:p w14:paraId="38D37CB0">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bookmarkStart w:id="0" w:name="_Hlk49024753"/>
      <w:r>
        <w:rPr>
          <w:rFonts w:hint="eastAsia" w:eastAsia="黑体"/>
          <w:color w:val="auto"/>
          <w:sz w:val="28"/>
          <w:szCs w:val="28"/>
        </w:rPr>
        <w:t>五</w:t>
      </w:r>
      <w:r>
        <w:rPr>
          <w:rFonts w:eastAsia="黑体"/>
          <w:color w:val="auto"/>
          <w:sz w:val="28"/>
          <w:szCs w:val="28"/>
        </w:rPr>
        <w:t>、</w:t>
      </w:r>
      <w:r>
        <w:rPr>
          <w:rFonts w:hint="eastAsia" w:eastAsia="黑体"/>
          <w:color w:val="auto"/>
          <w:sz w:val="28"/>
          <w:szCs w:val="28"/>
        </w:rPr>
        <w:t>考核方式</w:t>
      </w:r>
    </w:p>
    <w:p w14:paraId="24632B67">
      <w:pPr>
        <w:snapToGrid w:val="0"/>
        <w:spacing w:line="360" w:lineRule="auto"/>
        <w:ind w:firstLine="482" w:firstLineChars="200"/>
        <w:rPr>
          <w:rFonts w:ascii="仿宋" w:hAnsi="仿宋" w:eastAsia="仿宋"/>
          <w:color w:val="auto"/>
          <w:sz w:val="24"/>
        </w:rPr>
      </w:pPr>
      <w:r>
        <w:rPr>
          <w:rFonts w:hint="eastAsia" w:ascii="仿宋" w:hAnsi="仿宋" w:eastAsia="仿宋"/>
          <w:b/>
          <w:color w:val="auto"/>
          <w:sz w:val="24"/>
        </w:rPr>
        <w:t>（一）成绩评定方式：</w:t>
      </w:r>
      <w:r>
        <w:rPr>
          <w:rFonts w:hint="eastAsia" w:ascii="仿宋" w:hAnsi="仿宋" w:eastAsia="仿宋"/>
          <w:color w:val="auto"/>
          <w:sz w:val="24"/>
        </w:rPr>
        <w:t>百分制</w:t>
      </w:r>
      <w:r>
        <w:rPr>
          <w:rFonts w:ascii="仿宋" w:hAnsi="仿宋" w:eastAsia="仿宋"/>
          <w:color w:val="auto"/>
          <w:sz w:val="24"/>
        </w:rPr>
        <w:t xml:space="preserve"> </w:t>
      </w:r>
    </w:p>
    <w:p w14:paraId="0B84E27E">
      <w:pPr>
        <w:snapToGrid w:val="0"/>
        <w:spacing w:line="360" w:lineRule="auto"/>
        <w:ind w:firstLine="482" w:firstLineChars="200"/>
        <w:rPr>
          <w:rFonts w:eastAsia="仿宋"/>
          <w:color w:val="auto"/>
          <w:sz w:val="24"/>
        </w:rPr>
      </w:pPr>
      <w:r>
        <w:rPr>
          <w:rFonts w:hint="eastAsia" w:ascii="仿宋" w:hAnsi="仿宋" w:eastAsia="仿宋"/>
          <w:b/>
          <w:color w:val="auto"/>
          <w:sz w:val="24"/>
        </w:rPr>
        <w:t>（二）成绩构成：</w:t>
      </w:r>
      <w:r>
        <w:rPr>
          <w:rFonts w:hint="eastAsia" w:eastAsia="仿宋"/>
          <w:color w:val="auto"/>
          <w:sz w:val="24"/>
        </w:rPr>
        <w:t>过程成绩40</w:t>
      </w:r>
      <w:r>
        <w:rPr>
          <w:rFonts w:eastAsia="仿宋"/>
          <w:color w:val="auto"/>
          <w:sz w:val="24"/>
        </w:rPr>
        <w:t>%</w:t>
      </w:r>
      <w:r>
        <w:rPr>
          <w:rFonts w:hint="eastAsia" w:eastAsia="仿宋"/>
          <w:color w:val="auto"/>
          <w:sz w:val="24"/>
        </w:rPr>
        <w:t>，实验成绩</w:t>
      </w:r>
      <w:r>
        <w:rPr>
          <w:rFonts w:eastAsia="仿宋"/>
          <w:color w:val="auto"/>
          <w:sz w:val="24"/>
        </w:rPr>
        <w:t>*%</w:t>
      </w:r>
      <w:r>
        <w:rPr>
          <w:rFonts w:hint="eastAsia" w:eastAsia="仿宋"/>
          <w:color w:val="auto"/>
          <w:sz w:val="24"/>
        </w:rPr>
        <w:t>，结课考核成绩60</w:t>
      </w:r>
      <w:r>
        <w:rPr>
          <w:rFonts w:eastAsia="仿宋"/>
          <w:color w:val="auto"/>
          <w:sz w:val="24"/>
        </w:rPr>
        <w:t>%</w:t>
      </w:r>
    </w:p>
    <w:p w14:paraId="03F1A79C">
      <w:pPr>
        <w:snapToGrid w:val="0"/>
        <w:spacing w:line="360" w:lineRule="auto"/>
        <w:ind w:firstLine="482" w:firstLineChars="200"/>
        <w:rPr>
          <w:rFonts w:ascii="仿宋" w:hAnsi="仿宋" w:eastAsia="仿宋"/>
          <w:b/>
          <w:color w:val="auto"/>
          <w:sz w:val="24"/>
        </w:rPr>
      </w:pPr>
      <w:r>
        <w:rPr>
          <w:rFonts w:hint="eastAsia" w:ascii="仿宋" w:hAnsi="仿宋" w:eastAsia="仿宋"/>
          <w:b/>
          <w:color w:val="auto"/>
          <w:sz w:val="24"/>
        </w:rPr>
        <w:t>（三）考核环节：</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951"/>
        <w:gridCol w:w="997"/>
        <w:gridCol w:w="3010"/>
        <w:gridCol w:w="2542"/>
      </w:tblGrid>
      <w:tr w14:paraId="05954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6" w:type="pct"/>
            <w:gridSpan w:val="2"/>
            <w:shd w:val="clear" w:color="auto" w:fill="auto"/>
            <w:vAlign w:val="center"/>
          </w:tcPr>
          <w:p w14:paraId="68B7C91C">
            <w:pPr>
              <w:snapToGrid w:val="0"/>
              <w:spacing w:line="360" w:lineRule="auto"/>
              <w:jc w:val="center"/>
              <w:rPr>
                <w:rFonts w:ascii="仿宋" w:hAnsi="仿宋" w:eastAsia="仿宋"/>
                <w:b/>
                <w:color w:val="auto"/>
                <w:sz w:val="24"/>
              </w:rPr>
            </w:pPr>
            <w:r>
              <w:rPr>
                <w:rFonts w:hint="eastAsia" w:ascii="仿宋" w:hAnsi="仿宋" w:eastAsia="仿宋"/>
                <w:b/>
                <w:color w:val="auto"/>
                <w:sz w:val="24"/>
              </w:rPr>
              <w:t>考核环节</w:t>
            </w:r>
          </w:p>
        </w:tc>
        <w:tc>
          <w:tcPr>
            <w:tcW w:w="585" w:type="pct"/>
          </w:tcPr>
          <w:p w14:paraId="6DAB3546">
            <w:pPr>
              <w:snapToGrid w:val="0"/>
              <w:spacing w:line="360" w:lineRule="auto"/>
              <w:jc w:val="center"/>
              <w:rPr>
                <w:rFonts w:ascii="仿宋" w:hAnsi="仿宋" w:eastAsia="仿宋"/>
                <w:b/>
                <w:color w:val="auto"/>
                <w:sz w:val="24"/>
              </w:rPr>
            </w:pPr>
            <w:r>
              <w:rPr>
                <w:rFonts w:hint="eastAsia" w:ascii="仿宋" w:hAnsi="仿宋" w:eastAsia="仿宋"/>
                <w:b/>
                <w:color w:val="auto"/>
                <w:sz w:val="24"/>
              </w:rPr>
              <w:t>分值</w:t>
            </w:r>
          </w:p>
        </w:tc>
        <w:tc>
          <w:tcPr>
            <w:tcW w:w="1766" w:type="pct"/>
          </w:tcPr>
          <w:p w14:paraId="5C27B32B">
            <w:pPr>
              <w:snapToGrid w:val="0"/>
              <w:spacing w:line="360" w:lineRule="auto"/>
              <w:jc w:val="center"/>
              <w:rPr>
                <w:rFonts w:ascii="仿宋" w:hAnsi="仿宋" w:eastAsia="仿宋"/>
                <w:b/>
                <w:color w:val="auto"/>
                <w:sz w:val="24"/>
              </w:rPr>
            </w:pPr>
            <w:r>
              <w:rPr>
                <w:rFonts w:hint="eastAsia" w:ascii="仿宋" w:hAnsi="仿宋" w:eastAsia="仿宋"/>
                <w:b/>
                <w:color w:val="auto"/>
                <w:sz w:val="24"/>
              </w:rPr>
              <w:t>考核/评价细则</w:t>
            </w:r>
          </w:p>
        </w:tc>
        <w:tc>
          <w:tcPr>
            <w:tcW w:w="1491" w:type="pct"/>
          </w:tcPr>
          <w:p w14:paraId="7A115275">
            <w:pPr>
              <w:snapToGrid w:val="0"/>
              <w:spacing w:line="360" w:lineRule="auto"/>
              <w:jc w:val="center"/>
              <w:rPr>
                <w:rFonts w:ascii="仿宋" w:hAnsi="仿宋" w:eastAsia="仿宋"/>
                <w:b/>
                <w:color w:val="auto"/>
                <w:sz w:val="24"/>
              </w:rPr>
            </w:pPr>
            <w:r>
              <w:rPr>
                <w:rFonts w:hint="eastAsia" w:ascii="仿宋" w:hAnsi="仿宋" w:eastAsia="仿宋"/>
                <w:b/>
                <w:color w:val="auto"/>
                <w:sz w:val="24"/>
              </w:rPr>
              <w:t>对应的课程目标</w:t>
            </w:r>
          </w:p>
        </w:tc>
      </w:tr>
      <w:tr w14:paraId="679A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restart"/>
            <w:shd w:val="clear" w:color="auto" w:fill="auto"/>
            <w:vAlign w:val="center"/>
          </w:tcPr>
          <w:p w14:paraId="4B5969AC">
            <w:pPr>
              <w:snapToGrid w:val="0"/>
              <w:spacing w:line="360" w:lineRule="auto"/>
              <w:jc w:val="center"/>
              <w:rPr>
                <w:rFonts w:ascii="仿宋" w:hAnsi="仿宋" w:eastAsia="仿宋"/>
                <w:b/>
                <w:color w:val="auto"/>
                <w:sz w:val="24"/>
              </w:rPr>
            </w:pPr>
            <w:r>
              <w:rPr>
                <w:rFonts w:hint="eastAsia" w:ascii="仿宋" w:hAnsi="仿宋" w:eastAsia="仿宋"/>
                <w:b/>
                <w:color w:val="auto"/>
                <w:sz w:val="24"/>
              </w:rPr>
              <w:t>过程考核</w:t>
            </w:r>
          </w:p>
        </w:tc>
        <w:tc>
          <w:tcPr>
            <w:tcW w:w="558" w:type="pct"/>
            <w:shd w:val="clear" w:color="auto" w:fill="auto"/>
            <w:vAlign w:val="center"/>
          </w:tcPr>
          <w:p w14:paraId="4037C7A6">
            <w:pPr>
              <w:snapToGrid w:val="0"/>
              <w:spacing w:line="360" w:lineRule="auto"/>
              <w:jc w:val="center"/>
              <w:rPr>
                <w:rFonts w:ascii="仿宋" w:hAnsi="仿宋" w:eastAsia="仿宋"/>
                <w:b/>
                <w:color w:val="auto"/>
                <w:sz w:val="24"/>
              </w:rPr>
            </w:pPr>
            <w:r>
              <w:rPr>
                <w:rFonts w:hint="eastAsia" w:ascii="仿宋" w:hAnsi="仿宋" w:eastAsia="仿宋"/>
                <w:b/>
                <w:color w:val="auto"/>
                <w:sz w:val="24"/>
              </w:rPr>
              <w:t>作业</w:t>
            </w:r>
          </w:p>
        </w:tc>
        <w:tc>
          <w:tcPr>
            <w:tcW w:w="585" w:type="pct"/>
          </w:tcPr>
          <w:p w14:paraId="36F2EED1">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20</w:t>
            </w:r>
          </w:p>
        </w:tc>
        <w:tc>
          <w:tcPr>
            <w:tcW w:w="1766" w:type="pct"/>
          </w:tcPr>
          <w:p w14:paraId="20C094A8">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每章作业，共5次作业，每次作业4分</w:t>
            </w:r>
          </w:p>
        </w:tc>
        <w:tc>
          <w:tcPr>
            <w:tcW w:w="1491" w:type="pct"/>
          </w:tcPr>
          <w:p w14:paraId="1713A483">
            <w:pPr>
              <w:snapToGrid w:val="0"/>
              <w:spacing w:line="360" w:lineRule="auto"/>
              <w:jc w:val="center"/>
              <w:rPr>
                <w:rFonts w:hint="default" w:ascii="仿宋" w:hAnsi="仿宋" w:eastAsia="仿宋"/>
                <w:b/>
                <w:color w:val="auto"/>
                <w:sz w:val="24"/>
                <w:lang w:val="en-US"/>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1,2,3,4,5,6</w:t>
            </w:r>
          </w:p>
        </w:tc>
      </w:tr>
      <w:tr w14:paraId="532CA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vMerge w:val="continue"/>
            <w:shd w:val="clear" w:color="auto" w:fill="auto"/>
            <w:vAlign w:val="center"/>
          </w:tcPr>
          <w:p w14:paraId="7367CA20">
            <w:pPr>
              <w:snapToGrid w:val="0"/>
              <w:spacing w:line="360" w:lineRule="auto"/>
              <w:jc w:val="center"/>
              <w:rPr>
                <w:rFonts w:ascii="仿宋" w:hAnsi="仿宋" w:eastAsia="仿宋"/>
                <w:b/>
                <w:color w:val="auto"/>
                <w:sz w:val="24"/>
              </w:rPr>
            </w:pPr>
          </w:p>
        </w:tc>
        <w:tc>
          <w:tcPr>
            <w:tcW w:w="558" w:type="pct"/>
            <w:shd w:val="clear" w:color="auto" w:fill="auto"/>
            <w:vAlign w:val="center"/>
          </w:tcPr>
          <w:p w14:paraId="6FC221E9">
            <w:pPr>
              <w:snapToGrid w:val="0"/>
              <w:spacing w:line="360" w:lineRule="auto"/>
              <w:jc w:val="center"/>
              <w:rPr>
                <w:rFonts w:ascii="仿宋" w:hAnsi="仿宋" w:eastAsia="仿宋"/>
                <w:b/>
                <w:color w:val="auto"/>
                <w:sz w:val="24"/>
              </w:rPr>
            </w:pPr>
            <w:r>
              <w:rPr>
                <w:rFonts w:hint="eastAsia" w:ascii="仿宋" w:hAnsi="仿宋" w:eastAsia="仿宋"/>
                <w:b/>
                <w:color w:val="auto"/>
                <w:sz w:val="24"/>
              </w:rPr>
              <w:t>测验</w:t>
            </w:r>
          </w:p>
        </w:tc>
        <w:tc>
          <w:tcPr>
            <w:tcW w:w="585" w:type="pct"/>
          </w:tcPr>
          <w:p w14:paraId="059BE441">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10</w:t>
            </w:r>
          </w:p>
        </w:tc>
        <w:tc>
          <w:tcPr>
            <w:tcW w:w="1766" w:type="pct"/>
          </w:tcPr>
          <w:p w14:paraId="489047C9">
            <w:pPr>
              <w:snapToGrid w:val="0"/>
              <w:spacing w:line="360" w:lineRule="auto"/>
              <w:jc w:val="center"/>
              <w:rPr>
                <w:rFonts w:hint="default" w:ascii="仿宋" w:hAnsi="仿宋" w:eastAsia="仿宋"/>
                <w:b/>
                <w:color w:val="auto"/>
                <w:sz w:val="24"/>
                <w:lang w:val="en-US"/>
              </w:rPr>
            </w:pPr>
            <w:r>
              <w:rPr>
                <w:rFonts w:hint="eastAsia" w:ascii="仿宋" w:hAnsi="仿宋" w:eastAsia="仿宋"/>
                <w:b/>
                <w:color w:val="auto"/>
                <w:sz w:val="24"/>
                <w:lang w:val="en-US" w:eastAsia="zh-CN"/>
              </w:rPr>
              <w:t>雨课堂相关习题练习，5次小测验，每次测验2分</w:t>
            </w:r>
          </w:p>
        </w:tc>
        <w:tc>
          <w:tcPr>
            <w:tcW w:w="1491" w:type="pct"/>
          </w:tcPr>
          <w:p w14:paraId="621ED05F">
            <w:pPr>
              <w:snapToGrid w:val="0"/>
              <w:spacing w:line="360" w:lineRule="auto"/>
              <w:jc w:val="center"/>
              <w:rPr>
                <w:rFonts w:hint="default" w:ascii="仿宋" w:hAnsi="仿宋" w:eastAsia="仿宋"/>
                <w:b/>
                <w:color w:val="auto"/>
                <w:sz w:val="24"/>
                <w:lang w:val="en-US"/>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1,2,3,4,5,6</w:t>
            </w:r>
          </w:p>
        </w:tc>
      </w:tr>
      <w:tr w14:paraId="69E0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598" w:type="pct"/>
            <w:vMerge w:val="continue"/>
            <w:shd w:val="clear" w:color="auto" w:fill="auto"/>
            <w:vAlign w:val="center"/>
          </w:tcPr>
          <w:p w14:paraId="73A8D459">
            <w:pPr>
              <w:snapToGrid w:val="0"/>
              <w:spacing w:line="360" w:lineRule="auto"/>
              <w:jc w:val="center"/>
              <w:rPr>
                <w:rFonts w:ascii="仿宋" w:hAnsi="仿宋" w:eastAsia="仿宋"/>
                <w:b/>
                <w:color w:val="auto"/>
                <w:sz w:val="24"/>
              </w:rPr>
            </w:pPr>
          </w:p>
        </w:tc>
        <w:tc>
          <w:tcPr>
            <w:tcW w:w="558" w:type="pct"/>
            <w:shd w:val="clear" w:color="auto" w:fill="auto"/>
            <w:vAlign w:val="center"/>
          </w:tcPr>
          <w:p w14:paraId="22EA3D89">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研讨</w:t>
            </w:r>
          </w:p>
        </w:tc>
        <w:tc>
          <w:tcPr>
            <w:tcW w:w="585" w:type="pct"/>
          </w:tcPr>
          <w:p w14:paraId="49F98300">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6</w:t>
            </w:r>
          </w:p>
        </w:tc>
        <w:tc>
          <w:tcPr>
            <w:tcW w:w="1766" w:type="pct"/>
          </w:tcPr>
          <w:p w14:paraId="4694EC57">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两次研讨，每次研讨4分</w:t>
            </w:r>
          </w:p>
        </w:tc>
        <w:tc>
          <w:tcPr>
            <w:tcW w:w="1491" w:type="pct"/>
          </w:tcPr>
          <w:p w14:paraId="68D4F50F">
            <w:pPr>
              <w:snapToGrid w:val="0"/>
              <w:spacing w:line="360" w:lineRule="auto"/>
              <w:jc w:val="center"/>
              <w:rPr>
                <w:rFonts w:hint="eastAsia" w:ascii="仿宋" w:hAnsi="仿宋" w:eastAsia="仿宋"/>
                <w:color w:val="auto"/>
                <w:kern w:val="0"/>
                <w:sz w:val="24"/>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1,2,3,4,5,6</w:t>
            </w:r>
          </w:p>
        </w:tc>
      </w:tr>
      <w:tr w14:paraId="0973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598" w:type="pct"/>
            <w:vMerge w:val="continue"/>
            <w:shd w:val="clear" w:color="auto" w:fill="auto"/>
            <w:vAlign w:val="center"/>
          </w:tcPr>
          <w:p w14:paraId="4F139D94">
            <w:pPr>
              <w:snapToGrid w:val="0"/>
              <w:spacing w:line="360" w:lineRule="auto"/>
              <w:jc w:val="center"/>
              <w:rPr>
                <w:rFonts w:ascii="仿宋" w:hAnsi="仿宋" w:eastAsia="仿宋"/>
                <w:b/>
                <w:color w:val="auto"/>
                <w:sz w:val="24"/>
              </w:rPr>
            </w:pPr>
          </w:p>
        </w:tc>
        <w:tc>
          <w:tcPr>
            <w:tcW w:w="558" w:type="pct"/>
            <w:shd w:val="clear" w:color="auto" w:fill="auto"/>
            <w:vAlign w:val="center"/>
          </w:tcPr>
          <w:p w14:paraId="2EE740C3">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上机练习</w:t>
            </w:r>
          </w:p>
        </w:tc>
        <w:tc>
          <w:tcPr>
            <w:tcW w:w="585" w:type="pct"/>
          </w:tcPr>
          <w:p w14:paraId="78AC3800">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4</w:t>
            </w:r>
          </w:p>
        </w:tc>
        <w:tc>
          <w:tcPr>
            <w:tcW w:w="1766" w:type="pct"/>
          </w:tcPr>
          <w:p w14:paraId="01ED5CED">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rPr>
              <w:t>油品馏程的数学模型预测</w:t>
            </w:r>
            <w:r>
              <w:rPr>
                <w:rFonts w:hint="eastAsia" w:ascii="仿宋" w:hAnsi="仿宋" w:eastAsia="仿宋"/>
                <w:b/>
                <w:color w:val="auto"/>
                <w:sz w:val="24"/>
                <w:lang w:val="en-US" w:eastAsia="zh-CN"/>
              </w:rPr>
              <w:t>上机练习作业</w:t>
            </w:r>
          </w:p>
        </w:tc>
        <w:tc>
          <w:tcPr>
            <w:tcW w:w="1491" w:type="pct"/>
          </w:tcPr>
          <w:p w14:paraId="0A12AC92">
            <w:pPr>
              <w:snapToGrid w:val="0"/>
              <w:spacing w:line="360" w:lineRule="auto"/>
              <w:jc w:val="center"/>
              <w:rPr>
                <w:rFonts w:ascii="仿宋" w:hAnsi="仿宋" w:eastAsia="仿宋"/>
                <w:b/>
                <w:color w:val="auto"/>
                <w:sz w:val="24"/>
              </w:rPr>
            </w:pPr>
            <w:r>
              <w:rPr>
                <w:rFonts w:hint="eastAsia" w:ascii="仿宋" w:hAnsi="仿宋" w:eastAsia="仿宋"/>
                <w:color w:val="auto"/>
                <w:kern w:val="0"/>
                <w:sz w:val="24"/>
              </w:rPr>
              <w:t>课程目标</w:t>
            </w:r>
            <w:r>
              <w:rPr>
                <w:rFonts w:ascii="仿宋" w:hAnsi="仿宋" w:eastAsia="仿宋"/>
                <w:color w:val="auto"/>
                <w:kern w:val="0"/>
                <w:sz w:val="24"/>
              </w:rPr>
              <w:t>3</w:t>
            </w:r>
          </w:p>
        </w:tc>
      </w:tr>
      <w:tr w14:paraId="1965B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8" w:type="pct"/>
            <w:shd w:val="clear" w:color="auto" w:fill="auto"/>
            <w:vAlign w:val="center"/>
          </w:tcPr>
          <w:p w14:paraId="39FAD248">
            <w:pPr>
              <w:snapToGrid w:val="0"/>
              <w:spacing w:line="360" w:lineRule="auto"/>
              <w:jc w:val="center"/>
              <w:rPr>
                <w:rFonts w:ascii="仿宋" w:hAnsi="仿宋" w:eastAsia="仿宋"/>
                <w:b/>
                <w:color w:val="auto"/>
                <w:sz w:val="24"/>
              </w:rPr>
            </w:pPr>
            <w:r>
              <w:rPr>
                <w:rFonts w:hint="eastAsia" w:ascii="仿宋" w:hAnsi="仿宋" w:eastAsia="仿宋"/>
                <w:b/>
                <w:color w:val="auto"/>
                <w:sz w:val="24"/>
              </w:rPr>
              <w:t>结课考核</w:t>
            </w:r>
          </w:p>
        </w:tc>
        <w:tc>
          <w:tcPr>
            <w:tcW w:w="558" w:type="pct"/>
            <w:shd w:val="clear" w:color="auto" w:fill="auto"/>
            <w:vAlign w:val="center"/>
          </w:tcPr>
          <w:p w14:paraId="6661F915">
            <w:pPr>
              <w:snapToGrid w:val="0"/>
              <w:spacing w:line="360" w:lineRule="auto"/>
              <w:jc w:val="center"/>
              <w:rPr>
                <w:rFonts w:ascii="仿宋" w:hAnsi="仿宋" w:eastAsia="仿宋"/>
                <w:b/>
                <w:color w:val="auto"/>
                <w:sz w:val="24"/>
              </w:rPr>
            </w:pPr>
            <w:r>
              <w:rPr>
                <w:rFonts w:hint="eastAsia" w:ascii="仿宋" w:hAnsi="仿宋" w:eastAsia="仿宋"/>
                <w:b/>
                <w:color w:val="auto"/>
                <w:sz w:val="24"/>
              </w:rPr>
              <w:t>结课考试</w:t>
            </w:r>
          </w:p>
        </w:tc>
        <w:tc>
          <w:tcPr>
            <w:tcW w:w="585" w:type="pct"/>
          </w:tcPr>
          <w:p w14:paraId="579D8E2B">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60</w:t>
            </w:r>
          </w:p>
        </w:tc>
        <w:tc>
          <w:tcPr>
            <w:tcW w:w="1766" w:type="pct"/>
          </w:tcPr>
          <w:p w14:paraId="5263E4E8">
            <w:pPr>
              <w:snapToGrid w:val="0"/>
              <w:spacing w:line="360" w:lineRule="auto"/>
              <w:jc w:val="left"/>
              <w:rPr>
                <w:rFonts w:hint="default" w:ascii="仿宋" w:hAnsi="仿宋" w:eastAsia="仿宋"/>
                <w:bCs/>
                <w:color w:val="auto"/>
                <w:sz w:val="24"/>
                <w:lang w:val="en-US" w:eastAsia="zh-CN"/>
              </w:rPr>
            </w:pPr>
            <w:r>
              <w:rPr>
                <w:rFonts w:hint="eastAsia" w:ascii="仿宋" w:hAnsi="仿宋" w:eastAsia="仿宋"/>
                <w:b/>
                <w:color w:val="auto"/>
                <w:sz w:val="24"/>
                <w:lang w:val="en-US" w:eastAsia="zh-CN"/>
              </w:rPr>
              <w:t>闭卷考试，按照教学大纲设置填空、选择、简答及计算题</w:t>
            </w:r>
          </w:p>
        </w:tc>
        <w:tc>
          <w:tcPr>
            <w:tcW w:w="1491" w:type="pct"/>
          </w:tcPr>
          <w:p w14:paraId="5D517797">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color w:val="auto"/>
                <w:kern w:val="0"/>
                <w:sz w:val="24"/>
              </w:rPr>
              <w:t>课程目标</w:t>
            </w:r>
            <w:r>
              <w:rPr>
                <w:rFonts w:hint="eastAsia" w:ascii="仿宋" w:hAnsi="仿宋" w:eastAsia="仿宋"/>
                <w:color w:val="auto"/>
                <w:kern w:val="0"/>
                <w:sz w:val="24"/>
                <w:lang w:val="en-US" w:eastAsia="zh-CN"/>
              </w:rPr>
              <w:t>1,2,3,4,5,6</w:t>
            </w:r>
          </w:p>
        </w:tc>
      </w:tr>
    </w:tbl>
    <w:p w14:paraId="3BF18AA9">
      <w:pPr>
        <w:snapToGrid w:val="0"/>
        <w:spacing w:line="360" w:lineRule="auto"/>
        <w:ind w:firstLine="480" w:firstLineChars="200"/>
        <w:rPr>
          <w:rFonts w:hint="eastAsia" w:ascii="仿宋" w:hAnsi="仿宋" w:eastAsia="仿宋"/>
          <w:bCs/>
          <w:color w:val="auto"/>
          <w:sz w:val="24"/>
        </w:rPr>
      </w:pPr>
      <w:r>
        <w:rPr>
          <w:rFonts w:hint="eastAsia" w:ascii="仿宋" w:hAnsi="仿宋" w:eastAsia="仿宋"/>
          <w:bCs/>
          <w:color w:val="auto"/>
          <w:sz w:val="24"/>
        </w:rPr>
        <w:t>*过程考核应采用综合性评价方式，重点体现学生学习过程成效，详细填写具体的考核任务，写明各类型过程考核的评价细则；含实验的课程须填写实验考核部分内容；结课考核的“考核/评价细则”一栏中须列出结课考核的考核形式、题型、每道题的考核内容及分值等。</w:t>
      </w:r>
    </w:p>
    <w:p w14:paraId="0A5E484A">
      <w:pPr>
        <w:suppressAutoHyphens/>
        <w:snapToGrid w:val="0"/>
        <w:spacing w:before="120" w:beforeLines="50" w:after="120" w:afterLines="50" w:line="360" w:lineRule="auto"/>
        <w:ind w:right="102"/>
        <w:rPr>
          <w:b/>
          <w:spacing w:val="-3"/>
          <w:szCs w:val="21"/>
          <w:lang w:val="en-GB"/>
        </w:rPr>
      </w:pPr>
      <w:r>
        <w:rPr>
          <w:b/>
          <w:spacing w:val="-3"/>
          <w:szCs w:val="21"/>
          <w:lang w:val="en-GB"/>
        </w:rPr>
        <w:t>评分标准</w:t>
      </w:r>
    </w:p>
    <w:tbl>
      <w:tblPr>
        <w:tblStyle w:val="7"/>
        <w:tblW w:w="5051" w:type="pct"/>
        <w:tblInd w:w="0" w:type="dxa"/>
        <w:tblLayout w:type="autofit"/>
        <w:tblCellMar>
          <w:top w:w="0" w:type="dxa"/>
          <w:left w:w="10" w:type="dxa"/>
          <w:bottom w:w="0" w:type="dxa"/>
          <w:right w:w="10" w:type="dxa"/>
        </w:tblCellMar>
      </w:tblPr>
      <w:tblGrid>
        <w:gridCol w:w="1473"/>
        <w:gridCol w:w="1407"/>
        <w:gridCol w:w="1408"/>
        <w:gridCol w:w="1408"/>
        <w:gridCol w:w="1408"/>
        <w:gridCol w:w="1406"/>
      </w:tblGrid>
      <w:tr w14:paraId="75E093E8">
        <w:tblPrEx>
          <w:tblCellMar>
            <w:top w:w="0" w:type="dxa"/>
            <w:left w:w="10" w:type="dxa"/>
            <w:bottom w:w="0" w:type="dxa"/>
            <w:right w:w="10" w:type="dxa"/>
          </w:tblCellMar>
        </w:tblPrEx>
        <w:trPr>
          <w:trHeight w:val="1" w:hRule="atLeast"/>
        </w:trPr>
        <w:tc>
          <w:tcPr>
            <w:tcW w:w="866" w:type="pct"/>
            <w:vMerge w:val="restart"/>
            <w:tcBorders>
              <w:top w:val="single" w:color="000000" w:sz="4" w:space="0"/>
              <w:left w:val="single" w:color="000000" w:sz="4" w:space="0"/>
              <w:right w:val="single" w:color="000000" w:sz="4" w:space="0"/>
            </w:tcBorders>
            <w:shd w:val="clear" w:color="000000" w:fill="FFFFFF"/>
            <w:noWrap w:val="0"/>
            <w:tcMar>
              <w:left w:w="108" w:type="dxa"/>
              <w:right w:w="108" w:type="dxa"/>
            </w:tcMar>
            <w:vAlign w:val="center"/>
          </w:tcPr>
          <w:p w14:paraId="075E2FAE">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课程目标</w:t>
            </w:r>
          </w:p>
        </w:tc>
        <w:tc>
          <w:tcPr>
            <w:tcW w:w="4134" w:type="pct"/>
            <w:gridSpan w:val="5"/>
            <w:tcBorders>
              <w:top w:val="single" w:color="000000" w:sz="4" w:space="0"/>
              <w:left w:val="single" w:color="000000" w:sz="4" w:space="0"/>
              <w:right w:val="single" w:color="000000" w:sz="4" w:space="0"/>
            </w:tcBorders>
            <w:shd w:val="clear" w:color="000000" w:fill="FFFFFF"/>
            <w:noWrap w:val="0"/>
            <w:vAlign w:val="top"/>
          </w:tcPr>
          <w:p w14:paraId="3F9E7504">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评价标准</w:t>
            </w:r>
          </w:p>
        </w:tc>
      </w:tr>
      <w:tr w14:paraId="458D9920">
        <w:tblPrEx>
          <w:tblCellMar>
            <w:top w:w="0" w:type="dxa"/>
            <w:left w:w="10" w:type="dxa"/>
            <w:bottom w:w="0" w:type="dxa"/>
            <w:right w:w="10" w:type="dxa"/>
          </w:tblCellMar>
        </w:tblPrEx>
        <w:trPr>
          <w:trHeight w:val="1" w:hRule="atLeast"/>
        </w:trPr>
        <w:tc>
          <w:tcPr>
            <w:tcW w:w="866" w:type="pct"/>
            <w:vMerge w:val="continue"/>
            <w:tcBorders>
              <w:left w:val="single" w:color="000000" w:sz="4" w:space="0"/>
              <w:right w:val="single" w:color="000000" w:sz="4" w:space="0"/>
            </w:tcBorders>
            <w:shd w:val="clear" w:color="000000" w:fill="FFFFFF"/>
            <w:noWrap w:val="0"/>
            <w:tcMar>
              <w:left w:w="108" w:type="dxa"/>
              <w:right w:w="108" w:type="dxa"/>
            </w:tcMar>
            <w:vAlign w:val="top"/>
          </w:tcPr>
          <w:p w14:paraId="487DCBCB">
            <w:pPr>
              <w:spacing w:after="200" w:line="276" w:lineRule="auto"/>
              <w:rPr>
                <w:rFonts w:hint="default" w:ascii="Times New Roman" w:hAnsi="Times New Roman" w:eastAsia="仿宋" w:cs="Times New Roman"/>
                <w:szCs w:val="21"/>
                <w:lang w:val="en-GB"/>
              </w:rPr>
            </w:pP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9A8A583">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优</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4E6A8F5">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良</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EB35970">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中</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vAlign w:val="top"/>
          </w:tcPr>
          <w:p w14:paraId="0B17646B">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合格</w:t>
            </w:r>
          </w:p>
        </w:tc>
        <w:tc>
          <w:tcPr>
            <w:tcW w:w="82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9F60170">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不合格</w:t>
            </w:r>
          </w:p>
        </w:tc>
      </w:tr>
      <w:tr w14:paraId="41482749">
        <w:tblPrEx>
          <w:tblCellMar>
            <w:top w:w="0" w:type="dxa"/>
            <w:left w:w="10" w:type="dxa"/>
            <w:bottom w:w="0" w:type="dxa"/>
            <w:right w:w="10" w:type="dxa"/>
          </w:tblCellMar>
        </w:tblPrEx>
        <w:trPr>
          <w:trHeight w:val="1" w:hRule="atLeast"/>
        </w:trPr>
        <w:tc>
          <w:tcPr>
            <w:tcW w:w="866" w:type="pct"/>
            <w:vMerge w:val="continue"/>
            <w:tcBorders>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6EB2E35">
            <w:pPr>
              <w:spacing w:after="200" w:line="276" w:lineRule="auto"/>
              <w:rPr>
                <w:rFonts w:hint="default" w:ascii="Times New Roman" w:hAnsi="Times New Roman" w:eastAsia="仿宋" w:cs="Times New Roman"/>
                <w:szCs w:val="21"/>
                <w:lang w:val="en-GB"/>
              </w:rPr>
            </w:pP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AD36717">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90-100分</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31A71A1">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80-89分</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C55230">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70-79分</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vAlign w:val="top"/>
          </w:tcPr>
          <w:p w14:paraId="0708725F">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60-69分</w:t>
            </w:r>
          </w:p>
        </w:tc>
        <w:tc>
          <w:tcPr>
            <w:tcW w:w="82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9905034">
            <w:pPr>
              <w:spacing w:line="300" w:lineRule="auto"/>
              <w:jc w:val="center"/>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0-59分</w:t>
            </w:r>
          </w:p>
        </w:tc>
      </w:tr>
      <w:tr w14:paraId="274199A9">
        <w:tblPrEx>
          <w:tblCellMar>
            <w:top w:w="0" w:type="dxa"/>
            <w:left w:w="10" w:type="dxa"/>
            <w:bottom w:w="0" w:type="dxa"/>
            <w:right w:w="10" w:type="dxa"/>
          </w:tblCellMar>
        </w:tblPrEx>
        <w:trPr>
          <w:trHeight w:val="1" w:hRule="atLeast"/>
        </w:trPr>
        <w:tc>
          <w:tcPr>
            <w:tcW w:w="86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F71B6A5">
            <w:pPr>
              <w:rPr>
                <w:rFonts w:hint="default" w:ascii="Times New Roman" w:hAnsi="Times New Roman" w:eastAsia="仿宋" w:cs="Times New Roman"/>
                <w:szCs w:val="21"/>
              </w:rPr>
            </w:pPr>
            <w:r>
              <w:rPr>
                <w:rFonts w:hint="default" w:ascii="Times New Roman" w:hAnsi="Times New Roman" w:eastAsia="仿宋" w:cs="Times New Roman"/>
                <w:color w:val="0D0D0D"/>
              </w:rPr>
              <w:t xml:space="preserve">1. </w:t>
            </w:r>
            <w:r>
              <w:rPr>
                <w:rFonts w:hint="default" w:ascii="Times New Roman" w:hAnsi="Times New Roman" w:eastAsia="仿宋" w:cs="Times New Roman"/>
                <w:spacing w:val="-3"/>
                <w:szCs w:val="21"/>
              </w:rPr>
              <w:t>掌握石油及其产品的化学组成与物理化学性质、纯烃及石油馏分的性质表征方法、</w:t>
            </w:r>
            <w:r>
              <w:rPr>
                <w:rFonts w:hint="default" w:ascii="Times New Roman" w:hAnsi="Times New Roman" w:eastAsia="仿宋" w:cs="Times New Roman"/>
                <w:color w:val="0D0D0D"/>
              </w:rPr>
              <w:t>石油产品的使用性能与主要质量标准、原油分类及其加工方案、石油蒸馏等基础知识</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FF99AAF">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color w:val="0D0D0D"/>
              </w:rPr>
              <w:t>能够准确</w:t>
            </w:r>
            <w:r>
              <w:rPr>
                <w:rFonts w:hint="default" w:ascii="Times New Roman" w:hAnsi="Times New Roman" w:eastAsia="仿宋" w:cs="Times New Roman"/>
                <w:spacing w:val="-3"/>
                <w:szCs w:val="21"/>
              </w:rPr>
              <w:t>掌握石油及其产品的化学组成与物理化学性质、纯烃及石油馏分的性质表征方法、</w:t>
            </w:r>
            <w:r>
              <w:rPr>
                <w:rFonts w:hint="default" w:ascii="Times New Roman" w:hAnsi="Times New Roman" w:eastAsia="仿宋" w:cs="Times New Roman"/>
                <w:color w:val="0D0D0D"/>
              </w:rPr>
              <w:t>石油产品的使用性能与主要质量标准、原油分类及其加工方案、石油蒸馏等基础知识。</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F21FDC7">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color w:val="0D0D0D"/>
              </w:rPr>
              <w:t>能够较为准确地</w:t>
            </w:r>
            <w:r>
              <w:rPr>
                <w:rFonts w:hint="default" w:ascii="Times New Roman" w:hAnsi="Times New Roman" w:eastAsia="仿宋" w:cs="Times New Roman"/>
                <w:spacing w:val="-3"/>
                <w:szCs w:val="21"/>
              </w:rPr>
              <w:t>掌握石油及其产品的化学组成与物理化学性质、纯烃及石油馏分的性质表征方法、</w:t>
            </w:r>
            <w:r>
              <w:rPr>
                <w:rFonts w:hint="default" w:ascii="Times New Roman" w:hAnsi="Times New Roman" w:eastAsia="仿宋" w:cs="Times New Roman"/>
                <w:color w:val="0D0D0D"/>
              </w:rPr>
              <w:t>石油产品的使用性能与主要质量标准、原油分类及其加工方案、石油蒸馏等基础知识。</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23E1836">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color w:val="0D0D0D"/>
              </w:rPr>
              <w:t>能够</w:t>
            </w:r>
            <w:r>
              <w:rPr>
                <w:rFonts w:hint="default" w:ascii="Times New Roman" w:hAnsi="Times New Roman" w:eastAsia="仿宋" w:cs="Times New Roman"/>
                <w:spacing w:val="-3"/>
                <w:szCs w:val="21"/>
              </w:rPr>
              <w:t>掌握石油及其产品的化学组成与物理化学性质、纯烃及石油馏分的性质表征方法、</w:t>
            </w:r>
            <w:r>
              <w:rPr>
                <w:rFonts w:hint="default" w:ascii="Times New Roman" w:hAnsi="Times New Roman" w:eastAsia="仿宋" w:cs="Times New Roman"/>
                <w:color w:val="0D0D0D"/>
              </w:rPr>
              <w:t>石油产品的使用性能与主要质量标准、原油分类及其加工方案、石油蒸馏等基础知识。</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vAlign w:val="top"/>
          </w:tcPr>
          <w:p w14:paraId="5FCFFE81">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color w:val="0D0D0D"/>
              </w:rPr>
              <w:t>能够基本</w:t>
            </w:r>
            <w:r>
              <w:rPr>
                <w:rFonts w:hint="default" w:ascii="Times New Roman" w:hAnsi="Times New Roman" w:eastAsia="仿宋" w:cs="Times New Roman"/>
                <w:spacing w:val="-3"/>
                <w:szCs w:val="21"/>
              </w:rPr>
              <w:t>掌握石油及其产品的化学组成与物理化学性质、纯烃及石油馏分的性质表征方法、</w:t>
            </w:r>
            <w:r>
              <w:rPr>
                <w:rFonts w:hint="default" w:ascii="Times New Roman" w:hAnsi="Times New Roman" w:eastAsia="仿宋" w:cs="Times New Roman"/>
                <w:color w:val="0D0D0D"/>
              </w:rPr>
              <w:t>石油产品的使用性能与主要质量标准、原油分类及其加工方案、石油蒸馏等基础知识。</w:t>
            </w:r>
          </w:p>
        </w:tc>
        <w:tc>
          <w:tcPr>
            <w:tcW w:w="82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05369A">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color w:val="0D0D0D"/>
              </w:rPr>
              <w:t>不能</w:t>
            </w:r>
            <w:r>
              <w:rPr>
                <w:rFonts w:hint="default" w:ascii="Times New Roman" w:hAnsi="Times New Roman" w:eastAsia="仿宋" w:cs="Times New Roman"/>
                <w:spacing w:val="-3"/>
                <w:szCs w:val="21"/>
              </w:rPr>
              <w:t>掌握石油及其产品的化学组成与物理化学性质、纯烃及石油馏分的性质表征方法、</w:t>
            </w:r>
            <w:r>
              <w:rPr>
                <w:rFonts w:hint="default" w:ascii="Times New Roman" w:hAnsi="Times New Roman" w:eastAsia="仿宋" w:cs="Times New Roman"/>
                <w:color w:val="0D0D0D"/>
              </w:rPr>
              <w:t>石油产品的使用性能与主要质量标准、原油分类及其加工方案、石油蒸馏等基础知识。</w:t>
            </w:r>
          </w:p>
        </w:tc>
      </w:tr>
      <w:tr w14:paraId="19E52AFF">
        <w:tblPrEx>
          <w:tblCellMar>
            <w:top w:w="0" w:type="dxa"/>
            <w:left w:w="10" w:type="dxa"/>
            <w:bottom w:w="0" w:type="dxa"/>
            <w:right w:w="10" w:type="dxa"/>
          </w:tblCellMar>
        </w:tblPrEx>
        <w:trPr>
          <w:trHeight w:val="1" w:hRule="atLeast"/>
        </w:trPr>
        <w:tc>
          <w:tcPr>
            <w:tcW w:w="86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4A68547">
            <w:pPr>
              <w:rPr>
                <w:rFonts w:hint="default" w:ascii="Times New Roman" w:hAnsi="Times New Roman" w:eastAsia="仿宋" w:cs="Times New Roman"/>
                <w:szCs w:val="21"/>
              </w:rPr>
            </w:pPr>
            <w:r>
              <w:rPr>
                <w:rFonts w:hint="default" w:ascii="Times New Roman" w:hAnsi="Times New Roman" w:eastAsia="仿宋" w:cs="Times New Roman"/>
                <w:color w:val="0D0D0D"/>
              </w:rPr>
              <w:t>2. 能够针对石油与油品在加工和使用过程中的问题，提出解决方案并进行综合讨论。</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823754F">
            <w:pPr>
              <w:suppressAutoHyphens/>
              <w:spacing w:line="276" w:lineRule="auto"/>
              <w:rPr>
                <w:rFonts w:hint="default" w:ascii="Times New Roman" w:hAnsi="Times New Roman" w:eastAsia="仿宋" w:cs="Times New Roman"/>
                <w:color w:val="0D0D0D"/>
              </w:rPr>
            </w:pPr>
            <w:r>
              <w:rPr>
                <w:rFonts w:hint="default" w:ascii="Times New Roman" w:hAnsi="Times New Roman" w:eastAsia="仿宋" w:cs="Times New Roman"/>
                <w:color w:val="0D0D0D"/>
              </w:rPr>
              <w:t>能够合理提出石油与油品在加工和使用中问题的解决方案，能够充分进行分析和讨论。</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887FDE5">
            <w:pPr>
              <w:suppressAutoHyphens/>
              <w:spacing w:line="276" w:lineRule="auto"/>
              <w:rPr>
                <w:rFonts w:hint="default" w:ascii="Times New Roman" w:hAnsi="Times New Roman" w:eastAsia="仿宋" w:cs="Times New Roman"/>
                <w:color w:val="0D0D0D"/>
              </w:rPr>
            </w:pPr>
            <w:r>
              <w:rPr>
                <w:rFonts w:hint="default" w:ascii="Times New Roman" w:hAnsi="Times New Roman" w:eastAsia="仿宋" w:cs="Times New Roman"/>
                <w:color w:val="0D0D0D"/>
              </w:rPr>
              <w:t>能够较为合理地提出石油与油品在加工和使用中问题的解决方案，能够较为充分地进行分析和讨论。</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4890863">
            <w:pPr>
              <w:suppressAutoHyphens/>
              <w:spacing w:line="276" w:lineRule="auto"/>
              <w:rPr>
                <w:rFonts w:hint="default" w:ascii="Times New Roman" w:hAnsi="Times New Roman" w:eastAsia="仿宋" w:cs="Times New Roman"/>
                <w:color w:val="0D0D0D"/>
              </w:rPr>
            </w:pPr>
            <w:r>
              <w:rPr>
                <w:rFonts w:hint="default" w:ascii="Times New Roman" w:hAnsi="Times New Roman" w:eastAsia="仿宋" w:cs="Times New Roman"/>
                <w:color w:val="0D0D0D"/>
              </w:rPr>
              <w:t>能够提出石油与油品在加工和使用中问题的解决方案，能够进行综合分析和讨论。</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vAlign w:val="top"/>
          </w:tcPr>
          <w:p w14:paraId="3D68FD1B">
            <w:pPr>
              <w:suppressAutoHyphens/>
              <w:spacing w:line="276" w:lineRule="auto"/>
              <w:rPr>
                <w:rFonts w:hint="default" w:ascii="Times New Roman" w:hAnsi="Times New Roman" w:eastAsia="仿宋" w:cs="Times New Roman"/>
                <w:color w:val="0D0D0D"/>
              </w:rPr>
            </w:pPr>
            <w:r>
              <w:rPr>
                <w:rFonts w:hint="default" w:ascii="Times New Roman" w:hAnsi="Times New Roman" w:eastAsia="仿宋" w:cs="Times New Roman"/>
                <w:color w:val="0D0D0D"/>
              </w:rPr>
              <w:t>能够初步提出石油与油品在加工和使用中问题的解决方案，能够初步地进行综合分析和讨论。</w:t>
            </w:r>
          </w:p>
        </w:tc>
        <w:tc>
          <w:tcPr>
            <w:tcW w:w="82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A0750E8">
            <w:pPr>
              <w:suppressAutoHyphens/>
              <w:spacing w:line="276" w:lineRule="auto"/>
              <w:rPr>
                <w:rFonts w:hint="default" w:ascii="Times New Roman" w:hAnsi="Times New Roman" w:eastAsia="仿宋" w:cs="Times New Roman"/>
                <w:b/>
                <w:color w:val="0D0D0D"/>
              </w:rPr>
            </w:pPr>
            <w:r>
              <w:rPr>
                <w:rFonts w:hint="default" w:ascii="Times New Roman" w:hAnsi="Times New Roman" w:eastAsia="仿宋" w:cs="Times New Roman"/>
                <w:color w:val="0D0D0D"/>
              </w:rPr>
              <w:t>不能提出石油与油品在加工和使用中问题的解决方案，不能进行综合分析和讨论。</w:t>
            </w:r>
          </w:p>
        </w:tc>
      </w:tr>
      <w:tr w14:paraId="041837F1">
        <w:tblPrEx>
          <w:tblCellMar>
            <w:top w:w="0" w:type="dxa"/>
            <w:left w:w="10" w:type="dxa"/>
            <w:bottom w:w="0" w:type="dxa"/>
            <w:right w:w="10" w:type="dxa"/>
          </w:tblCellMar>
        </w:tblPrEx>
        <w:trPr>
          <w:trHeight w:val="1" w:hRule="atLeast"/>
        </w:trPr>
        <w:tc>
          <w:tcPr>
            <w:tcW w:w="86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58798D">
            <w:pPr>
              <w:rPr>
                <w:rFonts w:hint="default" w:ascii="Times New Roman" w:hAnsi="Times New Roman" w:eastAsia="仿宋" w:cs="Times New Roman"/>
                <w:szCs w:val="21"/>
              </w:rPr>
            </w:pPr>
            <w:r>
              <w:rPr>
                <w:rFonts w:hint="default" w:ascii="Times New Roman" w:hAnsi="Times New Roman" w:eastAsia="仿宋" w:cs="Times New Roman"/>
                <w:szCs w:val="21"/>
              </w:rPr>
              <w:t>3. 理解对于复杂混合物石油体系的表征方法的起源与发展，结合现有的性质表征方法，分析现有表征方法的优缺点，判断分析其局限性和未来发展</w:t>
            </w:r>
            <w:r>
              <w:rPr>
                <w:rFonts w:hint="eastAsia" w:ascii="Times New Roman" w:hAnsi="Times New Roman" w:eastAsia="仿宋" w:cs="Times New Roman"/>
                <w:szCs w:val="21"/>
                <w:lang w:eastAsia="zh-CN"/>
              </w:rPr>
              <w:t>；</w:t>
            </w:r>
            <w:r>
              <w:rPr>
                <w:rFonts w:hint="default" w:ascii="Times New Roman" w:hAnsi="Times New Roman" w:eastAsia="仿宋" w:cs="Times New Roman"/>
                <w:szCs w:val="21"/>
              </w:rPr>
              <w:t>能够根据石油与油品的物性和油品的质量标准，表达油品的使用性能，判断和分析油品使用过程中存在的问题。</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70FCE8C">
            <w:pPr>
              <w:suppressAutoHyphens/>
              <w:spacing w:line="276" w:lineRule="auto"/>
              <w:rPr>
                <w:rFonts w:hint="default" w:ascii="Times New Roman" w:hAnsi="Times New Roman" w:eastAsia="仿宋" w:cs="Times New Roman"/>
                <w:color w:val="0D0D0D"/>
              </w:rPr>
            </w:pPr>
            <w:r>
              <w:rPr>
                <w:rFonts w:hint="eastAsia" w:ascii="Times New Roman" w:hAnsi="Times New Roman" w:eastAsia="仿宋" w:cs="Times New Roman"/>
                <w:szCs w:val="21"/>
                <w:lang w:val="en-US" w:eastAsia="zh-CN"/>
              </w:rPr>
              <w:t>准确</w:t>
            </w:r>
            <w:r>
              <w:rPr>
                <w:rFonts w:hint="default" w:ascii="Times New Roman" w:hAnsi="Times New Roman" w:eastAsia="仿宋" w:cs="Times New Roman"/>
                <w:szCs w:val="21"/>
              </w:rPr>
              <w:t>理解对于复杂混合物石油体系的表征方法的起源与发展，分析现有表征方法的优缺点，判断分析其局限性和未来发展</w:t>
            </w:r>
            <w:r>
              <w:rPr>
                <w:rFonts w:hint="eastAsia" w:ascii="Times New Roman" w:hAnsi="Times New Roman" w:eastAsia="仿宋" w:cs="Times New Roman"/>
                <w:szCs w:val="21"/>
                <w:lang w:eastAsia="zh-CN"/>
              </w:rPr>
              <w:t>；</w:t>
            </w:r>
            <w:r>
              <w:rPr>
                <w:rFonts w:hint="default" w:ascii="Times New Roman" w:hAnsi="Times New Roman" w:eastAsia="仿宋" w:cs="Times New Roman"/>
                <w:szCs w:val="21"/>
              </w:rPr>
              <w:t>能够准确表达油品的使用性能，准确判断和分析油品使用过程中存在的问题。</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387B169">
            <w:pPr>
              <w:suppressAutoHyphens/>
              <w:spacing w:line="276" w:lineRule="auto"/>
              <w:rPr>
                <w:rFonts w:hint="default" w:ascii="Times New Roman" w:hAnsi="Times New Roman" w:eastAsia="仿宋" w:cs="Times New Roman"/>
                <w:color w:val="0D0D0D"/>
              </w:rPr>
            </w:pPr>
            <w:r>
              <w:rPr>
                <w:rFonts w:hint="eastAsia" w:ascii="Times New Roman" w:hAnsi="Times New Roman" w:eastAsia="仿宋" w:cs="Times New Roman"/>
                <w:szCs w:val="21"/>
                <w:lang w:val="en-US" w:eastAsia="zh-CN"/>
              </w:rPr>
              <w:t>较为准确</w:t>
            </w:r>
            <w:r>
              <w:rPr>
                <w:rFonts w:hint="default" w:ascii="Times New Roman" w:hAnsi="Times New Roman" w:eastAsia="仿宋" w:cs="Times New Roman"/>
                <w:szCs w:val="21"/>
              </w:rPr>
              <w:t>理解对于复杂混合物石油体系的表征方法的起源与发展，分析现有表征方法的优缺点，判断分析其局限性和未来发展</w:t>
            </w:r>
            <w:r>
              <w:rPr>
                <w:rFonts w:hint="eastAsia" w:ascii="Times New Roman" w:hAnsi="Times New Roman" w:eastAsia="仿宋" w:cs="Times New Roman"/>
                <w:szCs w:val="21"/>
                <w:lang w:eastAsia="zh-CN"/>
              </w:rPr>
              <w:t>；</w:t>
            </w:r>
            <w:r>
              <w:rPr>
                <w:rFonts w:hint="default" w:ascii="Times New Roman" w:hAnsi="Times New Roman" w:eastAsia="仿宋" w:cs="Times New Roman"/>
                <w:szCs w:val="21"/>
              </w:rPr>
              <w:t>能够较为准确地表达油品的使用性能，较为准确地判断和分析油品使用过程中存在的问题。</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2E2055D">
            <w:pPr>
              <w:suppressAutoHyphens/>
              <w:spacing w:line="276" w:lineRule="auto"/>
              <w:rPr>
                <w:rFonts w:hint="default" w:ascii="Times New Roman" w:hAnsi="Times New Roman" w:eastAsia="仿宋" w:cs="Times New Roman"/>
                <w:color w:val="0D0D0D"/>
              </w:rPr>
            </w:pPr>
            <w:r>
              <w:rPr>
                <w:rFonts w:hint="eastAsia" w:ascii="Times New Roman" w:hAnsi="Times New Roman" w:eastAsia="仿宋" w:cs="Times New Roman"/>
                <w:szCs w:val="21"/>
                <w:lang w:val="en-US" w:eastAsia="zh-CN"/>
              </w:rPr>
              <w:t>能够</w:t>
            </w:r>
            <w:r>
              <w:rPr>
                <w:rFonts w:hint="default" w:ascii="Times New Roman" w:hAnsi="Times New Roman" w:eastAsia="仿宋" w:cs="Times New Roman"/>
                <w:szCs w:val="21"/>
              </w:rPr>
              <w:t>理解对于复杂混合物石油体系的表征方法的起源与发展，分析现有表征方法的优缺点，判断分析其局限性和未来发展</w:t>
            </w:r>
            <w:r>
              <w:rPr>
                <w:rFonts w:hint="eastAsia" w:ascii="Times New Roman" w:hAnsi="Times New Roman" w:eastAsia="仿宋" w:cs="Times New Roman"/>
                <w:szCs w:val="21"/>
                <w:lang w:eastAsia="zh-CN"/>
              </w:rPr>
              <w:t>；</w:t>
            </w:r>
            <w:r>
              <w:rPr>
                <w:rFonts w:hint="default" w:ascii="Times New Roman" w:hAnsi="Times New Roman" w:eastAsia="仿宋" w:cs="Times New Roman"/>
                <w:szCs w:val="21"/>
              </w:rPr>
              <w:t>能够表达油品的使用性能，判断和分析油品使用过程中存在的问题。</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vAlign w:val="top"/>
          </w:tcPr>
          <w:p w14:paraId="48BC5592">
            <w:pPr>
              <w:suppressAutoHyphens/>
              <w:spacing w:line="276" w:lineRule="auto"/>
              <w:rPr>
                <w:rFonts w:hint="default" w:ascii="Times New Roman" w:hAnsi="Times New Roman" w:eastAsia="仿宋" w:cs="Times New Roman"/>
                <w:color w:val="0D0D0D"/>
              </w:rPr>
            </w:pPr>
            <w:r>
              <w:rPr>
                <w:rFonts w:hint="eastAsia" w:ascii="Times New Roman" w:hAnsi="Times New Roman" w:eastAsia="仿宋" w:cs="Times New Roman"/>
                <w:szCs w:val="21"/>
                <w:lang w:val="en-US" w:eastAsia="zh-CN"/>
              </w:rPr>
              <w:t>基本</w:t>
            </w:r>
            <w:r>
              <w:rPr>
                <w:rFonts w:hint="default" w:ascii="Times New Roman" w:hAnsi="Times New Roman" w:eastAsia="仿宋" w:cs="Times New Roman"/>
                <w:szCs w:val="21"/>
              </w:rPr>
              <w:t>理解对于复杂混合物石油体系的表征方法的起源与发展，分析现有表征方法的优缺点，</w:t>
            </w:r>
            <w:r>
              <w:rPr>
                <w:rFonts w:hint="eastAsia" w:ascii="Times New Roman" w:hAnsi="Times New Roman" w:eastAsia="仿宋" w:cs="Times New Roman"/>
                <w:szCs w:val="21"/>
                <w:lang w:val="en-US" w:eastAsia="zh-CN"/>
              </w:rPr>
              <w:t>基本</w:t>
            </w:r>
            <w:r>
              <w:rPr>
                <w:rFonts w:hint="default" w:ascii="Times New Roman" w:hAnsi="Times New Roman" w:eastAsia="仿宋" w:cs="Times New Roman"/>
                <w:szCs w:val="21"/>
              </w:rPr>
              <w:t>判断分析其局限性和未来发展</w:t>
            </w:r>
            <w:r>
              <w:rPr>
                <w:rFonts w:hint="eastAsia" w:ascii="Times New Roman" w:hAnsi="Times New Roman" w:eastAsia="仿宋" w:cs="Times New Roman"/>
                <w:szCs w:val="21"/>
                <w:lang w:eastAsia="zh-CN"/>
              </w:rPr>
              <w:t>；</w:t>
            </w:r>
            <w:r>
              <w:rPr>
                <w:rFonts w:hint="default" w:ascii="Times New Roman" w:hAnsi="Times New Roman" w:eastAsia="仿宋" w:cs="Times New Roman"/>
                <w:szCs w:val="21"/>
              </w:rPr>
              <w:t>能够基本表达油品的使用性能，基本判断和分析油品使用过程中存在的问题。</w:t>
            </w:r>
          </w:p>
        </w:tc>
        <w:tc>
          <w:tcPr>
            <w:tcW w:w="82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F9EB430">
            <w:pPr>
              <w:suppressAutoHyphens/>
              <w:spacing w:line="276" w:lineRule="auto"/>
              <w:rPr>
                <w:rFonts w:hint="default" w:ascii="Times New Roman" w:hAnsi="Times New Roman" w:eastAsia="仿宋" w:cs="Times New Roman"/>
                <w:b/>
                <w:color w:val="0D0D0D"/>
              </w:rPr>
            </w:pPr>
            <w:r>
              <w:rPr>
                <w:rFonts w:hint="eastAsia" w:ascii="Times New Roman" w:hAnsi="Times New Roman" w:eastAsia="仿宋" w:cs="Times New Roman"/>
                <w:szCs w:val="21"/>
                <w:lang w:val="en-US" w:eastAsia="zh-CN"/>
              </w:rPr>
              <w:t>不</w:t>
            </w:r>
            <w:r>
              <w:rPr>
                <w:rFonts w:hint="default" w:ascii="Times New Roman" w:hAnsi="Times New Roman" w:eastAsia="仿宋" w:cs="Times New Roman"/>
                <w:szCs w:val="21"/>
              </w:rPr>
              <w:t>理解对于复杂混合物石油体系的表征方法的起源与发展，</w:t>
            </w:r>
            <w:r>
              <w:rPr>
                <w:rFonts w:hint="eastAsia" w:ascii="Times New Roman" w:hAnsi="Times New Roman" w:eastAsia="仿宋" w:cs="Times New Roman"/>
                <w:szCs w:val="21"/>
                <w:lang w:val="en-US" w:eastAsia="zh-CN"/>
              </w:rPr>
              <w:t>不能</w:t>
            </w:r>
            <w:r>
              <w:rPr>
                <w:rFonts w:hint="default" w:ascii="Times New Roman" w:hAnsi="Times New Roman" w:eastAsia="仿宋" w:cs="Times New Roman"/>
                <w:szCs w:val="21"/>
              </w:rPr>
              <w:t>分析现有表征方法的优缺点，</w:t>
            </w:r>
            <w:r>
              <w:rPr>
                <w:rFonts w:hint="eastAsia" w:ascii="Times New Roman" w:hAnsi="Times New Roman" w:eastAsia="仿宋" w:cs="Times New Roman"/>
                <w:szCs w:val="21"/>
                <w:lang w:val="en-US" w:eastAsia="zh-CN"/>
              </w:rPr>
              <w:t>不能</w:t>
            </w:r>
            <w:r>
              <w:rPr>
                <w:rFonts w:hint="default" w:ascii="Times New Roman" w:hAnsi="Times New Roman" w:eastAsia="仿宋" w:cs="Times New Roman"/>
                <w:szCs w:val="21"/>
              </w:rPr>
              <w:t>判断分析其局限性和未来发展</w:t>
            </w:r>
            <w:r>
              <w:rPr>
                <w:rFonts w:hint="eastAsia" w:ascii="Times New Roman" w:hAnsi="Times New Roman" w:eastAsia="仿宋" w:cs="Times New Roman"/>
                <w:szCs w:val="21"/>
                <w:lang w:eastAsia="zh-CN"/>
              </w:rPr>
              <w:t>；</w:t>
            </w:r>
            <w:r>
              <w:rPr>
                <w:rFonts w:hint="default" w:ascii="Times New Roman" w:hAnsi="Times New Roman" w:eastAsia="仿宋" w:cs="Times New Roman"/>
                <w:szCs w:val="21"/>
              </w:rPr>
              <w:t>不能够表达油品的使用性能，不能判断和分析油品使用过程中存在的问题。</w:t>
            </w:r>
          </w:p>
        </w:tc>
      </w:tr>
      <w:tr w14:paraId="5D852BE2">
        <w:tblPrEx>
          <w:tblCellMar>
            <w:top w:w="0" w:type="dxa"/>
            <w:left w:w="10" w:type="dxa"/>
            <w:bottom w:w="0" w:type="dxa"/>
            <w:right w:w="10" w:type="dxa"/>
          </w:tblCellMar>
        </w:tblPrEx>
        <w:trPr>
          <w:trHeight w:val="1" w:hRule="atLeast"/>
        </w:trPr>
        <w:tc>
          <w:tcPr>
            <w:tcW w:w="86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B2CDAAC">
            <w:pPr>
              <w:rPr>
                <w:rFonts w:hint="default" w:ascii="Times New Roman" w:hAnsi="Times New Roman" w:eastAsia="仿宋" w:cs="Times New Roman"/>
                <w:szCs w:val="21"/>
              </w:rPr>
            </w:pPr>
            <w:r>
              <w:rPr>
                <w:rFonts w:hint="default" w:ascii="Times New Roman" w:hAnsi="Times New Roman" w:eastAsia="仿宋" w:cs="Times New Roman"/>
                <w:szCs w:val="21"/>
              </w:rPr>
              <w:t>4. 能够根据原油特性、产品需求和各加工过程的特点，设计原油加工方案，并分析加工方案实施过程中的影响因素。</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3505FA4E">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szCs w:val="21"/>
              </w:rPr>
              <w:t>能够针对原油特性和产品需求提出合理的加工路线，熟练设计原油加工方案，合理分析影响因素。</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1706994">
            <w:pPr>
              <w:rPr>
                <w:rFonts w:hint="default" w:ascii="Times New Roman" w:hAnsi="Times New Roman" w:eastAsia="仿宋" w:cs="Times New Roman"/>
              </w:rPr>
            </w:pPr>
            <w:r>
              <w:rPr>
                <w:rFonts w:hint="default" w:ascii="Times New Roman" w:hAnsi="Times New Roman" w:eastAsia="仿宋" w:cs="Times New Roman"/>
                <w:szCs w:val="21"/>
              </w:rPr>
              <w:t>能够针对原油特性和产品需求提出较为合理的加工路线，较为熟练地设计原油加工方案，较为合理地分析影响因素。</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6DC4474">
            <w:pPr>
              <w:rPr>
                <w:rFonts w:hint="default" w:ascii="Times New Roman" w:hAnsi="Times New Roman" w:eastAsia="仿宋" w:cs="Times New Roman"/>
              </w:rPr>
            </w:pPr>
            <w:r>
              <w:rPr>
                <w:rFonts w:hint="default" w:ascii="Times New Roman" w:hAnsi="Times New Roman" w:eastAsia="仿宋" w:cs="Times New Roman"/>
                <w:szCs w:val="21"/>
              </w:rPr>
              <w:t>能够针对原油特性和产品需求提出加工路线，设计原油加工方案，分析影响因素。</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vAlign w:val="top"/>
          </w:tcPr>
          <w:p w14:paraId="4ED85874">
            <w:pPr>
              <w:rPr>
                <w:rFonts w:hint="default" w:ascii="Times New Roman" w:hAnsi="Times New Roman" w:eastAsia="仿宋" w:cs="Times New Roman"/>
              </w:rPr>
            </w:pPr>
            <w:r>
              <w:rPr>
                <w:rFonts w:hint="default" w:ascii="Times New Roman" w:hAnsi="Times New Roman" w:eastAsia="仿宋" w:cs="Times New Roman"/>
                <w:szCs w:val="21"/>
              </w:rPr>
              <w:t>能够针对原油特性和产品需求提出初步的加工路线，初步设计原油加工方案，初步分析影响因素。</w:t>
            </w:r>
          </w:p>
        </w:tc>
        <w:tc>
          <w:tcPr>
            <w:tcW w:w="82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213A2BC">
            <w:pPr>
              <w:rPr>
                <w:rFonts w:hint="default" w:ascii="Times New Roman" w:hAnsi="Times New Roman" w:eastAsia="仿宋" w:cs="Times New Roman"/>
              </w:rPr>
            </w:pPr>
            <w:r>
              <w:rPr>
                <w:rFonts w:hint="default" w:ascii="Times New Roman" w:hAnsi="Times New Roman" w:eastAsia="仿宋" w:cs="Times New Roman"/>
                <w:szCs w:val="21"/>
              </w:rPr>
              <w:t>不能针对原油特性和产品需求提出加工路线，不能设计原油加工方案，不能分析影响因素。</w:t>
            </w:r>
          </w:p>
        </w:tc>
      </w:tr>
      <w:tr w14:paraId="71DFE755">
        <w:tblPrEx>
          <w:tblCellMar>
            <w:top w:w="0" w:type="dxa"/>
            <w:left w:w="10" w:type="dxa"/>
            <w:bottom w:w="0" w:type="dxa"/>
            <w:right w:w="10" w:type="dxa"/>
          </w:tblCellMar>
        </w:tblPrEx>
        <w:trPr>
          <w:trHeight w:val="1" w:hRule="atLeast"/>
        </w:trPr>
        <w:tc>
          <w:tcPr>
            <w:tcW w:w="86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C2532FC">
            <w:pPr>
              <w:rPr>
                <w:rFonts w:hint="default" w:ascii="Times New Roman" w:hAnsi="Times New Roman" w:eastAsia="仿宋" w:cs="Times New Roman"/>
                <w:szCs w:val="21"/>
              </w:rPr>
            </w:pPr>
            <w:r>
              <w:rPr>
                <w:rFonts w:hint="default" w:ascii="Times New Roman" w:hAnsi="Times New Roman" w:eastAsia="仿宋" w:cs="Times New Roman"/>
                <w:spacing w:val="-3"/>
                <w:szCs w:val="21"/>
              </w:rPr>
              <w:t>5. 能够针对石油蒸馏过程的原理和方法，依据产品分离的具体要求，分析复杂工程问题的解决方案，提出原油预处理和蒸馏工艺方案，并分析多种影响因素。</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DC0B51E">
            <w:pPr>
              <w:suppressAutoHyphens/>
              <w:spacing w:line="276" w:lineRule="auto"/>
              <w:rPr>
                <w:rFonts w:hint="default" w:ascii="Times New Roman" w:hAnsi="Times New Roman" w:eastAsia="仿宋" w:cs="Times New Roman"/>
                <w:color w:val="0D0D0D"/>
              </w:rPr>
            </w:pPr>
            <w:r>
              <w:rPr>
                <w:rFonts w:hint="default" w:ascii="Times New Roman" w:hAnsi="Times New Roman" w:eastAsia="仿宋" w:cs="Times New Roman"/>
                <w:szCs w:val="21"/>
              </w:rPr>
              <w:t>能够合理提出原油预处理和蒸馏工艺方案，合理分析蒸馏方案和实施过程中的多种影响因素。</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59C67DA">
            <w:pPr>
              <w:suppressAutoHyphens/>
              <w:spacing w:line="276" w:lineRule="auto"/>
              <w:rPr>
                <w:rFonts w:hint="default" w:ascii="Times New Roman" w:hAnsi="Times New Roman" w:eastAsia="仿宋" w:cs="Times New Roman"/>
                <w:color w:val="0D0D0D"/>
              </w:rPr>
            </w:pPr>
            <w:r>
              <w:rPr>
                <w:rFonts w:hint="default" w:ascii="Times New Roman" w:hAnsi="Times New Roman" w:eastAsia="仿宋" w:cs="Times New Roman"/>
                <w:szCs w:val="21"/>
              </w:rPr>
              <w:t>能够较为合理地提出原油预处理和蒸馏工艺方案，较为合理地分析蒸馏方案和实施过程中的多种影响因素。</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9317807">
            <w:pPr>
              <w:suppressAutoHyphens/>
              <w:spacing w:line="276" w:lineRule="auto"/>
              <w:rPr>
                <w:rFonts w:hint="default" w:ascii="Times New Roman" w:hAnsi="Times New Roman" w:eastAsia="仿宋" w:cs="Times New Roman"/>
                <w:color w:val="0D0D0D"/>
              </w:rPr>
            </w:pPr>
            <w:r>
              <w:rPr>
                <w:rFonts w:hint="default" w:ascii="Times New Roman" w:hAnsi="Times New Roman" w:eastAsia="仿宋" w:cs="Times New Roman"/>
                <w:szCs w:val="21"/>
              </w:rPr>
              <w:t>能够提出原油预处理和蒸馏工艺方案，分析蒸馏方案和实施过程中的多种影响因素。</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vAlign w:val="top"/>
          </w:tcPr>
          <w:p w14:paraId="6391BFAF">
            <w:pPr>
              <w:suppressAutoHyphens/>
              <w:spacing w:line="276" w:lineRule="auto"/>
              <w:rPr>
                <w:rFonts w:hint="default" w:ascii="Times New Roman" w:hAnsi="Times New Roman" w:eastAsia="仿宋" w:cs="Times New Roman"/>
                <w:color w:val="0D0D0D"/>
              </w:rPr>
            </w:pPr>
            <w:r>
              <w:rPr>
                <w:rFonts w:hint="default" w:ascii="Times New Roman" w:hAnsi="Times New Roman" w:eastAsia="仿宋" w:cs="Times New Roman"/>
                <w:szCs w:val="21"/>
              </w:rPr>
              <w:t>能够初步提出原油预处理和蒸馏工艺方案，初步分析蒸馏方案和实施过程中的多种影响因素。</w:t>
            </w:r>
          </w:p>
        </w:tc>
        <w:tc>
          <w:tcPr>
            <w:tcW w:w="82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BBF4F9D">
            <w:pPr>
              <w:suppressAutoHyphens/>
              <w:spacing w:line="276" w:lineRule="auto"/>
              <w:rPr>
                <w:rFonts w:hint="default" w:ascii="Times New Roman" w:hAnsi="Times New Roman" w:eastAsia="仿宋" w:cs="Times New Roman"/>
                <w:b/>
                <w:color w:val="0D0D0D"/>
              </w:rPr>
            </w:pPr>
            <w:r>
              <w:rPr>
                <w:rFonts w:hint="default" w:ascii="Times New Roman" w:hAnsi="Times New Roman" w:eastAsia="仿宋" w:cs="Times New Roman"/>
                <w:szCs w:val="21"/>
              </w:rPr>
              <w:t>不能提出原油预处理和蒸馏工艺方案，不能分析蒸馏方案和实施过程中的多种影响因素。</w:t>
            </w:r>
          </w:p>
        </w:tc>
      </w:tr>
      <w:tr w14:paraId="16464F65">
        <w:tblPrEx>
          <w:tblCellMar>
            <w:top w:w="0" w:type="dxa"/>
            <w:left w:w="10" w:type="dxa"/>
            <w:bottom w:w="0" w:type="dxa"/>
            <w:right w:w="10" w:type="dxa"/>
          </w:tblCellMar>
        </w:tblPrEx>
        <w:trPr>
          <w:trHeight w:val="1" w:hRule="atLeast"/>
        </w:trPr>
        <w:tc>
          <w:tcPr>
            <w:tcW w:w="86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1A3E7CA">
            <w:pPr>
              <w:rPr>
                <w:rFonts w:hint="default" w:ascii="Times New Roman" w:hAnsi="Times New Roman" w:eastAsia="仿宋" w:cs="Times New Roman"/>
                <w:szCs w:val="21"/>
              </w:rPr>
            </w:pPr>
            <w:r>
              <w:rPr>
                <w:rFonts w:hint="default" w:ascii="Times New Roman" w:hAnsi="Times New Roman" w:eastAsia="仿宋" w:cs="Times New Roman"/>
                <w:szCs w:val="21"/>
              </w:rPr>
              <w:t>6. 能够了解石油产品质量标准和石油加工过程的国际发展趋势和研究热点，针对特定专题开展文献调研和汇报研讨。</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02D69E54">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szCs w:val="21"/>
              </w:rPr>
              <w:t>能够准确了解石油产品质量标准和石油加工过程的国际发展趋势和研究热点，针对特定专题熟练开展文献调研和汇报研讨。</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740FE77">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szCs w:val="21"/>
              </w:rPr>
              <w:t>能够较为准确地了解石油产品质量标准和石油加工过程的国际发展趋势和研究热点，针对特定专题较为熟练地开展文献调研和汇报研讨。</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2B1FB2FB">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szCs w:val="21"/>
              </w:rPr>
              <w:t>能够了解石油产品质量标准和石油加工过程的国际发展趋势和研究热点，针对特定专题开展文献调研和汇报研讨。</w:t>
            </w:r>
          </w:p>
        </w:tc>
        <w:tc>
          <w:tcPr>
            <w:tcW w:w="827" w:type="pct"/>
            <w:tcBorders>
              <w:top w:val="single" w:color="000000" w:sz="4" w:space="0"/>
              <w:left w:val="single" w:color="000000" w:sz="4" w:space="0"/>
              <w:bottom w:val="single" w:color="000000" w:sz="4" w:space="0"/>
              <w:right w:val="single" w:color="000000" w:sz="4" w:space="0"/>
            </w:tcBorders>
            <w:shd w:val="clear" w:color="000000" w:fill="FFFFFF"/>
            <w:noWrap w:val="0"/>
            <w:vAlign w:val="top"/>
          </w:tcPr>
          <w:p w14:paraId="18537D7D">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szCs w:val="21"/>
              </w:rPr>
              <w:t>能够基本了解石油产品质量标准和石油加工过程的国际发展趋势和研究热点，针对特定专题初步开展文献调研和汇报研讨。</w:t>
            </w:r>
          </w:p>
        </w:tc>
        <w:tc>
          <w:tcPr>
            <w:tcW w:w="826" w:type="pct"/>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775CE00">
            <w:pPr>
              <w:suppressAutoHyphens/>
              <w:spacing w:line="276" w:lineRule="auto"/>
              <w:rPr>
                <w:rFonts w:hint="default" w:ascii="Times New Roman" w:hAnsi="Times New Roman" w:eastAsia="仿宋" w:cs="Times New Roman"/>
                <w:szCs w:val="21"/>
              </w:rPr>
            </w:pPr>
            <w:r>
              <w:rPr>
                <w:rFonts w:hint="default" w:ascii="Times New Roman" w:hAnsi="Times New Roman" w:eastAsia="仿宋" w:cs="Times New Roman"/>
                <w:szCs w:val="21"/>
              </w:rPr>
              <w:t>不能了解石油产品质量标准和石油加工过程的国际发展趋势和研究热点，不能针对特定专题开展文献调研和汇报研讨。</w:t>
            </w:r>
          </w:p>
        </w:tc>
      </w:tr>
    </w:tbl>
    <w:p w14:paraId="61B078DA">
      <w:pPr>
        <w:snapToGrid w:val="0"/>
        <w:spacing w:line="360" w:lineRule="auto"/>
        <w:rPr>
          <w:rFonts w:hint="eastAsia" w:ascii="仿宋" w:hAnsi="仿宋" w:eastAsia="仿宋"/>
          <w:bCs/>
          <w:color w:val="auto"/>
          <w:sz w:val="24"/>
        </w:rPr>
      </w:pPr>
    </w:p>
    <w:p w14:paraId="3C614545">
      <w:pPr>
        <w:snapToGrid w:val="0"/>
        <w:spacing w:line="360" w:lineRule="auto"/>
        <w:ind w:firstLine="482" w:firstLineChars="200"/>
        <w:rPr>
          <w:rFonts w:ascii="仿宋" w:hAnsi="仿宋" w:eastAsia="仿宋"/>
          <w:b/>
          <w:color w:val="auto"/>
          <w:sz w:val="24"/>
        </w:rPr>
      </w:pPr>
      <w:r>
        <w:rPr>
          <w:rFonts w:hint="eastAsia" w:ascii="仿宋" w:hAnsi="仿宋" w:eastAsia="仿宋"/>
          <w:b/>
          <w:color w:val="auto"/>
          <w:sz w:val="24"/>
        </w:rPr>
        <w:t>（四）课程考核环节与课程目标的对应关系：</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621"/>
        <w:gridCol w:w="871"/>
        <w:gridCol w:w="869"/>
        <w:gridCol w:w="912"/>
        <w:gridCol w:w="908"/>
        <w:gridCol w:w="978"/>
        <w:gridCol w:w="939"/>
        <w:gridCol w:w="896"/>
      </w:tblGrid>
      <w:tr w14:paraId="163B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gridSpan w:val="2"/>
            <w:vMerge w:val="restart"/>
            <w:shd w:val="clear" w:color="auto" w:fill="auto"/>
            <w:vAlign w:val="center"/>
          </w:tcPr>
          <w:p w14:paraId="7AAB33AA">
            <w:pPr>
              <w:snapToGrid w:val="0"/>
              <w:spacing w:line="360" w:lineRule="auto"/>
              <w:jc w:val="center"/>
              <w:rPr>
                <w:rFonts w:ascii="仿宋" w:hAnsi="仿宋" w:eastAsia="仿宋"/>
                <w:b/>
                <w:color w:val="auto"/>
                <w:sz w:val="24"/>
              </w:rPr>
            </w:pPr>
            <w:r>
              <w:rPr>
                <w:rFonts w:hint="eastAsia" w:ascii="仿宋" w:hAnsi="仿宋" w:eastAsia="仿宋"/>
                <w:b/>
                <w:color w:val="auto"/>
                <w:sz w:val="24"/>
              </w:rPr>
              <w:t>考核环节</w:t>
            </w:r>
          </w:p>
        </w:tc>
        <w:tc>
          <w:tcPr>
            <w:tcW w:w="511" w:type="pct"/>
            <w:vMerge w:val="restart"/>
            <w:vAlign w:val="center"/>
          </w:tcPr>
          <w:p w14:paraId="14EA0B87">
            <w:pPr>
              <w:snapToGrid w:val="0"/>
              <w:spacing w:line="360" w:lineRule="auto"/>
              <w:jc w:val="center"/>
              <w:rPr>
                <w:rFonts w:ascii="仿宋" w:hAnsi="仿宋" w:eastAsia="仿宋"/>
                <w:b/>
                <w:color w:val="auto"/>
                <w:sz w:val="24"/>
              </w:rPr>
            </w:pPr>
            <w:r>
              <w:rPr>
                <w:rFonts w:hint="eastAsia" w:ascii="仿宋" w:hAnsi="仿宋" w:eastAsia="仿宋"/>
                <w:b/>
                <w:color w:val="auto"/>
                <w:sz w:val="24"/>
              </w:rPr>
              <w:t>分值</w:t>
            </w:r>
          </w:p>
        </w:tc>
        <w:tc>
          <w:tcPr>
            <w:tcW w:w="3229" w:type="pct"/>
            <w:gridSpan w:val="6"/>
            <w:shd w:val="clear" w:color="auto" w:fill="auto"/>
            <w:vAlign w:val="center"/>
          </w:tcPr>
          <w:p w14:paraId="4D96243A">
            <w:pPr>
              <w:snapToGrid w:val="0"/>
              <w:spacing w:line="360" w:lineRule="auto"/>
              <w:jc w:val="center"/>
              <w:rPr>
                <w:rFonts w:hint="eastAsia" w:ascii="仿宋" w:hAnsi="仿宋" w:eastAsia="仿宋"/>
                <w:b/>
                <w:color w:val="auto"/>
                <w:sz w:val="24"/>
              </w:rPr>
            </w:pPr>
            <w:r>
              <w:rPr>
                <w:rFonts w:hint="eastAsia" w:ascii="仿宋" w:hAnsi="仿宋" w:eastAsia="仿宋"/>
                <w:b/>
                <w:color w:val="auto"/>
                <w:sz w:val="24"/>
              </w:rPr>
              <w:t>各考核项目对应课程目标的分值</w:t>
            </w:r>
          </w:p>
        </w:tc>
      </w:tr>
      <w:tr w14:paraId="550D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9" w:type="pct"/>
            <w:gridSpan w:val="2"/>
            <w:vMerge w:val="continue"/>
            <w:shd w:val="clear" w:color="auto" w:fill="auto"/>
            <w:vAlign w:val="center"/>
          </w:tcPr>
          <w:p w14:paraId="33499D25">
            <w:pPr>
              <w:snapToGrid w:val="0"/>
              <w:spacing w:line="360" w:lineRule="auto"/>
              <w:jc w:val="center"/>
              <w:rPr>
                <w:rFonts w:ascii="仿宋" w:hAnsi="仿宋" w:eastAsia="仿宋"/>
                <w:b/>
                <w:color w:val="auto"/>
                <w:sz w:val="24"/>
              </w:rPr>
            </w:pPr>
          </w:p>
        </w:tc>
        <w:tc>
          <w:tcPr>
            <w:tcW w:w="511" w:type="pct"/>
            <w:vMerge w:val="continue"/>
          </w:tcPr>
          <w:p w14:paraId="2A1E704E">
            <w:pPr>
              <w:snapToGrid w:val="0"/>
              <w:spacing w:line="360" w:lineRule="auto"/>
              <w:jc w:val="center"/>
              <w:rPr>
                <w:rFonts w:ascii="仿宋" w:hAnsi="仿宋" w:eastAsia="仿宋"/>
                <w:b/>
                <w:color w:val="auto"/>
                <w:sz w:val="24"/>
              </w:rPr>
            </w:pPr>
          </w:p>
        </w:tc>
        <w:tc>
          <w:tcPr>
            <w:tcW w:w="510" w:type="pct"/>
            <w:shd w:val="clear" w:color="auto" w:fill="auto"/>
            <w:vAlign w:val="center"/>
          </w:tcPr>
          <w:p w14:paraId="6CC72E55">
            <w:pPr>
              <w:snapToGrid w:val="0"/>
              <w:spacing w:line="360" w:lineRule="auto"/>
              <w:jc w:val="center"/>
              <w:rPr>
                <w:rFonts w:ascii="仿宋" w:hAnsi="仿宋" w:eastAsia="仿宋"/>
                <w:b/>
                <w:color w:val="auto"/>
                <w:sz w:val="24"/>
              </w:rPr>
            </w:pPr>
            <w:r>
              <w:rPr>
                <w:rFonts w:hint="eastAsia" w:ascii="仿宋" w:hAnsi="仿宋" w:eastAsia="仿宋"/>
                <w:b/>
                <w:color w:val="auto"/>
                <w:sz w:val="24"/>
              </w:rPr>
              <w:t>课程目标1</w:t>
            </w:r>
          </w:p>
        </w:tc>
        <w:tc>
          <w:tcPr>
            <w:tcW w:w="535" w:type="pct"/>
          </w:tcPr>
          <w:p w14:paraId="30497674">
            <w:pPr>
              <w:snapToGrid w:val="0"/>
              <w:spacing w:line="360" w:lineRule="auto"/>
              <w:jc w:val="center"/>
              <w:rPr>
                <w:rFonts w:ascii="仿宋" w:hAnsi="仿宋" w:eastAsia="仿宋"/>
                <w:b/>
                <w:color w:val="auto"/>
                <w:sz w:val="24"/>
              </w:rPr>
            </w:pPr>
            <w:r>
              <w:rPr>
                <w:rFonts w:hint="eastAsia" w:ascii="仿宋" w:hAnsi="仿宋" w:eastAsia="仿宋"/>
                <w:b/>
                <w:color w:val="auto"/>
                <w:sz w:val="24"/>
              </w:rPr>
              <w:t>课程目标2</w:t>
            </w:r>
          </w:p>
        </w:tc>
        <w:tc>
          <w:tcPr>
            <w:tcW w:w="533" w:type="pct"/>
          </w:tcPr>
          <w:p w14:paraId="0D52187C">
            <w:pPr>
              <w:snapToGrid w:val="0"/>
              <w:spacing w:line="360" w:lineRule="auto"/>
              <w:jc w:val="center"/>
              <w:rPr>
                <w:rFonts w:ascii="仿宋" w:hAnsi="仿宋" w:eastAsia="仿宋"/>
                <w:b/>
                <w:color w:val="auto"/>
                <w:sz w:val="24"/>
              </w:rPr>
            </w:pPr>
            <w:r>
              <w:rPr>
                <w:rFonts w:hint="eastAsia" w:ascii="仿宋" w:hAnsi="仿宋" w:eastAsia="仿宋"/>
                <w:b/>
                <w:color w:val="auto"/>
                <w:sz w:val="24"/>
              </w:rPr>
              <w:t>课程目标</w:t>
            </w:r>
            <w:r>
              <w:rPr>
                <w:rFonts w:ascii="仿宋" w:hAnsi="仿宋" w:eastAsia="仿宋"/>
                <w:b/>
                <w:color w:val="auto"/>
                <w:sz w:val="24"/>
              </w:rPr>
              <w:t>3</w:t>
            </w:r>
          </w:p>
        </w:tc>
        <w:tc>
          <w:tcPr>
            <w:tcW w:w="574" w:type="pct"/>
          </w:tcPr>
          <w:p w14:paraId="21820672">
            <w:pPr>
              <w:snapToGrid w:val="0"/>
              <w:spacing w:line="360" w:lineRule="auto"/>
              <w:jc w:val="center"/>
              <w:rPr>
                <w:rFonts w:hint="eastAsia" w:ascii="仿宋" w:hAnsi="仿宋" w:eastAsia="仿宋"/>
                <w:b/>
                <w:color w:val="auto"/>
                <w:sz w:val="24"/>
                <w:lang w:eastAsia="zh-CN"/>
              </w:rPr>
            </w:pPr>
            <w:r>
              <w:rPr>
                <w:rFonts w:hint="eastAsia" w:ascii="仿宋" w:hAnsi="仿宋" w:eastAsia="仿宋"/>
                <w:b/>
                <w:color w:val="auto"/>
                <w:sz w:val="24"/>
              </w:rPr>
              <w:t>课程目标</w:t>
            </w:r>
            <w:r>
              <w:rPr>
                <w:rFonts w:hint="eastAsia" w:ascii="仿宋" w:hAnsi="仿宋" w:eastAsia="仿宋"/>
                <w:b/>
                <w:color w:val="auto"/>
                <w:sz w:val="24"/>
                <w:lang w:val="en-US" w:eastAsia="zh-CN"/>
              </w:rPr>
              <w:t>4</w:t>
            </w:r>
          </w:p>
        </w:tc>
        <w:tc>
          <w:tcPr>
            <w:tcW w:w="551" w:type="pct"/>
          </w:tcPr>
          <w:p w14:paraId="7B7D587A">
            <w:pPr>
              <w:snapToGrid w:val="0"/>
              <w:spacing w:line="360" w:lineRule="auto"/>
              <w:jc w:val="center"/>
              <w:rPr>
                <w:rFonts w:hint="eastAsia" w:ascii="仿宋" w:hAnsi="仿宋" w:eastAsia="仿宋"/>
                <w:b/>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5</w:t>
            </w:r>
          </w:p>
        </w:tc>
        <w:tc>
          <w:tcPr>
            <w:tcW w:w="525" w:type="pct"/>
          </w:tcPr>
          <w:p w14:paraId="14930182">
            <w:pPr>
              <w:snapToGrid w:val="0"/>
              <w:spacing w:line="360" w:lineRule="auto"/>
              <w:jc w:val="center"/>
              <w:rPr>
                <w:rFonts w:hint="eastAsia" w:ascii="仿宋" w:hAnsi="仿宋" w:eastAsia="仿宋"/>
                <w:b/>
                <w:color w:val="auto"/>
                <w:sz w:val="24"/>
              </w:rPr>
            </w:pPr>
            <w:r>
              <w:rPr>
                <w:rFonts w:hint="eastAsia" w:ascii="仿宋" w:hAnsi="仿宋" w:eastAsia="仿宋"/>
                <w:b/>
                <w:color w:val="auto"/>
                <w:sz w:val="24"/>
              </w:rPr>
              <w:t>课程目标</w:t>
            </w:r>
            <w:r>
              <w:rPr>
                <w:rFonts w:hint="eastAsia" w:ascii="仿宋" w:hAnsi="仿宋" w:eastAsia="仿宋"/>
                <w:b/>
                <w:color w:val="auto"/>
                <w:sz w:val="24"/>
                <w:lang w:val="en-US" w:eastAsia="zh-CN"/>
              </w:rPr>
              <w:t>6</w:t>
            </w:r>
          </w:p>
        </w:tc>
      </w:tr>
      <w:tr w14:paraId="6F289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vMerge w:val="restart"/>
            <w:shd w:val="clear" w:color="auto" w:fill="auto"/>
            <w:vAlign w:val="center"/>
          </w:tcPr>
          <w:p w14:paraId="28FE9173">
            <w:pPr>
              <w:snapToGrid w:val="0"/>
              <w:spacing w:line="360" w:lineRule="auto"/>
              <w:jc w:val="center"/>
              <w:rPr>
                <w:rFonts w:ascii="仿宋" w:hAnsi="仿宋" w:eastAsia="仿宋"/>
                <w:b/>
                <w:color w:val="auto"/>
                <w:sz w:val="24"/>
              </w:rPr>
            </w:pPr>
            <w:r>
              <w:rPr>
                <w:rFonts w:hint="eastAsia" w:ascii="仿宋" w:hAnsi="仿宋" w:eastAsia="仿宋"/>
                <w:b/>
                <w:color w:val="auto"/>
                <w:sz w:val="24"/>
              </w:rPr>
              <w:t>过程考核</w:t>
            </w:r>
          </w:p>
        </w:tc>
        <w:tc>
          <w:tcPr>
            <w:tcW w:w="950" w:type="pct"/>
            <w:shd w:val="clear" w:color="auto" w:fill="auto"/>
            <w:vAlign w:val="center"/>
          </w:tcPr>
          <w:p w14:paraId="491EAE3C">
            <w:pPr>
              <w:snapToGrid w:val="0"/>
              <w:spacing w:line="360" w:lineRule="auto"/>
              <w:jc w:val="center"/>
              <w:rPr>
                <w:rFonts w:ascii="仿宋" w:hAnsi="仿宋" w:eastAsia="仿宋"/>
                <w:b/>
                <w:color w:val="auto"/>
                <w:sz w:val="24"/>
              </w:rPr>
            </w:pPr>
            <w:r>
              <w:rPr>
                <w:rFonts w:hint="eastAsia" w:ascii="仿宋" w:hAnsi="仿宋" w:eastAsia="仿宋"/>
                <w:b/>
                <w:color w:val="auto"/>
                <w:sz w:val="24"/>
              </w:rPr>
              <w:t>作业</w:t>
            </w:r>
          </w:p>
        </w:tc>
        <w:tc>
          <w:tcPr>
            <w:tcW w:w="511" w:type="pct"/>
          </w:tcPr>
          <w:p w14:paraId="390F1C3F">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20</w:t>
            </w:r>
          </w:p>
        </w:tc>
        <w:tc>
          <w:tcPr>
            <w:tcW w:w="510" w:type="pct"/>
            <w:shd w:val="clear" w:color="auto" w:fill="auto"/>
            <w:vAlign w:val="center"/>
          </w:tcPr>
          <w:p w14:paraId="13BB7EAC">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5</w:t>
            </w:r>
          </w:p>
        </w:tc>
        <w:tc>
          <w:tcPr>
            <w:tcW w:w="535" w:type="pct"/>
          </w:tcPr>
          <w:p w14:paraId="1AF74189">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33" w:type="pct"/>
          </w:tcPr>
          <w:p w14:paraId="1A99EF53">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74" w:type="pct"/>
          </w:tcPr>
          <w:p w14:paraId="1E7F12BB">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51" w:type="pct"/>
          </w:tcPr>
          <w:p w14:paraId="788A9DCB">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4</w:t>
            </w:r>
          </w:p>
        </w:tc>
        <w:tc>
          <w:tcPr>
            <w:tcW w:w="525" w:type="pct"/>
          </w:tcPr>
          <w:p w14:paraId="1D25C5DA">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r>
      <w:tr w14:paraId="5848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 w:type="pct"/>
            <w:vMerge w:val="continue"/>
            <w:shd w:val="clear" w:color="auto" w:fill="auto"/>
            <w:vAlign w:val="center"/>
          </w:tcPr>
          <w:p w14:paraId="33DD2B49">
            <w:pPr>
              <w:snapToGrid w:val="0"/>
              <w:spacing w:line="360" w:lineRule="auto"/>
              <w:jc w:val="center"/>
              <w:rPr>
                <w:rFonts w:ascii="仿宋" w:hAnsi="仿宋" w:eastAsia="仿宋"/>
                <w:b/>
                <w:color w:val="auto"/>
                <w:sz w:val="24"/>
              </w:rPr>
            </w:pPr>
          </w:p>
        </w:tc>
        <w:tc>
          <w:tcPr>
            <w:tcW w:w="950" w:type="pct"/>
            <w:shd w:val="clear" w:color="auto" w:fill="auto"/>
            <w:vAlign w:val="center"/>
          </w:tcPr>
          <w:p w14:paraId="46D250C8">
            <w:pPr>
              <w:snapToGrid w:val="0"/>
              <w:spacing w:line="360" w:lineRule="auto"/>
              <w:jc w:val="center"/>
              <w:rPr>
                <w:rFonts w:ascii="仿宋" w:hAnsi="仿宋" w:eastAsia="仿宋"/>
                <w:b/>
                <w:color w:val="auto"/>
                <w:sz w:val="24"/>
              </w:rPr>
            </w:pPr>
            <w:r>
              <w:rPr>
                <w:rFonts w:hint="eastAsia" w:ascii="仿宋" w:hAnsi="仿宋" w:eastAsia="仿宋"/>
                <w:b/>
                <w:color w:val="auto"/>
                <w:sz w:val="24"/>
              </w:rPr>
              <w:t>测验</w:t>
            </w:r>
          </w:p>
        </w:tc>
        <w:tc>
          <w:tcPr>
            <w:tcW w:w="511" w:type="pct"/>
          </w:tcPr>
          <w:p w14:paraId="0D71EA84">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10</w:t>
            </w:r>
          </w:p>
        </w:tc>
        <w:tc>
          <w:tcPr>
            <w:tcW w:w="510" w:type="pct"/>
            <w:shd w:val="clear" w:color="auto" w:fill="auto"/>
            <w:vAlign w:val="center"/>
          </w:tcPr>
          <w:p w14:paraId="663E85F8">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35" w:type="pct"/>
          </w:tcPr>
          <w:p w14:paraId="07A667E5">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33" w:type="pct"/>
          </w:tcPr>
          <w:p w14:paraId="15EC65C8">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74" w:type="pct"/>
          </w:tcPr>
          <w:p w14:paraId="290955DE">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51" w:type="pct"/>
          </w:tcPr>
          <w:p w14:paraId="2B4481E7">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w:t>
            </w:r>
          </w:p>
        </w:tc>
        <w:tc>
          <w:tcPr>
            <w:tcW w:w="525" w:type="pct"/>
          </w:tcPr>
          <w:p w14:paraId="403C9FD9">
            <w:pPr>
              <w:snapToGrid w:val="0"/>
              <w:spacing w:line="360" w:lineRule="auto"/>
              <w:jc w:val="center"/>
              <w:rPr>
                <w:rFonts w:hint="eastAsia" w:ascii="仿宋" w:hAnsi="仿宋" w:eastAsia="仿宋"/>
                <w:b/>
                <w:color w:val="auto"/>
                <w:sz w:val="24"/>
                <w:lang w:val="en-US" w:eastAsia="zh-CN"/>
              </w:rPr>
            </w:pPr>
          </w:p>
        </w:tc>
      </w:tr>
      <w:tr w14:paraId="012B5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08" w:type="pct"/>
            <w:vMerge w:val="continue"/>
            <w:shd w:val="clear" w:color="auto" w:fill="auto"/>
            <w:vAlign w:val="center"/>
          </w:tcPr>
          <w:p w14:paraId="55A0A72C">
            <w:pPr>
              <w:snapToGrid w:val="0"/>
              <w:spacing w:line="360" w:lineRule="auto"/>
              <w:jc w:val="center"/>
              <w:rPr>
                <w:rFonts w:ascii="仿宋" w:hAnsi="仿宋" w:eastAsia="仿宋"/>
                <w:b/>
                <w:color w:val="auto"/>
                <w:sz w:val="24"/>
              </w:rPr>
            </w:pPr>
          </w:p>
        </w:tc>
        <w:tc>
          <w:tcPr>
            <w:tcW w:w="950" w:type="pct"/>
            <w:shd w:val="clear" w:color="auto" w:fill="auto"/>
            <w:vAlign w:val="center"/>
          </w:tcPr>
          <w:p w14:paraId="751534A8">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研讨</w:t>
            </w:r>
          </w:p>
        </w:tc>
        <w:tc>
          <w:tcPr>
            <w:tcW w:w="511" w:type="pct"/>
          </w:tcPr>
          <w:p w14:paraId="49A311EF">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6</w:t>
            </w:r>
          </w:p>
        </w:tc>
        <w:tc>
          <w:tcPr>
            <w:tcW w:w="510" w:type="pct"/>
            <w:shd w:val="clear" w:color="auto" w:fill="auto"/>
            <w:vAlign w:val="center"/>
          </w:tcPr>
          <w:p w14:paraId="24ED9D09">
            <w:pPr>
              <w:snapToGrid w:val="0"/>
              <w:spacing w:line="360" w:lineRule="auto"/>
              <w:jc w:val="center"/>
              <w:rPr>
                <w:rFonts w:ascii="仿宋" w:hAnsi="仿宋" w:eastAsia="仿宋"/>
                <w:b/>
                <w:color w:val="auto"/>
                <w:sz w:val="24"/>
              </w:rPr>
            </w:pPr>
          </w:p>
        </w:tc>
        <w:tc>
          <w:tcPr>
            <w:tcW w:w="535" w:type="pct"/>
          </w:tcPr>
          <w:p w14:paraId="0418C10F">
            <w:pPr>
              <w:snapToGrid w:val="0"/>
              <w:spacing w:line="360" w:lineRule="auto"/>
              <w:jc w:val="center"/>
              <w:rPr>
                <w:rFonts w:ascii="仿宋" w:hAnsi="仿宋" w:eastAsia="仿宋"/>
                <w:b/>
                <w:color w:val="auto"/>
                <w:sz w:val="24"/>
              </w:rPr>
            </w:pPr>
          </w:p>
        </w:tc>
        <w:tc>
          <w:tcPr>
            <w:tcW w:w="533" w:type="pct"/>
          </w:tcPr>
          <w:p w14:paraId="10EC1100">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74" w:type="pct"/>
          </w:tcPr>
          <w:p w14:paraId="79BE1BE2">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51" w:type="pct"/>
          </w:tcPr>
          <w:p w14:paraId="3E494448">
            <w:pPr>
              <w:snapToGrid w:val="0"/>
              <w:spacing w:line="360" w:lineRule="auto"/>
              <w:jc w:val="center"/>
              <w:rPr>
                <w:rFonts w:ascii="仿宋" w:hAnsi="仿宋" w:eastAsia="仿宋"/>
                <w:b/>
                <w:color w:val="auto"/>
                <w:sz w:val="24"/>
              </w:rPr>
            </w:pPr>
          </w:p>
        </w:tc>
        <w:tc>
          <w:tcPr>
            <w:tcW w:w="525" w:type="pct"/>
          </w:tcPr>
          <w:p w14:paraId="12E0BBB0">
            <w:pPr>
              <w:snapToGrid w:val="0"/>
              <w:spacing w:line="360" w:lineRule="auto"/>
              <w:jc w:val="center"/>
              <w:rPr>
                <w:rFonts w:ascii="仿宋" w:hAnsi="仿宋" w:eastAsia="仿宋"/>
                <w:b/>
                <w:color w:val="auto"/>
                <w:sz w:val="24"/>
              </w:rPr>
            </w:pPr>
          </w:p>
        </w:tc>
      </w:tr>
      <w:tr w14:paraId="1D29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308" w:type="pct"/>
            <w:vMerge w:val="continue"/>
            <w:shd w:val="clear" w:color="auto" w:fill="auto"/>
            <w:vAlign w:val="center"/>
          </w:tcPr>
          <w:p w14:paraId="68E74049">
            <w:pPr>
              <w:snapToGrid w:val="0"/>
              <w:spacing w:line="360" w:lineRule="auto"/>
              <w:jc w:val="center"/>
              <w:rPr>
                <w:rFonts w:ascii="仿宋" w:hAnsi="仿宋" w:eastAsia="仿宋"/>
                <w:b/>
                <w:color w:val="auto"/>
                <w:sz w:val="24"/>
              </w:rPr>
            </w:pPr>
          </w:p>
        </w:tc>
        <w:tc>
          <w:tcPr>
            <w:tcW w:w="950" w:type="pct"/>
            <w:shd w:val="clear" w:color="auto" w:fill="auto"/>
            <w:vAlign w:val="center"/>
          </w:tcPr>
          <w:p w14:paraId="0F3A3999">
            <w:pPr>
              <w:snapToGrid w:val="0"/>
              <w:spacing w:line="360" w:lineRule="auto"/>
              <w:jc w:val="center"/>
              <w:rPr>
                <w:rFonts w:ascii="仿宋" w:hAnsi="仿宋" w:eastAsia="仿宋"/>
                <w:b/>
                <w:color w:val="auto"/>
                <w:sz w:val="24"/>
              </w:rPr>
            </w:pPr>
            <w:r>
              <w:rPr>
                <w:rFonts w:hint="eastAsia" w:ascii="仿宋" w:hAnsi="仿宋" w:eastAsia="仿宋"/>
                <w:b/>
                <w:color w:val="auto"/>
                <w:sz w:val="24"/>
                <w:lang w:val="en-US" w:eastAsia="zh-CN"/>
              </w:rPr>
              <w:t>上机练习</w:t>
            </w:r>
          </w:p>
        </w:tc>
        <w:tc>
          <w:tcPr>
            <w:tcW w:w="511" w:type="pct"/>
          </w:tcPr>
          <w:p w14:paraId="47C06AAA">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4</w:t>
            </w:r>
          </w:p>
        </w:tc>
        <w:tc>
          <w:tcPr>
            <w:tcW w:w="510" w:type="pct"/>
            <w:shd w:val="clear" w:color="auto" w:fill="auto"/>
            <w:vAlign w:val="center"/>
          </w:tcPr>
          <w:p w14:paraId="3BC8CB8F">
            <w:pPr>
              <w:snapToGrid w:val="0"/>
              <w:spacing w:line="360" w:lineRule="auto"/>
              <w:jc w:val="center"/>
              <w:rPr>
                <w:rFonts w:ascii="仿宋" w:hAnsi="仿宋" w:eastAsia="仿宋"/>
                <w:b/>
                <w:color w:val="auto"/>
                <w:sz w:val="24"/>
              </w:rPr>
            </w:pPr>
          </w:p>
        </w:tc>
        <w:tc>
          <w:tcPr>
            <w:tcW w:w="535" w:type="pct"/>
          </w:tcPr>
          <w:p w14:paraId="2135F196">
            <w:pPr>
              <w:snapToGrid w:val="0"/>
              <w:spacing w:line="360" w:lineRule="auto"/>
              <w:jc w:val="center"/>
              <w:rPr>
                <w:rFonts w:ascii="仿宋" w:hAnsi="仿宋" w:eastAsia="仿宋"/>
                <w:b/>
                <w:color w:val="auto"/>
                <w:sz w:val="24"/>
              </w:rPr>
            </w:pPr>
          </w:p>
        </w:tc>
        <w:tc>
          <w:tcPr>
            <w:tcW w:w="533" w:type="pct"/>
          </w:tcPr>
          <w:p w14:paraId="2D81C9A8">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4</w:t>
            </w:r>
          </w:p>
        </w:tc>
        <w:tc>
          <w:tcPr>
            <w:tcW w:w="574" w:type="pct"/>
          </w:tcPr>
          <w:p w14:paraId="6721F46A">
            <w:pPr>
              <w:snapToGrid w:val="0"/>
              <w:spacing w:line="360" w:lineRule="auto"/>
              <w:jc w:val="center"/>
              <w:rPr>
                <w:rFonts w:ascii="仿宋" w:hAnsi="仿宋" w:eastAsia="仿宋"/>
                <w:b/>
                <w:color w:val="auto"/>
                <w:sz w:val="24"/>
              </w:rPr>
            </w:pPr>
          </w:p>
        </w:tc>
        <w:tc>
          <w:tcPr>
            <w:tcW w:w="551" w:type="pct"/>
          </w:tcPr>
          <w:p w14:paraId="2451DACA">
            <w:pPr>
              <w:snapToGrid w:val="0"/>
              <w:spacing w:line="360" w:lineRule="auto"/>
              <w:jc w:val="center"/>
              <w:rPr>
                <w:rFonts w:ascii="仿宋" w:hAnsi="仿宋" w:eastAsia="仿宋"/>
                <w:b/>
                <w:color w:val="auto"/>
                <w:sz w:val="24"/>
              </w:rPr>
            </w:pPr>
          </w:p>
        </w:tc>
        <w:tc>
          <w:tcPr>
            <w:tcW w:w="525" w:type="pct"/>
          </w:tcPr>
          <w:p w14:paraId="79F3404C">
            <w:pPr>
              <w:snapToGrid w:val="0"/>
              <w:spacing w:line="360" w:lineRule="auto"/>
              <w:jc w:val="center"/>
              <w:rPr>
                <w:rFonts w:ascii="仿宋" w:hAnsi="仿宋" w:eastAsia="仿宋"/>
                <w:b/>
                <w:color w:val="auto"/>
                <w:sz w:val="24"/>
              </w:rPr>
            </w:pPr>
          </w:p>
        </w:tc>
      </w:tr>
      <w:tr w14:paraId="539E1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308" w:type="pct"/>
            <w:shd w:val="clear" w:color="auto" w:fill="auto"/>
            <w:vAlign w:val="center"/>
          </w:tcPr>
          <w:p w14:paraId="16C4F4DE">
            <w:pPr>
              <w:snapToGrid w:val="0"/>
              <w:spacing w:line="360" w:lineRule="auto"/>
              <w:jc w:val="center"/>
              <w:rPr>
                <w:rFonts w:ascii="仿宋" w:hAnsi="仿宋" w:eastAsia="仿宋"/>
                <w:b/>
                <w:color w:val="auto"/>
                <w:sz w:val="24"/>
              </w:rPr>
            </w:pPr>
            <w:r>
              <w:rPr>
                <w:rFonts w:hint="eastAsia" w:ascii="仿宋" w:hAnsi="仿宋" w:eastAsia="仿宋"/>
                <w:b/>
                <w:color w:val="auto"/>
                <w:sz w:val="24"/>
              </w:rPr>
              <w:t>结课考核</w:t>
            </w:r>
          </w:p>
        </w:tc>
        <w:tc>
          <w:tcPr>
            <w:tcW w:w="950" w:type="pct"/>
            <w:shd w:val="clear" w:color="auto" w:fill="auto"/>
            <w:vAlign w:val="center"/>
          </w:tcPr>
          <w:p w14:paraId="1CF2A68B">
            <w:pPr>
              <w:snapToGrid w:val="0"/>
              <w:spacing w:line="360" w:lineRule="auto"/>
              <w:jc w:val="center"/>
              <w:rPr>
                <w:rFonts w:ascii="仿宋" w:hAnsi="仿宋" w:eastAsia="仿宋"/>
                <w:b/>
                <w:color w:val="auto"/>
                <w:sz w:val="24"/>
              </w:rPr>
            </w:pPr>
            <w:r>
              <w:rPr>
                <w:rFonts w:hint="eastAsia" w:ascii="仿宋" w:hAnsi="仿宋" w:eastAsia="仿宋"/>
                <w:b/>
                <w:color w:val="auto"/>
                <w:sz w:val="24"/>
              </w:rPr>
              <w:t>结课考试</w:t>
            </w:r>
          </w:p>
        </w:tc>
        <w:tc>
          <w:tcPr>
            <w:tcW w:w="511" w:type="pct"/>
          </w:tcPr>
          <w:p w14:paraId="23EBD753">
            <w:pPr>
              <w:snapToGrid w:val="0"/>
              <w:spacing w:line="360" w:lineRule="auto"/>
              <w:jc w:val="center"/>
              <w:rPr>
                <w:rFonts w:ascii="仿宋" w:hAnsi="仿宋" w:eastAsia="仿宋"/>
                <w:b/>
                <w:color w:val="auto"/>
                <w:sz w:val="24"/>
              </w:rPr>
            </w:pPr>
          </w:p>
          <w:p w14:paraId="4D97EBA5">
            <w:pPr>
              <w:snapToGrid w:val="0"/>
              <w:spacing w:line="360" w:lineRule="auto"/>
              <w:jc w:val="center"/>
              <w:rPr>
                <w:rFonts w:ascii="仿宋" w:hAnsi="仿宋" w:eastAsia="仿宋"/>
                <w:b/>
                <w:color w:val="auto"/>
                <w:sz w:val="24"/>
              </w:rPr>
            </w:pPr>
          </w:p>
          <w:p w14:paraId="1C0502A4">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60</w:t>
            </w:r>
          </w:p>
        </w:tc>
        <w:tc>
          <w:tcPr>
            <w:tcW w:w="510" w:type="pct"/>
            <w:shd w:val="clear" w:color="auto" w:fill="auto"/>
            <w:vAlign w:val="center"/>
          </w:tcPr>
          <w:p w14:paraId="29B040CD">
            <w:pPr>
              <w:snapToGrid w:val="0"/>
              <w:spacing w:line="360" w:lineRule="auto"/>
              <w:jc w:val="center"/>
              <w:rPr>
                <w:rFonts w:hint="eastAsia" w:ascii="仿宋" w:hAnsi="仿宋" w:eastAsia="仿宋"/>
                <w:b/>
                <w:color w:val="auto"/>
                <w:sz w:val="24"/>
                <w:lang w:val="en-US" w:eastAsia="zh-CN"/>
              </w:rPr>
            </w:pPr>
          </w:p>
          <w:p w14:paraId="6B2759B5">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20</w:t>
            </w:r>
          </w:p>
        </w:tc>
        <w:tc>
          <w:tcPr>
            <w:tcW w:w="535" w:type="pct"/>
          </w:tcPr>
          <w:p w14:paraId="55813EDF">
            <w:pPr>
              <w:snapToGrid w:val="0"/>
              <w:spacing w:line="360" w:lineRule="auto"/>
              <w:jc w:val="center"/>
              <w:rPr>
                <w:rFonts w:hint="default" w:ascii="仿宋" w:hAnsi="仿宋" w:eastAsia="仿宋"/>
                <w:b/>
                <w:color w:val="auto"/>
                <w:sz w:val="24"/>
                <w:lang w:val="en-US" w:eastAsia="zh-CN"/>
              </w:rPr>
            </w:pPr>
          </w:p>
          <w:p w14:paraId="6DBC3DD4">
            <w:pPr>
              <w:snapToGrid w:val="0"/>
              <w:spacing w:line="360" w:lineRule="auto"/>
              <w:jc w:val="center"/>
              <w:rPr>
                <w:rFonts w:hint="default" w:ascii="仿宋" w:hAnsi="仿宋" w:eastAsia="仿宋"/>
                <w:b/>
                <w:color w:val="auto"/>
                <w:sz w:val="24"/>
                <w:lang w:val="en-US" w:eastAsia="zh-CN"/>
              </w:rPr>
            </w:pPr>
          </w:p>
          <w:p w14:paraId="6FC177C3">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8</w:t>
            </w:r>
          </w:p>
        </w:tc>
        <w:tc>
          <w:tcPr>
            <w:tcW w:w="533" w:type="pct"/>
          </w:tcPr>
          <w:p w14:paraId="4BAE58CB">
            <w:pPr>
              <w:snapToGrid w:val="0"/>
              <w:spacing w:line="360" w:lineRule="auto"/>
              <w:jc w:val="center"/>
              <w:rPr>
                <w:rFonts w:hint="default" w:ascii="仿宋" w:hAnsi="仿宋" w:eastAsia="仿宋"/>
                <w:b/>
                <w:color w:val="auto"/>
                <w:sz w:val="24"/>
                <w:lang w:val="en-US" w:eastAsia="zh-CN"/>
              </w:rPr>
            </w:pPr>
          </w:p>
          <w:p w14:paraId="31A1F232">
            <w:pPr>
              <w:snapToGrid w:val="0"/>
              <w:spacing w:line="360" w:lineRule="auto"/>
              <w:jc w:val="center"/>
              <w:rPr>
                <w:rFonts w:hint="default" w:ascii="仿宋" w:hAnsi="仿宋" w:eastAsia="仿宋"/>
                <w:b/>
                <w:color w:val="auto"/>
                <w:sz w:val="24"/>
                <w:lang w:val="en-US" w:eastAsia="zh-CN"/>
              </w:rPr>
            </w:pPr>
          </w:p>
          <w:p w14:paraId="57C0E132">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18</w:t>
            </w:r>
          </w:p>
        </w:tc>
        <w:tc>
          <w:tcPr>
            <w:tcW w:w="574" w:type="pct"/>
          </w:tcPr>
          <w:p w14:paraId="61E452A0">
            <w:pPr>
              <w:snapToGrid w:val="0"/>
              <w:spacing w:line="360" w:lineRule="auto"/>
              <w:jc w:val="center"/>
              <w:rPr>
                <w:rFonts w:ascii="仿宋" w:hAnsi="仿宋" w:eastAsia="仿宋"/>
                <w:b/>
                <w:color w:val="auto"/>
                <w:sz w:val="24"/>
              </w:rPr>
            </w:pPr>
          </w:p>
          <w:p w14:paraId="744B6BBC">
            <w:pPr>
              <w:snapToGrid w:val="0"/>
              <w:spacing w:line="360" w:lineRule="auto"/>
              <w:jc w:val="center"/>
              <w:rPr>
                <w:rFonts w:ascii="仿宋" w:hAnsi="仿宋" w:eastAsia="仿宋"/>
                <w:b/>
                <w:color w:val="auto"/>
                <w:sz w:val="24"/>
              </w:rPr>
            </w:pPr>
          </w:p>
          <w:p w14:paraId="27F9C8DE">
            <w:pPr>
              <w:snapToGrid w:val="0"/>
              <w:spacing w:line="360" w:lineRule="auto"/>
              <w:jc w:val="center"/>
              <w:rPr>
                <w:rFonts w:hint="eastAsia" w:ascii="仿宋" w:hAnsi="仿宋" w:eastAsia="仿宋"/>
                <w:b/>
                <w:color w:val="auto"/>
                <w:sz w:val="24"/>
                <w:lang w:val="en-US" w:eastAsia="zh-CN"/>
              </w:rPr>
            </w:pPr>
            <w:r>
              <w:rPr>
                <w:rFonts w:hint="eastAsia" w:ascii="仿宋" w:hAnsi="仿宋" w:eastAsia="仿宋"/>
                <w:b/>
                <w:color w:val="auto"/>
                <w:sz w:val="24"/>
                <w:lang w:val="en-US" w:eastAsia="zh-CN"/>
              </w:rPr>
              <w:t>8</w:t>
            </w:r>
          </w:p>
        </w:tc>
        <w:tc>
          <w:tcPr>
            <w:tcW w:w="551" w:type="pct"/>
          </w:tcPr>
          <w:p w14:paraId="205C45C5">
            <w:pPr>
              <w:snapToGrid w:val="0"/>
              <w:spacing w:line="360" w:lineRule="auto"/>
              <w:jc w:val="center"/>
              <w:rPr>
                <w:rFonts w:hint="eastAsia" w:ascii="仿宋" w:hAnsi="仿宋" w:eastAsia="仿宋"/>
                <w:b/>
                <w:color w:val="auto"/>
                <w:sz w:val="24"/>
                <w:lang w:val="en-US" w:eastAsia="zh-CN"/>
              </w:rPr>
            </w:pPr>
          </w:p>
          <w:p w14:paraId="5067DFBD">
            <w:pPr>
              <w:snapToGrid w:val="0"/>
              <w:spacing w:line="360" w:lineRule="auto"/>
              <w:jc w:val="center"/>
              <w:rPr>
                <w:rFonts w:hint="eastAsia" w:ascii="仿宋" w:hAnsi="仿宋" w:eastAsia="仿宋"/>
                <w:b/>
                <w:color w:val="auto"/>
                <w:sz w:val="24"/>
                <w:lang w:val="en-US" w:eastAsia="zh-CN"/>
              </w:rPr>
            </w:pPr>
          </w:p>
          <w:p w14:paraId="10C3B3F8">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3</w:t>
            </w:r>
          </w:p>
        </w:tc>
        <w:tc>
          <w:tcPr>
            <w:tcW w:w="525" w:type="pct"/>
          </w:tcPr>
          <w:p w14:paraId="28752859">
            <w:pPr>
              <w:snapToGrid w:val="0"/>
              <w:spacing w:line="360" w:lineRule="auto"/>
              <w:jc w:val="center"/>
              <w:rPr>
                <w:rFonts w:hint="eastAsia" w:ascii="仿宋" w:hAnsi="仿宋" w:eastAsia="仿宋"/>
                <w:b/>
                <w:color w:val="auto"/>
                <w:sz w:val="24"/>
                <w:lang w:val="en-US" w:eastAsia="zh-CN"/>
              </w:rPr>
            </w:pPr>
          </w:p>
          <w:p w14:paraId="74CCBF05">
            <w:pPr>
              <w:snapToGrid w:val="0"/>
              <w:spacing w:line="360" w:lineRule="auto"/>
              <w:jc w:val="center"/>
              <w:rPr>
                <w:rFonts w:hint="eastAsia" w:ascii="仿宋" w:hAnsi="仿宋" w:eastAsia="仿宋"/>
                <w:b/>
                <w:color w:val="auto"/>
                <w:sz w:val="24"/>
                <w:lang w:val="en-US" w:eastAsia="zh-CN"/>
              </w:rPr>
            </w:pPr>
          </w:p>
          <w:p w14:paraId="62BB2AFC">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3</w:t>
            </w:r>
          </w:p>
        </w:tc>
      </w:tr>
      <w:tr w14:paraId="6426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pct"/>
            <w:gridSpan w:val="3"/>
            <w:shd w:val="clear" w:color="auto" w:fill="auto"/>
            <w:vAlign w:val="center"/>
          </w:tcPr>
          <w:p w14:paraId="48DC4A93">
            <w:pPr>
              <w:snapToGrid w:val="0"/>
              <w:spacing w:line="360" w:lineRule="auto"/>
              <w:jc w:val="center"/>
              <w:rPr>
                <w:rFonts w:ascii="仿宋" w:hAnsi="仿宋" w:eastAsia="仿宋"/>
                <w:color w:val="auto"/>
                <w:sz w:val="24"/>
              </w:rPr>
            </w:pPr>
            <w:r>
              <w:rPr>
                <w:rFonts w:hint="eastAsia" w:ascii="仿宋" w:hAnsi="仿宋" w:eastAsia="仿宋"/>
                <w:b/>
                <w:color w:val="auto"/>
                <w:sz w:val="24"/>
              </w:rPr>
              <w:t>课程目标分值合计</w:t>
            </w:r>
          </w:p>
        </w:tc>
        <w:tc>
          <w:tcPr>
            <w:tcW w:w="510" w:type="pct"/>
            <w:shd w:val="clear" w:color="auto" w:fill="auto"/>
            <w:vAlign w:val="center"/>
          </w:tcPr>
          <w:p w14:paraId="4625D4ED">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27</w:t>
            </w:r>
          </w:p>
        </w:tc>
        <w:tc>
          <w:tcPr>
            <w:tcW w:w="535" w:type="pct"/>
          </w:tcPr>
          <w:p w14:paraId="346654AD">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13</w:t>
            </w:r>
          </w:p>
        </w:tc>
        <w:tc>
          <w:tcPr>
            <w:tcW w:w="533" w:type="pct"/>
          </w:tcPr>
          <w:p w14:paraId="54CB3CC0">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30</w:t>
            </w:r>
          </w:p>
        </w:tc>
        <w:tc>
          <w:tcPr>
            <w:tcW w:w="574" w:type="pct"/>
          </w:tcPr>
          <w:p w14:paraId="13E66BAB">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16</w:t>
            </w:r>
          </w:p>
        </w:tc>
        <w:tc>
          <w:tcPr>
            <w:tcW w:w="551" w:type="pct"/>
          </w:tcPr>
          <w:p w14:paraId="4E1A5C93">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9</w:t>
            </w:r>
          </w:p>
        </w:tc>
        <w:tc>
          <w:tcPr>
            <w:tcW w:w="525" w:type="pct"/>
          </w:tcPr>
          <w:p w14:paraId="642B6B70">
            <w:pPr>
              <w:snapToGrid w:val="0"/>
              <w:spacing w:line="360" w:lineRule="auto"/>
              <w:jc w:val="center"/>
              <w:rPr>
                <w:rFonts w:hint="default" w:ascii="仿宋" w:hAnsi="仿宋" w:eastAsia="仿宋"/>
                <w:b/>
                <w:color w:val="auto"/>
                <w:sz w:val="24"/>
                <w:lang w:val="en-US" w:eastAsia="zh-CN"/>
              </w:rPr>
            </w:pPr>
            <w:r>
              <w:rPr>
                <w:rFonts w:hint="eastAsia" w:ascii="仿宋" w:hAnsi="仿宋" w:eastAsia="仿宋"/>
                <w:b/>
                <w:color w:val="auto"/>
                <w:sz w:val="24"/>
                <w:lang w:val="en-US" w:eastAsia="zh-CN"/>
              </w:rPr>
              <w:t>5</w:t>
            </w:r>
          </w:p>
        </w:tc>
      </w:tr>
    </w:tbl>
    <w:p w14:paraId="7951C001">
      <w:pPr>
        <w:snapToGrid w:val="0"/>
        <w:spacing w:line="360" w:lineRule="auto"/>
        <w:ind w:firstLine="482" w:firstLineChars="200"/>
        <w:rPr>
          <w:rFonts w:ascii="仿宋" w:hAnsi="仿宋" w:eastAsia="仿宋"/>
          <w:b/>
          <w:color w:val="auto"/>
          <w:sz w:val="24"/>
        </w:rPr>
      </w:pPr>
    </w:p>
    <w:p w14:paraId="027C9DC2">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七</w:t>
      </w:r>
      <w:r>
        <w:rPr>
          <w:rFonts w:eastAsia="黑体"/>
          <w:color w:val="auto"/>
          <w:sz w:val="28"/>
          <w:szCs w:val="28"/>
        </w:rPr>
        <w:t>、课程</w:t>
      </w:r>
      <w:r>
        <w:rPr>
          <w:rFonts w:hint="eastAsia" w:eastAsia="黑体"/>
          <w:color w:val="auto"/>
          <w:sz w:val="28"/>
          <w:szCs w:val="28"/>
        </w:rPr>
        <w:t>目标达成度评价</w:t>
      </w:r>
    </w:p>
    <w:p w14:paraId="01BCBD59">
      <w:pPr>
        <w:tabs>
          <w:tab w:val="left" w:pos="-5670"/>
          <w:tab w:val="left" w:pos="-5245"/>
          <w:tab w:val="left" w:pos="1134"/>
        </w:tabs>
        <w:spacing w:line="360" w:lineRule="auto"/>
        <w:ind w:firstLine="480" w:firstLineChars="200"/>
        <w:rPr>
          <w:rFonts w:ascii="仿宋" w:hAnsi="仿宋" w:eastAsia="仿宋"/>
          <w:color w:val="auto"/>
          <w:sz w:val="24"/>
        </w:rPr>
      </w:pPr>
      <w:r>
        <w:rPr>
          <w:rFonts w:hint="eastAsia" w:ascii="仿宋" w:hAnsi="仿宋" w:eastAsia="仿宋"/>
          <w:color w:val="auto"/>
          <w:sz w:val="24"/>
        </w:rPr>
        <w:t>课程目标达成度评价包括课程分目标达成度评价和课程总目标达成度评价，具体计算方法如下：</w:t>
      </w:r>
    </w:p>
    <w:p w14:paraId="40B8B6B5">
      <w:pPr>
        <w:tabs>
          <w:tab w:val="left" w:pos="-5670"/>
          <w:tab w:val="left" w:pos="-5245"/>
          <w:tab w:val="left" w:pos="1134"/>
        </w:tabs>
        <w:spacing w:line="360" w:lineRule="auto"/>
        <w:ind w:firstLine="480"/>
        <w:rPr>
          <w:rFonts w:ascii="仿宋" w:hAnsi="仿宋" w:eastAsia="仿宋"/>
          <w:color w:val="auto"/>
          <w:sz w:val="24"/>
        </w:rPr>
      </w:pPr>
      <w:r>
        <w:rPr>
          <w:rFonts w:hint="eastAsia" w:ascii="仿宋" w:hAnsi="仿宋" w:eastAsia="仿宋"/>
          <w:color w:val="auto"/>
          <w:sz w:val="24"/>
        </w:rPr>
        <w:t>（1）课程分目标达成度=总评成绩中支撑该分目标相关考核环节按权重计算的总得分/总评成绩中支撑该分目标相关考核环节总分</w:t>
      </w:r>
    </w:p>
    <w:p w14:paraId="09461126">
      <w:pPr>
        <w:tabs>
          <w:tab w:val="left" w:pos="-5670"/>
          <w:tab w:val="left" w:pos="-5245"/>
          <w:tab w:val="left" w:pos="1134"/>
        </w:tabs>
        <w:spacing w:line="360" w:lineRule="auto"/>
        <w:ind w:firstLine="480"/>
        <w:rPr>
          <w:rFonts w:ascii="仿宋" w:hAnsi="仿宋" w:eastAsia="仿宋"/>
          <w:color w:val="auto"/>
          <w:sz w:val="24"/>
        </w:rPr>
      </w:pPr>
      <w:r>
        <w:rPr>
          <w:rFonts w:hint="eastAsia" w:ascii="仿宋" w:hAnsi="仿宋" w:eastAsia="仿宋"/>
          <w:color w:val="auto"/>
          <w:sz w:val="24"/>
        </w:rPr>
        <w:t>（2）课程总目标达成度=该课程总评成绩平均分/</w:t>
      </w:r>
      <w:r>
        <w:rPr>
          <w:rFonts w:ascii="仿宋" w:hAnsi="仿宋" w:eastAsia="仿宋"/>
          <w:color w:val="auto"/>
          <w:sz w:val="24"/>
        </w:rPr>
        <w:t>100</w:t>
      </w:r>
    </w:p>
    <w:p w14:paraId="600C9101">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八</w:t>
      </w:r>
      <w:r>
        <w:rPr>
          <w:rFonts w:eastAsia="黑体"/>
          <w:color w:val="auto"/>
          <w:sz w:val="28"/>
          <w:szCs w:val="28"/>
        </w:rPr>
        <w:t>、</w:t>
      </w:r>
      <w:r>
        <w:rPr>
          <w:rFonts w:hint="eastAsia" w:eastAsia="黑体"/>
          <w:color w:val="auto"/>
          <w:sz w:val="28"/>
          <w:szCs w:val="28"/>
        </w:rPr>
        <w:t>学习建议</w:t>
      </w:r>
    </w:p>
    <w:p w14:paraId="50E667C2">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rPr>
      </w:pPr>
      <w:r>
        <w:rPr>
          <w:rFonts w:hint="eastAsia" w:ascii="仿宋" w:hAnsi="仿宋" w:eastAsia="仿宋"/>
          <w:color w:val="auto"/>
          <w:sz w:val="24"/>
        </w:rPr>
        <w:t>（</w:t>
      </w:r>
      <w:r>
        <w:rPr>
          <w:rFonts w:hint="eastAsia" w:ascii="仿宋" w:hAnsi="仿宋" w:eastAsia="仿宋"/>
          <w:color w:val="auto"/>
          <w:sz w:val="24"/>
          <w:lang w:val="en-US" w:eastAsia="zh-CN"/>
        </w:rPr>
        <w:t>1</w:t>
      </w:r>
      <w:r>
        <w:rPr>
          <w:rFonts w:hint="eastAsia" w:ascii="仿宋" w:hAnsi="仿宋" w:eastAsia="仿宋"/>
          <w:color w:val="auto"/>
          <w:sz w:val="24"/>
        </w:rPr>
        <w:t>）</w:t>
      </w:r>
      <w:r>
        <w:rPr>
          <w:rFonts w:hint="eastAsia" w:ascii="仿宋" w:hAnsi="仿宋" w:eastAsia="仿宋"/>
          <w:color w:val="auto"/>
          <w:sz w:val="24"/>
          <w:lang w:val="en-US" w:eastAsia="zh-CN"/>
        </w:rPr>
        <w:t>课程</w:t>
      </w:r>
      <w:r>
        <w:rPr>
          <w:rFonts w:hint="eastAsia" w:ascii="仿宋" w:hAnsi="仿宋" w:eastAsia="仿宋"/>
          <w:color w:val="auto"/>
          <w:sz w:val="24"/>
        </w:rPr>
        <w:t>内容相对较多，需注意前后知识的贯通和联系；注重理论联系实际；专业概念、专业术语较多，要在深刻理解的基础上学习，不可孤立地记忆和学习；</w:t>
      </w:r>
    </w:p>
    <w:p w14:paraId="136C8EFF">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rPr>
      </w:pPr>
      <w:r>
        <w:rPr>
          <w:rFonts w:hint="eastAsia" w:ascii="仿宋" w:hAnsi="仿宋" w:eastAsia="仿宋"/>
          <w:color w:val="auto"/>
          <w:sz w:val="24"/>
        </w:rPr>
        <w:t>（</w:t>
      </w:r>
      <w:r>
        <w:rPr>
          <w:rFonts w:hint="eastAsia" w:ascii="仿宋" w:hAnsi="仿宋" w:eastAsia="仿宋"/>
          <w:color w:val="auto"/>
          <w:sz w:val="24"/>
          <w:lang w:val="en-US" w:eastAsia="zh-CN"/>
        </w:rPr>
        <w:t>2</w:t>
      </w:r>
      <w:r>
        <w:rPr>
          <w:rFonts w:hint="eastAsia" w:ascii="仿宋" w:hAnsi="仿宋" w:eastAsia="仿宋"/>
          <w:color w:val="auto"/>
          <w:sz w:val="24"/>
        </w:rPr>
        <w:t>）基本物性部分概念较多，学习时不仅要理解概念，更要掌握它们的实际应用；</w:t>
      </w:r>
    </w:p>
    <w:p w14:paraId="3451626B">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rPr>
      </w:pPr>
      <w:r>
        <w:rPr>
          <w:rFonts w:hint="eastAsia" w:ascii="仿宋" w:hAnsi="仿宋" w:eastAsia="仿宋"/>
          <w:color w:val="auto"/>
          <w:sz w:val="24"/>
        </w:rPr>
        <w:t>（</w:t>
      </w:r>
      <w:r>
        <w:rPr>
          <w:rFonts w:hint="eastAsia" w:ascii="仿宋" w:hAnsi="仿宋" w:eastAsia="仿宋"/>
          <w:color w:val="auto"/>
          <w:sz w:val="24"/>
          <w:lang w:val="en-US" w:eastAsia="zh-CN"/>
        </w:rPr>
        <w:t>3</w:t>
      </w:r>
      <w:r>
        <w:rPr>
          <w:rFonts w:hint="eastAsia" w:ascii="仿宋" w:hAnsi="仿宋" w:eastAsia="仿宋"/>
          <w:color w:val="auto"/>
          <w:sz w:val="24"/>
        </w:rPr>
        <w:t>）性质表征部分公式多、图表多，要注意总结归纳；</w:t>
      </w:r>
    </w:p>
    <w:p w14:paraId="6CD10E2E">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lang w:eastAsia="zh-CN"/>
        </w:rPr>
      </w:pPr>
      <w:r>
        <w:rPr>
          <w:rFonts w:hint="eastAsia" w:ascii="仿宋" w:hAnsi="仿宋" w:eastAsia="仿宋"/>
          <w:color w:val="auto"/>
          <w:sz w:val="24"/>
        </w:rPr>
        <w:t>（</w:t>
      </w:r>
      <w:r>
        <w:rPr>
          <w:rFonts w:hint="eastAsia" w:ascii="仿宋" w:hAnsi="仿宋" w:eastAsia="仿宋"/>
          <w:color w:val="auto"/>
          <w:sz w:val="24"/>
          <w:lang w:val="en-US" w:eastAsia="zh-CN"/>
        </w:rPr>
        <w:t>4</w:t>
      </w:r>
      <w:r>
        <w:rPr>
          <w:rFonts w:hint="eastAsia" w:ascii="仿宋" w:hAnsi="仿宋" w:eastAsia="仿宋"/>
          <w:color w:val="auto"/>
          <w:sz w:val="24"/>
        </w:rPr>
        <w:t>）石油产品部分要了解质量要求的意义，及物性与化学组成间的关系</w:t>
      </w:r>
      <w:r>
        <w:rPr>
          <w:rFonts w:hint="eastAsia" w:ascii="仿宋" w:hAnsi="仿宋" w:eastAsia="仿宋"/>
          <w:color w:val="auto"/>
          <w:sz w:val="24"/>
          <w:lang w:eastAsia="zh-CN"/>
        </w:rPr>
        <w:t>；</w:t>
      </w:r>
    </w:p>
    <w:p w14:paraId="6F2C592A">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lang w:val="en-US" w:eastAsia="zh-CN"/>
        </w:rPr>
      </w:pPr>
      <w:r>
        <w:rPr>
          <w:rFonts w:hint="eastAsia" w:ascii="仿宋" w:hAnsi="仿宋" w:eastAsia="仿宋"/>
          <w:color w:val="auto"/>
          <w:sz w:val="24"/>
          <w:lang w:eastAsia="zh-CN"/>
        </w:rPr>
        <w:t>（</w:t>
      </w:r>
      <w:r>
        <w:rPr>
          <w:rFonts w:hint="eastAsia" w:ascii="仿宋" w:hAnsi="仿宋" w:eastAsia="仿宋"/>
          <w:color w:val="auto"/>
          <w:sz w:val="24"/>
          <w:lang w:val="en-US" w:eastAsia="zh-CN"/>
        </w:rPr>
        <w:t>5）要结合所学知识进行文献调研，通过案例分析，培养知识应用能力、问题分析能力、设计/开发能力和研究能力。</w:t>
      </w:r>
    </w:p>
    <w:p w14:paraId="010AD175">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仿宋" w:hAnsi="仿宋" w:eastAsia="仿宋"/>
          <w:color w:val="auto"/>
          <w:sz w:val="24"/>
        </w:rPr>
      </w:pPr>
      <w:r>
        <w:rPr>
          <w:rFonts w:hint="eastAsia" w:ascii="仿宋" w:hAnsi="仿宋" w:eastAsia="仿宋"/>
          <w:color w:val="auto"/>
          <w:sz w:val="24"/>
          <w:lang w:val="en-US" w:eastAsia="zh-CN"/>
        </w:rPr>
        <w:t>（6）通过国内外文献调研，分析和评价石油产品质量标准、清洁油品生产、石油加工过程的发展趋势，开展汇报研讨，与同行进行交流。</w:t>
      </w:r>
    </w:p>
    <w:bookmarkEnd w:id="0"/>
    <w:p w14:paraId="40BD8744">
      <w:pPr>
        <w:tabs>
          <w:tab w:val="left" w:pos="-5670"/>
          <w:tab w:val="left" w:pos="-5245"/>
          <w:tab w:val="left" w:pos="1134"/>
        </w:tabs>
        <w:spacing w:before="156" w:beforeLines="50" w:after="156" w:afterLines="50" w:line="360" w:lineRule="auto"/>
        <w:ind w:firstLine="560" w:firstLineChars="200"/>
        <w:rPr>
          <w:rFonts w:eastAsia="黑体"/>
          <w:color w:val="auto"/>
          <w:sz w:val="28"/>
          <w:szCs w:val="28"/>
        </w:rPr>
      </w:pPr>
      <w:r>
        <w:rPr>
          <w:rFonts w:hint="eastAsia" w:eastAsia="黑体"/>
          <w:color w:val="auto"/>
          <w:sz w:val="28"/>
          <w:szCs w:val="28"/>
        </w:rPr>
        <w:t>九</w:t>
      </w:r>
      <w:r>
        <w:rPr>
          <w:rFonts w:eastAsia="黑体"/>
          <w:color w:val="auto"/>
          <w:sz w:val="28"/>
          <w:szCs w:val="28"/>
        </w:rPr>
        <w:t>、</w:t>
      </w:r>
      <w:r>
        <w:rPr>
          <w:rFonts w:hint="eastAsia" w:eastAsia="黑体"/>
          <w:color w:val="auto"/>
          <w:sz w:val="28"/>
          <w:szCs w:val="28"/>
        </w:rPr>
        <w:t>教材及</w:t>
      </w:r>
      <w:r>
        <w:rPr>
          <w:rFonts w:eastAsia="黑体"/>
          <w:color w:val="auto"/>
          <w:sz w:val="28"/>
          <w:szCs w:val="28"/>
        </w:rPr>
        <w:t>参考</w:t>
      </w:r>
      <w:r>
        <w:rPr>
          <w:rFonts w:hint="eastAsia" w:eastAsia="黑体"/>
          <w:color w:val="auto"/>
          <w:sz w:val="28"/>
          <w:szCs w:val="28"/>
        </w:rPr>
        <w:t>资料</w:t>
      </w:r>
    </w:p>
    <w:p w14:paraId="41FB038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（一）教材</w:t>
      </w:r>
    </w:p>
    <w:p w14:paraId="55C466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1. 《原油特征化及产品表征》，许孝玲、热则耶·热合米图力、刘艳升，石油工业出版社，2024年，第1版（ISBN: 9787518362721）</w:t>
      </w:r>
    </w:p>
    <w:p w14:paraId="6A91D0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2. 《石油炼制工程》，徐春明、杨朝合，石油工业出版社，2022</w:t>
      </w:r>
      <w:r>
        <w:rPr>
          <w:rFonts w:hint="eastAsia" w:ascii="Times New Roman" w:hAnsi="Times New Roman" w:eastAsia="仿宋" w:cs="Times New Roman"/>
          <w:color w:val="auto"/>
          <w:sz w:val="24"/>
          <w:szCs w:val="24"/>
          <w:lang w:val="en-US" w:eastAsia="zh-CN"/>
        </w:rPr>
        <w:t>年</w:t>
      </w:r>
      <w:r>
        <w:rPr>
          <w:rFonts w:hint="default" w:ascii="Times New Roman" w:hAnsi="Times New Roman" w:eastAsia="仿宋" w:cs="Times New Roman"/>
          <w:color w:val="auto"/>
          <w:sz w:val="24"/>
          <w:szCs w:val="24"/>
        </w:rPr>
        <w:t>，第五版。</w:t>
      </w:r>
    </w:p>
    <w:p w14:paraId="76EF0EA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仿宋" w:cs="Times New Roman"/>
          <w:b/>
          <w:color w:val="auto"/>
          <w:sz w:val="24"/>
          <w:szCs w:val="24"/>
        </w:rPr>
      </w:pPr>
      <w:r>
        <w:rPr>
          <w:rFonts w:hint="default" w:ascii="Times New Roman" w:hAnsi="Times New Roman" w:eastAsia="仿宋" w:cs="Times New Roman"/>
          <w:b/>
          <w:color w:val="auto"/>
          <w:sz w:val="24"/>
          <w:szCs w:val="24"/>
        </w:rPr>
        <w:t>（二）参考书目或文献</w:t>
      </w:r>
    </w:p>
    <w:p w14:paraId="4C11E9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lang w:val="en-GB"/>
        </w:rPr>
      </w:pPr>
      <w:r>
        <w:rPr>
          <w:rFonts w:hint="default" w:ascii="Times New Roman" w:hAnsi="Times New Roman" w:eastAsia="仿宋" w:cs="Times New Roman"/>
          <w:color w:val="auto"/>
          <w:sz w:val="24"/>
          <w:szCs w:val="24"/>
          <w:lang w:val="en-GB"/>
        </w:rPr>
        <w:t>1. 《Characterization and properties of petroleum fractions》, Riazi M. R. West Conshohocken: ASTM International, 2005.</w:t>
      </w:r>
    </w:p>
    <w:p w14:paraId="663C41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lang w:val="en-GB"/>
        </w:rPr>
      </w:pPr>
      <w:r>
        <w:rPr>
          <w:rFonts w:hint="default" w:ascii="Times New Roman" w:hAnsi="Times New Roman" w:eastAsia="仿宋" w:cs="Times New Roman"/>
          <w:color w:val="auto"/>
          <w:sz w:val="24"/>
          <w:szCs w:val="24"/>
          <w:lang w:val="en-GB"/>
        </w:rPr>
        <w:t>2.《石油化学》，梁文杰、阙国和、刘晨光、杨秋水，石油工业出版社，2008，第二版。</w:t>
      </w:r>
    </w:p>
    <w:p w14:paraId="309ECD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lang w:val="en-GB"/>
        </w:rPr>
      </w:pPr>
      <w:r>
        <w:rPr>
          <w:rFonts w:hint="default" w:ascii="Times New Roman" w:hAnsi="Times New Roman" w:eastAsia="仿宋" w:cs="Times New Roman"/>
          <w:color w:val="auto"/>
          <w:sz w:val="24"/>
          <w:szCs w:val="24"/>
          <w:lang w:val="en-GB"/>
        </w:rPr>
        <w:t>3.《现代石油技术（卷二：下游）》，[英]艾伦G˙卢卡斯（周亚松、魏强、张涛翻译），石油工业出版社，2011，第六版。</w:t>
      </w:r>
    </w:p>
    <w:p w14:paraId="574323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lang w:val="en-GB"/>
        </w:rPr>
      </w:pPr>
      <w:r>
        <w:rPr>
          <w:rFonts w:hint="default" w:ascii="Times New Roman" w:hAnsi="Times New Roman" w:eastAsia="仿宋" w:cs="Times New Roman"/>
          <w:color w:val="auto"/>
          <w:sz w:val="24"/>
          <w:szCs w:val="24"/>
          <w:lang w:val="en-GB"/>
        </w:rPr>
        <w:t>4. 《The Chemistry and Technology of Petroleum》，James G. Speight， CRC Press, 2006，Fourth Edition.</w:t>
      </w:r>
    </w:p>
    <w:p w14:paraId="45A879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仿宋" w:cs="Times New Roman"/>
          <w:color w:val="auto"/>
          <w:sz w:val="24"/>
          <w:szCs w:val="24"/>
          <w:lang w:val="en-GB"/>
        </w:rPr>
      </w:pPr>
      <w:r>
        <w:rPr>
          <w:rFonts w:hint="default" w:ascii="Times New Roman" w:hAnsi="Times New Roman" w:eastAsia="仿宋" w:cs="Times New Roman"/>
          <w:color w:val="auto"/>
          <w:sz w:val="24"/>
          <w:szCs w:val="24"/>
          <w:lang w:val="en-GB"/>
        </w:rPr>
        <w:t>5.《Petroleum fuels manufacturing handbook— including specialty products and sustainable manufacturing techniques》，Surinder Parkash. The McGraw-Hill Companies, Inc., 2009.</w:t>
      </w:r>
    </w:p>
    <w:p w14:paraId="6B4C86D1">
      <w:pPr>
        <w:ind w:firstLine="420" w:firstLineChars="200"/>
        <w:rPr>
          <w:rFonts w:ascii="Times New Roman" w:hAnsi="Times New Roman" w:eastAsia="仿宋" w:cs="Times New Roman"/>
          <w:szCs w:val="21"/>
          <w:lang w:val="en-GB"/>
        </w:rPr>
      </w:pPr>
    </w:p>
    <w:p w14:paraId="0080F247">
      <w:pPr>
        <w:widowControl/>
        <w:jc w:val="left"/>
        <w:rPr>
          <w:rFonts w:ascii="Times New Roman" w:hAnsi="Times New Roman" w:eastAsia="仿宋" w:cs="Times New Roman"/>
          <w:szCs w:val="21"/>
        </w:rPr>
      </w:pPr>
    </w:p>
    <w:p w14:paraId="6DDB4EC1">
      <w:pPr>
        <w:widowControl/>
        <w:jc w:val="left"/>
        <w:rPr>
          <w:rFonts w:ascii="Times New Roman" w:hAnsi="Times New Roman" w:eastAsia="仿宋" w:cs="Times New Roman"/>
          <w:szCs w:val="21"/>
        </w:rPr>
      </w:pPr>
    </w:p>
    <w:p w14:paraId="4A8ACD03">
      <w:pPr>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B60773"/>
    <w:multiLevelType w:val="multilevel"/>
    <w:tmpl w:val="6CB60773"/>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zMWRmNWQwMzM2MDJkYmJlNmFhZDBmZGJlMDYwY2YifQ=="/>
  </w:docVars>
  <w:rsids>
    <w:rsidRoot w:val="00BC67B7"/>
    <w:rsid w:val="000012F6"/>
    <w:rsid w:val="0002163E"/>
    <w:rsid w:val="000225C6"/>
    <w:rsid w:val="00024024"/>
    <w:rsid w:val="00063270"/>
    <w:rsid w:val="00097821"/>
    <w:rsid w:val="000A206D"/>
    <w:rsid w:val="000A6985"/>
    <w:rsid w:val="000B586C"/>
    <w:rsid w:val="000F1964"/>
    <w:rsid w:val="000F3B78"/>
    <w:rsid w:val="00120828"/>
    <w:rsid w:val="0012261C"/>
    <w:rsid w:val="00135B87"/>
    <w:rsid w:val="00152FF0"/>
    <w:rsid w:val="00157375"/>
    <w:rsid w:val="00164A0A"/>
    <w:rsid w:val="001753DB"/>
    <w:rsid w:val="00191AC2"/>
    <w:rsid w:val="001C7304"/>
    <w:rsid w:val="001E1D14"/>
    <w:rsid w:val="001E7080"/>
    <w:rsid w:val="00213E0A"/>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B15CF"/>
    <w:rsid w:val="003B38A8"/>
    <w:rsid w:val="00410DC1"/>
    <w:rsid w:val="0043026A"/>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A2D7B"/>
    <w:rsid w:val="005C0AEB"/>
    <w:rsid w:val="005C2583"/>
    <w:rsid w:val="005D0EB7"/>
    <w:rsid w:val="005D55D3"/>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E37D9"/>
    <w:rsid w:val="007E7088"/>
    <w:rsid w:val="00807D2F"/>
    <w:rsid w:val="00817338"/>
    <w:rsid w:val="00846B4E"/>
    <w:rsid w:val="00863DD3"/>
    <w:rsid w:val="008A41F6"/>
    <w:rsid w:val="008B5CCB"/>
    <w:rsid w:val="008C3341"/>
    <w:rsid w:val="008F46EA"/>
    <w:rsid w:val="00946A20"/>
    <w:rsid w:val="009631F6"/>
    <w:rsid w:val="00970FC4"/>
    <w:rsid w:val="009823A0"/>
    <w:rsid w:val="00992EA1"/>
    <w:rsid w:val="009C135F"/>
    <w:rsid w:val="00A5411F"/>
    <w:rsid w:val="00A639D1"/>
    <w:rsid w:val="00A65CD2"/>
    <w:rsid w:val="00A869CB"/>
    <w:rsid w:val="00A93E4B"/>
    <w:rsid w:val="00AB7E60"/>
    <w:rsid w:val="00AC5BFF"/>
    <w:rsid w:val="00AD3D23"/>
    <w:rsid w:val="00B03799"/>
    <w:rsid w:val="00B041B7"/>
    <w:rsid w:val="00B10112"/>
    <w:rsid w:val="00B3682A"/>
    <w:rsid w:val="00B36916"/>
    <w:rsid w:val="00BC67B7"/>
    <w:rsid w:val="00BD7624"/>
    <w:rsid w:val="00C15464"/>
    <w:rsid w:val="00C25C32"/>
    <w:rsid w:val="00C42886"/>
    <w:rsid w:val="00C450FB"/>
    <w:rsid w:val="00CE1C18"/>
    <w:rsid w:val="00D1344C"/>
    <w:rsid w:val="00D2634B"/>
    <w:rsid w:val="00D769CC"/>
    <w:rsid w:val="00D816BB"/>
    <w:rsid w:val="00D81961"/>
    <w:rsid w:val="00D8667E"/>
    <w:rsid w:val="00DA6167"/>
    <w:rsid w:val="00DF0653"/>
    <w:rsid w:val="00E10ABD"/>
    <w:rsid w:val="00E23736"/>
    <w:rsid w:val="00E53C11"/>
    <w:rsid w:val="00E6041B"/>
    <w:rsid w:val="00E816B4"/>
    <w:rsid w:val="00E97447"/>
    <w:rsid w:val="00EA1986"/>
    <w:rsid w:val="00EA66BF"/>
    <w:rsid w:val="00EB7E26"/>
    <w:rsid w:val="00F1749D"/>
    <w:rsid w:val="00F5031E"/>
    <w:rsid w:val="00F52F38"/>
    <w:rsid w:val="00FA70BB"/>
    <w:rsid w:val="00FD1B77"/>
    <w:rsid w:val="00FE6015"/>
    <w:rsid w:val="0532206A"/>
    <w:rsid w:val="0B954723"/>
    <w:rsid w:val="0E3D3970"/>
    <w:rsid w:val="0F3947D0"/>
    <w:rsid w:val="100A68DF"/>
    <w:rsid w:val="13FC287F"/>
    <w:rsid w:val="181A12FF"/>
    <w:rsid w:val="214F6549"/>
    <w:rsid w:val="26741135"/>
    <w:rsid w:val="29EC2C99"/>
    <w:rsid w:val="2B3D17F1"/>
    <w:rsid w:val="2CEA0859"/>
    <w:rsid w:val="2EE54DA0"/>
    <w:rsid w:val="2FDF1381"/>
    <w:rsid w:val="396E0306"/>
    <w:rsid w:val="398D1E5F"/>
    <w:rsid w:val="406A0955"/>
    <w:rsid w:val="4A1709D8"/>
    <w:rsid w:val="4ADB6D1B"/>
    <w:rsid w:val="4D86379F"/>
    <w:rsid w:val="594012CA"/>
    <w:rsid w:val="5DEF0493"/>
    <w:rsid w:val="5E622C63"/>
    <w:rsid w:val="5E796AD0"/>
    <w:rsid w:val="5FF35A34"/>
    <w:rsid w:val="63993A16"/>
    <w:rsid w:val="64FA2221"/>
    <w:rsid w:val="666B5093"/>
    <w:rsid w:val="675235CB"/>
    <w:rsid w:val="6B6A5F59"/>
    <w:rsid w:val="71D26B36"/>
    <w:rsid w:val="74130D0E"/>
    <w:rsid w:val="78D77996"/>
    <w:rsid w:val="7D203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szCs w:val="21"/>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basedOn w:val="9"/>
    <w:qFormat/>
    <w:uiPriority w:val="20"/>
    <w:rPr>
      <w:i/>
    </w:rPr>
  </w:style>
  <w:style w:type="character" w:styleId="11">
    <w:name w:val="Hyperlink"/>
    <w:basedOn w:val="9"/>
    <w:semiHidden/>
    <w:unhideWhenUsed/>
    <w:qFormat/>
    <w:uiPriority w:val="99"/>
    <w:rPr>
      <w:color w:val="0000FF"/>
      <w:u w:val="single"/>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批注框文本 字符"/>
    <w:basedOn w:val="9"/>
    <w:link w:val="4"/>
    <w:semiHidden/>
    <w:qFormat/>
    <w:uiPriority w:val="99"/>
    <w:rPr>
      <w:sz w:val="18"/>
      <w:szCs w:val="18"/>
    </w:rPr>
  </w:style>
  <w:style w:type="paragraph" w:styleId="15">
    <w:name w:val="List Paragraph"/>
    <w:basedOn w:val="1"/>
    <w:qFormat/>
    <w:uiPriority w:val="34"/>
    <w:pPr>
      <w:ind w:firstLine="420" w:firstLineChars="200"/>
    </w:pPr>
  </w:style>
  <w:style w:type="table" w:customStyle="1" w:styleId="16">
    <w:name w:val="网格型1"/>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6827</Words>
  <Characters>7341</Characters>
  <Lines>86</Lines>
  <Paragraphs>24</Paragraphs>
  <TotalTime>2</TotalTime>
  <ScaleCrop>false</ScaleCrop>
  <LinksUpToDate>false</LinksUpToDate>
  <CharactersWithSpaces>7453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2021-03-17T03:20:00Z</dcterms:created>
  <dc:creator>Admin</dc:creator>
  <cp:lastModifiedBy>spencer</cp:lastModifiedBy>
  <dcterms:modified xsi:type="dcterms:W3CDTF">2024-08-20T03:23:57Z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6FBDD40F9C3C487F8194F14FB4778608_13</vt:lpwstr>
  </property>
</Properties>
</file>