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color w:val="000000"/>
          <w:sz w:val="44"/>
          <w:szCs w:val="20"/>
        </w:rPr>
      </w:pPr>
    </w:p>
    <w:p>
      <w:pPr>
        <w:tabs>
          <w:tab w:val="left" w:pos="880"/>
        </w:tabs>
        <w:spacing w:line="480" w:lineRule="auto"/>
        <w:rPr>
          <w:rFonts w:ascii="宋体" w:hAnsi="宋体"/>
          <w:color w:val="000000"/>
          <w:sz w:val="44"/>
          <w:szCs w:val="20"/>
        </w:rPr>
      </w:pPr>
      <w:r>
        <w:rPr>
          <w:rFonts w:ascii="宋体" w:hAnsi="宋体"/>
          <w:color w:val="000000"/>
          <w:sz w:val="44"/>
          <w:szCs w:val="20"/>
        </w:rPr>
        <w:tab/>
      </w:r>
    </w:p>
    <w:p>
      <w:pPr>
        <w:spacing w:line="480" w:lineRule="auto"/>
        <w:rPr>
          <w:rFonts w:ascii="宋体" w:hAnsi="宋体"/>
          <w:color w:val="000000"/>
          <w:sz w:val="44"/>
          <w:szCs w:val="20"/>
        </w:rPr>
      </w:pPr>
    </w:p>
    <w:p>
      <w:pPr>
        <w:spacing w:line="480" w:lineRule="auto"/>
        <w:jc w:val="center"/>
        <w:rPr>
          <w:rFonts w:eastAsia="黑体"/>
          <w:color w:val="000000"/>
          <w:sz w:val="44"/>
        </w:rPr>
      </w:pPr>
      <w:r>
        <w:rPr>
          <w:rFonts w:hint="eastAsia" w:eastAsia="黑体"/>
          <w:color w:val="000000"/>
          <w:sz w:val="44"/>
        </w:rPr>
        <w:t>《</w:t>
      </w:r>
      <w:r>
        <w:rPr>
          <w:rFonts w:hint="eastAsia" w:eastAsia="黑体"/>
          <w:color w:val="000000"/>
          <w:sz w:val="44"/>
          <w:lang w:val="en-US" w:eastAsia="zh-CN"/>
        </w:rPr>
        <w:t>环境微生物实验</w:t>
      </w:r>
      <w:r>
        <w:rPr>
          <w:rFonts w:hint="eastAsia" w:eastAsia="黑体"/>
          <w:color w:val="000000"/>
          <w:sz w:val="44"/>
        </w:rPr>
        <w:t>》教学大纲</w:t>
      </w:r>
    </w:p>
    <w:p>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（第x版）</w:t>
      </w: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rFonts w:hint="eastAsia"/>
          <w:color w:val="000000"/>
          <w:sz w:val="32"/>
          <w:szCs w:val="20"/>
        </w:rPr>
      </w:pPr>
    </w:p>
    <w:p>
      <w:pPr>
        <w:spacing w:line="480" w:lineRule="auto"/>
        <w:rPr>
          <w:color w:val="000000"/>
          <w:sz w:val="32"/>
          <w:szCs w:val="20"/>
        </w:rPr>
      </w:pPr>
    </w:p>
    <w:p>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pPr>
              <w:spacing w:line="480" w:lineRule="auto"/>
              <w:jc w:val="center"/>
              <w:rPr>
                <w:color w:val="000000"/>
                <w:sz w:val="28"/>
              </w:rPr>
            </w:pPr>
          </w:p>
        </w:tc>
      </w:tr>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color w:val="000000"/>
                <w:sz w:val="28"/>
              </w:rPr>
            </w:pPr>
          </w:p>
        </w:tc>
      </w:tr>
    </w:tbl>
    <w:p>
      <w:pPr>
        <w:jc w:val="center"/>
        <w:rPr>
          <w:rFonts w:ascii="仿宋" w:hAnsi="仿宋" w:eastAsia="仿宋"/>
          <w:color w:val="000000"/>
          <w:sz w:val="28"/>
          <w:u w:val="single"/>
        </w:rPr>
      </w:pPr>
    </w:p>
    <w:p>
      <w:pPr>
        <w:jc w:val="center"/>
        <w:rPr>
          <w:rFonts w:ascii="仿宋" w:hAnsi="仿宋" w:eastAsia="仿宋"/>
          <w:color w:val="000000"/>
          <w:sz w:val="28"/>
          <w:u w:val="single"/>
        </w:rPr>
      </w:pPr>
    </w:p>
    <w:p>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6</w:t>
      </w:r>
      <w:bookmarkStart w:id="2" w:name="_GoBack"/>
      <w:bookmarkEnd w:id="2"/>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pPr>
              <w:jc w:val="center"/>
              <w:rPr>
                <w:rFonts w:ascii="仿宋" w:hAnsi="仿宋" w:eastAsia="仿宋"/>
                <w:color w:val="000000"/>
                <w:sz w:val="24"/>
              </w:rPr>
            </w:pPr>
            <w:r>
              <w:rPr>
                <w:rFonts w:hint="eastAsia" w:ascii="仿宋" w:hAnsi="仿宋" w:eastAsia="仿宋" w:cs="仿宋"/>
                <w:color w:val="000000"/>
              </w:rPr>
              <w:t>160307L002</w:t>
            </w:r>
          </w:p>
        </w:tc>
        <w:tc>
          <w:tcPr>
            <w:tcW w:w="1446" w:type="dxa"/>
            <w:vAlign w:val="center"/>
          </w:tcPr>
          <w:p>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pPr>
              <w:jc w:val="center"/>
              <w:rPr>
                <w:rFonts w:ascii="仿宋" w:hAnsi="仿宋" w:eastAsia="仿宋"/>
                <w:color w:val="000000"/>
                <w:sz w:val="24"/>
              </w:rPr>
            </w:pPr>
            <w:r>
              <w:rPr>
                <w:rFonts w:hint="eastAsia" w:hAnsi="仿宋" w:eastAsia="仿宋"/>
                <w:sz w:val="24"/>
                <w:szCs w:val="24"/>
              </w:rPr>
              <w:t>环境微生物学实验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pPr>
              <w:jc w:val="center"/>
              <w:rPr>
                <w:rFonts w:ascii="仿宋" w:hAnsi="仿宋" w:eastAsia="仿宋"/>
                <w:color w:val="000000"/>
                <w:sz w:val="24"/>
              </w:rPr>
            </w:pPr>
            <w:r>
              <w:rPr>
                <w:rFonts w:ascii="仿宋" w:hAnsi="仿宋" w:eastAsia="仿宋"/>
                <w:color w:val="000000"/>
                <w:sz w:val="22"/>
                <w:szCs w:val="21"/>
              </w:rPr>
              <w:t>Environmental Microbiology</w:t>
            </w:r>
            <w:r>
              <w:rPr>
                <w:rFonts w:hint="eastAsia" w:ascii="仿宋" w:hAnsi="仿宋" w:eastAsia="仿宋"/>
                <w:color w:val="000000"/>
                <w:sz w:val="22"/>
                <w:szCs w:val="21"/>
              </w:rPr>
              <w:t xml:space="preserve"> Experiment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pPr>
              <w:jc w:val="center"/>
              <w:rPr>
                <w:rFonts w:hint="default" w:ascii="仿宋" w:hAnsi="仿宋" w:eastAsia="仿宋"/>
                <w:color w:val="FF0000"/>
                <w:sz w:val="24"/>
                <w:lang w:val="en-US" w:eastAsia="zh-CN"/>
              </w:rPr>
            </w:pPr>
            <w:r>
              <w:rPr>
                <w:rFonts w:hint="eastAsia" w:ascii="仿宋" w:hAnsi="仿宋" w:eastAsia="仿宋"/>
                <w:color w:val="000000" w:themeColor="text1"/>
                <w:sz w:val="24"/>
                <w:lang w:val="en-US" w:eastAsia="zh-CN"/>
                <w14:textFill>
                  <w14:solidFill>
                    <w14:schemeClr w14:val="tx1"/>
                  </w14:solidFill>
                </w14:textFill>
              </w:rPr>
              <w:t>环境工程专业必修课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pPr>
              <w:jc w:val="center"/>
              <w:rPr>
                <w:rFonts w:hint="default" w:ascii="仿宋" w:hAnsi="仿宋" w:eastAsia="仿宋"/>
                <w:color w:val="0070C0"/>
                <w:sz w:val="24"/>
                <w:lang w:val="en-US" w:eastAsia="zh-CN"/>
              </w:rPr>
            </w:pPr>
            <w:r>
              <w:rPr>
                <w:rFonts w:hint="eastAsia" w:ascii="仿宋" w:hAnsi="仿宋" w:eastAsia="仿宋"/>
                <w:color w:val="000000" w:themeColor="text1"/>
                <w:sz w:val="24"/>
                <w:lang w:val="en-US" w:eastAsia="zh-CN"/>
                <w14:textFill>
                  <w14:solidFill>
                    <w14:schemeClr w14:val="tx1"/>
                  </w14:solidFill>
                </w14:textFill>
              </w:rPr>
              <w:t>环境工程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1</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0</w:t>
            </w:r>
          </w:p>
        </w:tc>
        <w:tc>
          <w:tcPr>
            <w:tcW w:w="1693" w:type="dxa"/>
            <w:gridSpan w:val="2"/>
            <w:vAlign w:val="center"/>
          </w:tcPr>
          <w:p>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pPr>
              <w:jc w:val="center"/>
              <w:rPr>
                <w:rFonts w:hint="eastAsia" w:ascii="仿宋" w:hAnsi="仿宋" w:eastAsia="仿宋"/>
                <w:color w:val="000000"/>
                <w:sz w:val="24"/>
              </w:rPr>
            </w:pPr>
            <w:r>
              <w:rPr>
                <w:rFonts w:hint="eastAsia" w:hAnsi="仿宋" w:eastAsia="仿宋"/>
                <w:sz w:val="24"/>
                <w:szCs w:val="24"/>
              </w:rPr>
              <w:t>环境微生物学</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pPr>
        <w:spacing w:before="120" w:after="120" w:line="276" w:lineRule="auto"/>
        <w:ind w:firstLine="480" w:firstLineChars="200"/>
        <w:rPr>
          <w:rFonts w:hAnsi="仿宋" w:eastAsia="仿宋"/>
          <w:sz w:val="24"/>
          <w:szCs w:val="24"/>
        </w:rPr>
      </w:pPr>
      <w:r>
        <w:rPr>
          <w:rFonts w:hint="eastAsia" w:hAnsi="仿宋" w:eastAsia="仿宋"/>
          <w:sz w:val="24"/>
          <w:szCs w:val="24"/>
        </w:rPr>
        <w:t>《环境微生物实验》是环境工程专业的必修课，是培养本专业学生研究环境微生物能力的专业基础课程之一。通过完成环境微生物学实验内容，使学生明确环境微生物学的基本理论和分析检测方法，掌握常规分析仪器的使用操作。为学生进一步学习水、气、固等专业必修课提供必需的微生物基本理论知识和实验技能，为学生将来从事环境生物工程相关的科研工作奠定基础。</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pPr>
        <w:spacing w:line="360" w:lineRule="auto"/>
        <w:ind w:left="420" w:leftChars="200" w:firstLine="0" w:firstLineChars="0"/>
        <w:rPr>
          <w:rFonts w:hAnsi="仿宋" w:eastAsia="仿宋"/>
          <w:sz w:val="24"/>
          <w:szCs w:val="24"/>
        </w:rPr>
      </w:pPr>
      <w:r>
        <w:rPr>
          <w:rFonts w:hAnsi="仿宋" w:eastAsia="仿宋"/>
          <w:sz w:val="24"/>
          <w:szCs w:val="24"/>
        </w:rPr>
        <w:t>掌握环境微生物学实验的基本技能和方法，包括微生物的分离、培养、鉴定</w:t>
      </w:r>
    </w:p>
    <w:p>
      <w:pPr>
        <w:spacing w:line="360" w:lineRule="auto"/>
        <w:rPr>
          <w:rFonts w:hAnsi="仿宋" w:eastAsia="仿宋"/>
          <w:sz w:val="24"/>
          <w:szCs w:val="24"/>
        </w:rPr>
      </w:pPr>
      <w:r>
        <w:rPr>
          <w:rFonts w:hAnsi="仿宋" w:eastAsia="仿宋"/>
          <w:sz w:val="24"/>
          <w:szCs w:val="24"/>
        </w:rPr>
        <w:t>和计数等。</w:t>
      </w:r>
    </w:p>
    <w:p>
      <w:pPr>
        <w:spacing w:line="360" w:lineRule="auto"/>
        <w:ind w:left="420" w:leftChars="200" w:firstLine="0" w:firstLineChars="0"/>
        <w:rPr>
          <w:rFonts w:hint="eastAsia" w:ascii="仿宋" w:hAnsi="仿宋" w:eastAsia="仿宋"/>
          <w:b/>
          <w:color w:val="000000"/>
          <w:sz w:val="24"/>
        </w:rPr>
      </w:pPr>
      <w:r>
        <w:rPr>
          <w:rFonts w:hint="eastAsia" w:ascii="仿宋" w:hAnsi="仿宋" w:eastAsia="仿宋"/>
          <w:b/>
          <w:color w:val="000000"/>
          <w:sz w:val="24"/>
        </w:rPr>
        <w:t>课程目标2：</w:t>
      </w:r>
    </w:p>
    <w:p>
      <w:pPr>
        <w:spacing w:line="360" w:lineRule="auto"/>
        <w:ind w:left="420" w:leftChars="200" w:firstLine="0" w:firstLineChars="0"/>
        <w:rPr>
          <w:rFonts w:hAnsi="仿宋" w:eastAsia="仿宋"/>
          <w:sz w:val="24"/>
          <w:szCs w:val="24"/>
        </w:rPr>
      </w:pPr>
      <w:r>
        <w:rPr>
          <w:rFonts w:hAnsi="仿宋" w:eastAsia="仿宋"/>
          <w:sz w:val="24"/>
          <w:szCs w:val="24"/>
        </w:rPr>
        <w:t>理解环境微生物在生态系统中的作用，以及其对环境污染治理和资源利用的</w:t>
      </w:r>
    </w:p>
    <w:p>
      <w:pPr>
        <w:spacing w:line="360" w:lineRule="auto"/>
        <w:rPr>
          <w:rFonts w:hint="eastAsia" w:ascii="仿宋" w:hAnsi="仿宋" w:eastAsia="仿宋"/>
          <w:b/>
          <w:color w:val="000000"/>
          <w:sz w:val="24"/>
          <w:szCs w:val="24"/>
          <w:lang w:val="en-US" w:eastAsia="zh-CN"/>
        </w:rPr>
      </w:pPr>
      <w:r>
        <w:rPr>
          <w:rFonts w:hAnsi="仿宋" w:eastAsia="仿宋"/>
          <w:sz w:val="24"/>
          <w:szCs w:val="24"/>
        </w:rPr>
        <w:t>贡献</w:t>
      </w:r>
      <w:r>
        <w:rPr>
          <w:rFonts w:hint="eastAsia" w:hAnsi="仿宋" w:eastAsia="仿宋"/>
          <w:sz w:val="24"/>
          <w:szCs w:val="24"/>
          <w:lang w:eastAsia="zh-CN"/>
        </w:rPr>
        <w:t>。</w:t>
      </w:r>
    </w:p>
    <w:p>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p>
    <w:p>
      <w:pPr>
        <w:spacing w:line="360" w:lineRule="auto"/>
        <w:ind w:firstLine="480" w:firstLineChars="200"/>
        <w:rPr>
          <w:rFonts w:hAnsi="仿宋" w:eastAsia="仿宋"/>
          <w:sz w:val="24"/>
          <w:szCs w:val="24"/>
        </w:rPr>
      </w:pPr>
      <w:r>
        <w:rPr>
          <w:rFonts w:hAnsi="仿宋" w:eastAsia="仿宋"/>
          <w:sz w:val="24"/>
          <w:szCs w:val="24"/>
        </w:rPr>
        <w:t>培养学生的实验设计能力和独立思考能力，提高其解决环境微生物学问题的能力。</w:t>
      </w:r>
    </w:p>
    <w:p>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4</w:t>
      </w:r>
      <w:r>
        <w:rPr>
          <w:rFonts w:hint="eastAsia" w:ascii="仿宋" w:hAnsi="仿宋" w:eastAsia="仿宋"/>
          <w:b/>
          <w:color w:val="000000"/>
          <w:sz w:val="24"/>
        </w:rPr>
        <w:t>：</w:t>
      </w:r>
    </w:p>
    <w:p>
      <w:pPr>
        <w:snapToGrid w:val="0"/>
        <w:spacing w:line="360" w:lineRule="auto"/>
        <w:ind w:firstLine="480" w:firstLineChars="200"/>
        <w:rPr>
          <w:rFonts w:hAnsi="仿宋" w:eastAsia="仿宋"/>
          <w:sz w:val="24"/>
          <w:szCs w:val="24"/>
        </w:rPr>
      </w:pPr>
      <w:r>
        <w:rPr>
          <w:rFonts w:hAnsi="仿宋" w:eastAsia="仿宋"/>
          <w:sz w:val="24"/>
          <w:szCs w:val="24"/>
        </w:rPr>
        <w:t>培养学生的团队合作精神和创新意识，以适应现代环境科学的发展需求。</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8"/>
        <w:gridCol w:w="2409"/>
        <w:gridCol w:w="2129"/>
        <w:gridCol w:w="1466"/>
      </w:tblGrid>
      <w:tr>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olor w:val="0070C0"/>
                <w:kern w:val="0"/>
                <w:sz w:val="24"/>
                <w:lang w:val="en-US" w:eastAsia="zh-CN"/>
              </w:rPr>
            </w:pPr>
            <w:r>
              <w:rPr>
                <w:rFonts w:hint="eastAsia" w:ascii="仿宋" w:hAnsi="仿宋" w:eastAsia="仿宋"/>
                <w:b/>
                <w:bCs/>
                <w:sz w:val="24"/>
              </w:rPr>
              <w:t>毕业要求1：</w:t>
            </w:r>
            <w:r>
              <w:rPr>
                <w:rFonts w:hAnsi="仿宋" w:eastAsia="仿宋"/>
                <w:sz w:val="24"/>
                <w:szCs w:val="24"/>
              </w:rPr>
              <w:t>掌握环境微生物学实验的基本技能和方法，包括微生物的分离、培养、鉴定和计数等</w:t>
            </w:r>
            <w:r>
              <w:rPr>
                <w:rFonts w:hint="eastAsia" w:hAnsi="仿宋" w:eastAsia="仿宋"/>
                <w:sz w:val="24"/>
                <w:szCs w:val="24"/>
                <w:lang w:eastAsia="zh-CN"/>
              </w:rPr>
              <w:t>。</w:t>
            </w:r>
          </w:p>
        </w:tc>
        <w:tc>
          <w:tcPr>
            <w:tcW w:w="1413" w:type="pct"/>
            <w:tcBorders>
              <w:top w:val="single" w:color="auto" w:sz="4" w:space="0"/>
              <w:left w:val="nil"/>
              <w:bottom w:val="single" w:color="auto" w:sz="4" w:space="0"/>
              <w:right w:val="single" w:color="auto" w:sz="4" w:space="0"/>
            </w:tcBorders>
          </w:tcPr>
          <w:p>
            <w:pPr>
              <w:spacing w:line="276" w:lineRule="auto"/>
              <w:rPr>
                <w:rFonts w:hint="eastAsia" w:ascii="仿宋" w:hAnsi="仿宋" w:eastAsia="仿宋"/>
                <w:b/>
                <w:bCs/>
                <w:color w:val="0070C0"/>
                <w:sz w:val="24"/>
                <w:lang w:eastAsia="zh-CN"/>
              </w:rPr>
            </w:pPr>
            <w:r>
              <w:rPr>
                <w:rFonts w:ascii="仿宋" w:hAnsi="仿宋" w:eastAsia="仿宋"/>
                <w:b/>
                <w:bCs/>
                <w:sz w:val="24"/>
              </w:rPr>
              <w:t>观测点1-</w:t>
            </w:r>
            <w:r>
              <w:rPr>
                <w:rFonts w:hint="eastAsia" w:ascii="仿宋" w:hAnsi="仿宋" w:eastAsia="仿宋"/>
                <w:b/>
                <w:bCs/>
                <w:sz w:val="24"/>
                <w:lang w:val="en-US" w:eastAsia="zh-CN"/>
              </w:rPr>
              <w:t>3、5</w:t>
            </w:r>
            <w:r>
              <w:rPr>
                <w:rFonts w:hint="eastAsia" w:ascii="仿宋" w:hAnsi="仿宋" w:eastAsia="仿宋"/>
                <w:b/>
                <w:bCs/>
                <w:sz w:val="24"/>
              </w:rPr>
              <w:t>：</w:t>
            </w:r>
            <w:r>
              <w:rPr>
                <w:rFonts w:hint="eastAsia" w:eastAsia="仿宋"/>
                <w:sz w:val="24"/>
                <w:szCs w:val="24"/>
              </w:rPr>
              <w:t>学习普通光学显微镜的构造、原理和使用，细菌、放线菌、蓝细菌等原核微生物和酵母菌、霉菌、藻类等真核微生物个体形态的观察</w:t>
            </w:r>
            <w:r>
              <w:rPr>
                <w:rFonts w:hint="eastAsia" w:eastAsia="仿宋"/>
                <w:sz w:val="24"/>
                <w:szCs w:val="24"/>
                <w:lang w:eastAsia="zh-CN"/>
              </w:rPr>
              <w:t>；</w:t>
            </w:r>
            <w:r>
              <w:rPr>
                <w:rFonts w:hint="eastAsia" w:eastAsia="仿宋"/>
                <w:sz w:val="24"/>
                <w:szCs w:val="24"/>
              </w:rPr>
              <w:t>学习血球计数板的结构，血球计数板计细胞数及计算方法，微生物细胞大小的测量</w:t>
            </w:r>
            <w:r>
              <w:rPr>
                <w:rFonts w:hint="eastAsia" w:eastAsia="仿宋"/>
                <w:sz w:val="24"/>
                <w:szCs w:val="24"/>
                <w:lang w:eastAsia="zh-CN"/>
              </w:rPr>
              <w:t>；</w:t>
            </w:r>
            <w:r>
              <w:rPr>
                <w:rFonts w:hint="eastAsia" w:eastAsia="仿宋"/>
                <w:sz w:val="24"/>
                <w:szCs w:val="24"/>
              </w:rPr>
              <w:t>学习细菌的简单染色，细菌的革兰氏染色</w:t>
            </w:r>
            <w:r>
              <w:rPr>
                <w:rFonts w:hint="eastAsia" w:eastAsia="仿宋"/>
                <w:sz w:val="24"/>
                <w:szCs w:val="24"/>
                <w:lang w:eastAsia="zh-CN"/>
              </w:rPr>
              <w:t>；</w:t>
            </w:r>
            <w:r>
              <w:rPr>
                <w:rFonts w:hint="eastAsia" w:eastAsia="仿宋"/>
                <w:sz w:val="24"/>
                <w:szCs w:val="24"/>
              </w:rPr>
              <w:t>学习细菌的纯种分离、培养和接种技术</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sz w:val="24"/>
              </w:rPr>
            </w:pPr>
            <w:r>
              <w:rPr>
                <w:rFonts w:hint="eastAsia" w:ascii="仿宋" w:hAnsi="仿宋" w:eastAsia="仿宋"/>
                <w:color w:val="000000"/>
                <w:kern w:val="0"/>
                <w:sz w:val="24"/>
              </w:rPr>
              <w:t>课程目标1</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仿宋" w:hAnsi="仿宋" w:eastAsia="仿宋"/>
                <w:b/>
                <w:bCs/>
                <w:color w:val="000000"/>
                <w:kern w:val="0"/>
                <w:sz w:val="24"/>
              </w:rPr>
            </w:pPr>
            <w:r>
              <w:rPr>
                <w:rFonts w:hint="eastAsia" w:ascii="仿宋" w:hAnsi="仿宋" w:eastAsia="仿宋"/>
                <w:b/>
                <w:bCs/>
                <w:color w:val="000000"/>
                <w:kern w:val="0"/>
                <w:sz w:val="24"/>
              </w:rPr>
              <w:t>毕业要求2：</w:t>
            </w:r>
            <w:r>
              <w:rPr>
                <w:rFonts w:hAnsi="仿宋" w:eastAsia="仿宋"/>
                <w:sz w:val="24"/>
                <w:szCs w:val="24"/>
              </w:rPr>
              <w:t>理解环境微生物在生态系统中的作用，以及其对环境污染治理和资源利用的贡献</w:t>
            </w:r>
            <w:r>
              <w:rPr>
                <w:rFonts w:hint="eastAsia" w:hAnsi="仿宋" w:eastAsia="仿宋"/>
                <w:sz w:val="24"/>
                <w:szCs w:val="24"/>
                <w:lang w:eastAsia="zh-CN"/>
              </w:rPr>
              <w:t>。</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b/>
                <w:bCs/>
                <w:color w:val="000000"/>
                <w:sz w:val="24"/>
                <w:lang w:eastAsia="zh-CN"/>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4、6</w:t>
            </w:r>
            <w:r>
              <w:rPr>
                <w:rFonts w:hint="eastAsia" w:ascii="仿宋" w:hAnsi="仿宋" w:eastAsia="仿宋"/>
                <w:b/>
                <w:bCs/>
                <w:color w:val="000000"/>
                <w:sz w:val="24"/>
              </w:rPr>
              <w:t>：</w:t>
            </w:r>
            <w:r>
              <w:rPr>
                <w:rFonts w:hint="eastAsia" w:eastAsia="仿宋"/>
                <w:sz w:val="24"/>
                <w:szCs w:val="24"/>
              </w:rPr>
              <w:t>学习培养基的配制和灭菌方法</w:t>
            </w:r>
            <w:r>
              <w:rPr>
                <w:rFonts w:hint="eastAsia" w:eastAsia="仿宋"/>
                <w:sz w:val="24"/>
                <w:szCs w:val="24"/>
                <w:lang w:eastAsia="zh-CN"/>
              </w:rPr>
              <w:t>；</w:t>
            </w:r>
            <w:r>
              <w:rPr>
                <w:rFonts w:hint="eastAsia" w:eastAsia="仿宋"/>
                <w:sz w:val="24"/>
                <w:szCs w:val="24"/>
              </w:rPr>
              <w:t>学会水中细菌菌落总数的测定方法，了解水质和细菌菌落种数的相关性；观察实验五分离出来的几种细菌的个体形态与其相应的菌落形态特征。</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sz w:val="24"/>
              </w:rPr>
            </w:pPr>
            <w:r>
              <w:rPr>
                <w:rFonts w:hint="eastAsia" w:ascii="仿宋" w:hAnsi="仿宋" w:eastAsia="仿宋"/>
                <w:color w:val="000000"/>
                <w:kern w:val="0"/>
                <w:sz w:val="24"/>
              </w:rPr>
              <w:t>课程目标</w:t>
            </w:r>
            <w:r>
              <w:rPr>
                <w:rFonts w:ascii="仿宋" w:hAnsi="仿宋" w:eastAsia="仿宋"/>
                <w:color w:val="000000"/>
                <w:kern w:val="0"/>
                <w:sz w:val="24"/>
              </w:rPr>
              <w:t>2</w:t>
            </w:r>
          </w:p>
        </w:tc>
        <w:tc>
          <w:tcPr>
            <w:tcW w:w="860" w:type="pct"/>
            <w:tcBorders>
              <w:top w:val="single" w:color="auto" w:sz="4" w:space="0"/>
              <w:left w:val="nil"/>
              <w:bottom w:val="single" w:color="auto" w:sz="4" w:space="0"/>
              <w:right w:val="single" w:color="auto" w:sz="4" w:space="0"/>
            </w:tcBorders>
          </w:tcPr>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仿宋" w:hAnsi="仿宋" w:eastAsia="仿宋"/>
                <w:color w:val="000000"/>
                <w:kern w:val="0"/>
                <w:sz w:val="24"/>
              </w:rPr>
            </w:pPr>
            <w:r>
              <w:rPr>
                <w:rFonts w:hint="eastAsia" w:ascii="仿宋" w:hAnsi="仿宋" w:eastAsia="仿宋"/>
                <w:b/>
                <w:bCs/>
                <w:color w:val="000000"/>
                <w:kern w:val="0"/>
                <w:sz w:val="24"/>
              </w:rPr>
              <w:t>毕业要求</w:t>
            </w:r>
            <w:r>
              <w:rPr>
                <w:rFonts w:ascii="仿宋" w:hAnsi="仿宋" w:eastAsia="仿宋"/>
                <w:b/>
                <w:bCs/>
                <w:color w:val="000000"/>
                <w:kern w:val="0"/>
                <w:sz w:val="24"/>
              </w:rPr>
              <w:t>3</w:t>
            </w:r>
            <w:r>
              <w:rPr>
                <w:rFonts w:hint="eastAsia" w:ascii="仿宋" w:hAnsi="仿宋" w:eastAsia="仿宋"/>
                <w:b/>
                <w:bCs/>
                <w:color w:val="000000"/>
                <w:kern w:val="0"/>
                <w:sz w:val="24"/>
              </w:rPr>
              <w:t>：</w:t>
            </w:r>
            <w:r>
              <w:rPr>
                <w:rFonts w:hAnsi="仿宋" w:eastAsia="仿宋"/>
                <w:sz w:val="24"/>
                <w:szCs w:val="24"/>
              </w:rPr>
              <w:t>培养学生的实验设计能力和独立思考能力，提高其解决环境微生物学问题的能力。</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sz w:val="24"/>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7</w:t>
            </w:r>
            <w:r>
              <w:rPr>
                <w:rFonts w:hint="eastAsia" w:ascii="仿宋" w:hAnsi="仿宋" w:eastAsia="仿宋"/>
                <w:b/>
                <w:bCs/>
                <w:color w:val="000000"/>
                <w:sz w:val="24"/>
              </w:rPr>
              <w:t>：</w:t>
            </w:r>
            <w:r>
              <w:rPr>
                <w:rFonts w:hint="eastAsia" w:ascii="仿宋" w:hAnsi="仿宋" w:eastAsia="仿宋" w:cs="仿宋"/>
                <w:sz w:val="24"/>
                <w:szCs w:val="24"/>
              </w:rPr>
              <w:t>了解基因组DNA制备的要点，掌握细菌基因组DNA的快速制备方法；学习掌握实时荧光定量PCR的实验技术，分析仪器自动绘制的扩增图像。</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tcPr>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both"/>
              <w:rPr>
                <w:rFonts w:hint="eastAsia" w:ascii="仿宋" w:hAnsi="仿宋" w:eastAsia="仿宋"/>
                <w:b/>
                <w:bCs/>
                <w:color w:val="000000"/>
                <w:kern w:val="0"/>
                <w:sz w:val="24"/>
                <w:lang w:val="en-US" w:eastAsia="zh-CN"/>
              </w:rPr>
            </w:pPr>
            <w:r>
              <w:rPr>
                <w:rFonts w:hint="eastAsia" w:ascii="仿宋" w:hAnsi="仿宋" w:eastAsia="仿宋"/>
                <w:b/>
                <w:bCs/>
                <w:color w:val="000000"/>
                <w:kern w:val="0"/>
                <w:sz w:val="24"/>
                <w:lang w:val="en-US" w:eastAsia="zh-CN"/>
              </w:rPr>
              <w:t>毕业要求4：</w:t>
            </w:r>
            <w:r>
              <w:rPr>
                <w:rFonts w:hAnsi="仿宋" w:eastAsia="仿宋"/>
                <w:sz w:val="24"/>
                <w:szCs w:val="24"/>
              </w:rPr>
              <w:t>培养学生的团队合作精神和创新意识</w:t>
            </w:r>
            <w:r>
              <w:rPr>
                <w:rFonts w:hint="eastAsia" w:hAnsi="仿宋" w:eastAsia="仿宋"/>
                <w:sz w:val="24"/>
                <w:szCs w:val="24"/>
                <w:lang w:eastAsia="zh-CN"/>
              </w:rPr>
              <w:t>。</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default" w:ascii="仿宋" w:hAnsi="仿宋" w:eastAsia="仿宋"/>
                <w:color w:val="000000"/>
                <w:sz w:val="24"/>
                <w:lang w:val="en-US" w:eastAsia="zh-CN"/>
              </w:rPr>
            </w:pPr>
            <w:r>
              <w:rPr>
                <w:rFonts w:hint="eastAsia" w:ascii="仿宋" w:hAnsi="仿宋" w:eastAsia="仿宋"/>
                <w:color w:val="000000"/>
                <w:sz w:val="24"/>
                <w:lang w:val="en-US" w:eastAsia="zh-CN"/>
              </w:rPr>
              <w:t>观测点1-7</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课程目标4</w:t>
            </w:r>
          </w:p>
        </w:tc>
        <w:tc>
          <w:tcPr>
            <w:tcW w:w="860" w:type="pct"/>
            <w:tcBorders>
              <w:top w:val="single" w:color="auto" w:sz="4" w:space="0"/>
              <w:left w:val="nil"/>
              <w:bottom w:val="single" w:color="auto" w:sz="4" w:space="0"/>
              <w:right w:val="single" w:color="auto" w:sz="4" w:space="0"/>
            </w:tcBorders>
          </w:tcPr>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44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
        <w:gridCol w:w="831"/>
        <w:gridCol w:w="1529"/>
        <w:gridCol w:w="452"/>
        <w:gridCol w:w="1833"/>
        <w:gridCol w:w="845"/>
        <w:gridCol w:w="845"/>
        <w:gridCol w:w="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45"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001"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96"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200" w:type="pct"/>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1</w:t>
            </w:r>
          </w:p>
        </w:tc>
        <w:tc>
          <w:tcPr>
            <w:tcW w:w="545"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sz w:val="24"/>
                <w:szCs w:val="24"/>
              </w:rPr>
              <w:t>光学显微镜的操作和微生物个体形态的</w:t>
            </w:r>
            <w:r>
              <w:rPr>
                <w:rFonts w:hint="eastAsia" w:eastAsia="仿宋"/>
                <w:sz w:val="24"/>
                <w:szCs w:val="24"/>
                <w:lang w:val="en-US" w:eastAsia="zh-CN"/>
              </w:rPr>
              <w:t>观</w:t>
            </w:r>
            <w:r>
              <w:rPr>
                <w:rFonts w:hint="eastAsia" w:eastAsia="仿宋"/>
                <w:sz w:val="24"/>
                <w:szCs w:val="24"/>
              </w:rPr>
              <w:t>察</w:t>
            </w:r>
          </w:p>
        </w:tc>
        <w:tc>
          <w:tcPr>
            <w:tcW w:w="1001"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sz w:val="24"/>
                <w:szCs w:val="24"/>
              </w:rPr>
              <w:t>学习普通光学显微镜的构造、原理和使用，细菌、放线菌、蓝细菌等原核微生物和酵母菌、霉菌、藻类等真核微生物个体形态的观察。</w:t>
            </w:r>
          </w:p>
        </w:tc>
        <w:tc>
          <w:tcPr>
            <w:tcW w:w="29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default" w:ascii="Times New Roman" w:hAnsi="Times New Roman" w:eastAsia="仿宋" w:cs="Times New Roman"/>
                <w:b/>
                <w:bCs w:val="0"/>
                <w:color w:val="000000" w:themeColor="text1"/>
                <w:spacing w:val="-3"/>
                <w:sz w:val="24"/>
                <w:lang w:val="en-US" w:eastAsia="zh-CN"/>
                <w14:textFill>
                  <w14:solidFill>
                    <w14:schemeClr w14:val="tx1"/>
                  </w14:solidFill>
                </w14:textFill>
              </w:rPr>
              <w:t>4</w:t>
            </w:r>
          </w:p>
        </w:tc>
        <w:tc>
          <w:tcPr>
            <w:tcW w:w="1200"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val="0"/>
                <w:bCs/>
                <w:spacing w:val="-3"/>
                <w:sz w:val="24"/>
                <w:lang w:val="en-US" w:eastAsia="zh-CN"/>
              </w:rPr>
              <w:t>重点：了解并观察细菌（如球菌、杆菌、螺旋菌）、真菌（如菌丝、菌丝变态）和放线菌的基本形态；观察并理解细菌的特殊结构，如荚膜、鞭毛、菌毛、芽孢等，以及这些结构在微生物生命活动中的作用；熟练使用普通光学显微镜、镜油、镜头纸、擦镜液等实验器材。</w:t>
            </w:r>
          </w:p>
        </w:tc>
        <w:tc>
          <w:tcPr>
            <w:tcW w:w="553" w:type="pct"/>
            <w:vMerge w:val="restart"/>
          </w:tcPr>
          <w:p>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sz w:val="24"/>
                <w:szCs w:val="24"/>
              </w:rPr>
              <w:t>注重培养学生的思维能力，采用理论与实践相结合，理论讲述与案例分析相结合的方法进行教学，培养和提高学生分析问题和解决问题的能力。</w:t>
            </w:r>
          </w:p>
        </w:tc>
        <w:tc>
          <w:tcPr>
            <w:tcW w:w="553" w:type="pct"/>
            <w:vMerge w:val="restart"/>
            <w:vAlign w:val="center"/>
          </w:tcPr>
          <w:p>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val="0"/>
                <w:bCs/>
                <w:spacing w:val="-3"/>
                <w:sz w:val="24"/>
                <w:lang w:val="en-US" w:eastAsia="zh-CN"/>
              </w:rPr>
              <w:t>所有实验平均值</w:t>
            </w:r>
          </w:p>
        </w:tc>
        <w:tc>
          <w:tcPr>
            <w:tcW w:w="553" w:type="pct"/>
            <w:vAlign w:val="center"/>
          </w:tcPr>
          <w:p>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spacing w:val="-3"/>
                <w:sz w:val="24"/>
                <w:lang w:val="en-US" w:eastAsia="zh-CN"/>
              </w:rPr>
              <w:t>目标一、四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2</w:t>
            </w:r>
          </w:p>
        </w:tc>
        <w:tc>
          <w:tcPr>
            <w:tcW w:w="545"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sz w:val="24"/>
                <w:szCs w:val="24"/>
              </w:rPr>
              <w:t>微生物的细胞计数和测量</w:t>
            </w:r>
          </w:p>
        </w:tc>
        <w:tc>
          <w:tcPr>
            <w:tcW w:w="1001"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sz w:val="24"/>
                <w:szCs w:val="24"/>
              </w:rPr>
              <w:t>学习血球计数板的结构，血球计数板计细胞数及计算方法，微生物细胞大小的测量。</w:t>
            </w:r>
          </w:p>
        </w:tc>
        <w:tc>
          <w:tcPr>
            <w:tcW w:w="29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4</w:t>
            </w:r>
          </w:p>
        </w:tc>
        <w:tc>
          <w:tcPr>
            <w:tcW w:w="1200"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val="0"/>
                <w:bCs/>
                <w:spacing w:val="-3"/>
                <w:sz w:val="24"/>
                <w:lang w:val="en-US" w:eastAsia="zh-CN"/>
              </w:rPr>
              <w:t>重点：</w:t>
            </w:r>
            <w:r>
              <w:rPr>
                <w:rFonts w:hint="eastAsia" w:eastAsia="仿宋"/>
                <w:sz w:val="24"/>
                <w:szCs w:val="24"/>
              </w:rPr>
              <w:t>学习血球计数板的结构，血球计数板计细胞数及计算方法，微生物细胞大小的测量。</w:t>
            </w:r>
          </w:p>
        </w:tc>
        <w:tc>
          <w:tcPr>
            <w:tcW w:w="553" w:type="pct"/>
            <w:vMerge w:val="continue"/>
            <w:tcBorders/>
          </w:tcPr>
          <w:p>
            <w:pPr>
              <w:suppressAutoHyphens/>
              <w:spacing w:before="156" w:beforeLines="50" w:after="156" w:afterLines="50" w:line="276" w:lineRule="auto"/>
              <w:jc w:val="center"/>
              <w:rPr>
                <w:rFonts w:hint="eastAsia" w:eastAsia="仿宋"/>
                <w:b/>
                <w:spacing w:val="-3"/>
                <w:sz w:val="24"/>
                <w:lang w:val="en-GB"/>
              </w:rPr>
            </w:pPr>
          </w:p>
        </w:tc>
        <w:tc>
          <w:tcPr>
            <w:tcW w:w="553" w:type="pct"/>
            <w:vMerge w:val="continue"/>
            <w:tcBorders/>
            <w:vAlign w:val="center"/>
          </w:tcPr>
          <w:p>
            <w:pPr>
              <w:suppressAutoHyphens/>
              <w:spacing w:before="156" w:beforeLines="50" w:after="156" w:afterLines="50" w:line="276" w:lineRule="auto"/>
              <w:jc w:val="center"/>
              <w:rPr>
                <w:rFonts w:hint="eastAsia" w:eastAsia="仿宋"/>
                <w:b/>
                <w:spacing w:val="-3"/>
                <w:sz w:val="24"/>
                <w:lang w:val="en-GB"/>
              </w:rPr>
            </w:pPr>
          </w:p>
        </w:tc>
        <w:tc>
          <w:tcPr>
            <w:tcW w:w="553" w:type="pct"/>
            <w:vAlign w:val="center"/>
          </w:tcPr>
          <w:p>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spacing w:val="-3"/>
                <w:sz w:val="24"/>
                <w:lang w:val="en-US" w:eastAsia="zh-CN"/>
              </w:rPr>
              <w:t>目标一、四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3</w:t>
            </w:r>
          </w:p>
        </w:tc>
        <w:tc>
          <w:tcPr>
            <w:tcW w:w="545"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sz w:val="24"/>
                <w:szCs w:val="24"/>
              </w:rPr>
              <w:t>细菌的简单染色和革兰氏染色</w:t>
            </w:r>
          </w:p>
        </w:tc>
        <w:tc>
          <w:tcPr>
            <w:tcW w:w="1001"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sz w:val="24"/>
                <w:szCs w:val="24"/>
              </w:rPr>
              <w:t>学习细菌的简单染色，细菌的革兰氏染色。</w:t>
            </w:r>
          </w:p>
        </w:tc>
        <w:tc>
          <w:tcPr>
            <w:tcW w:w="29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4</w:t>
            </w:r>
          </w:p>
        </w:tc>
        <w:tc>
          <w:tcPr>
            <w:tcW w:w="1200"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val="0"/>
                <w:bCs/>
                <w:spacing w:val="-3"/>
                <w:sz w:val="24"/>
                <w:lang w:val="en-US" w:eastAsia="zh-CN"/>
              </w:rPr>
              <w:t>重点：</w:t>
            </w:r>
            <w:r>
              <w:rPr>
                <w:rFonts w:hint="eastAsia" w:eastAsia="仿宋"/>
                <w:sz w:val="24"/>
                <w:szCs w:val="24"/>
              </w:rPr>
              <w:t>学习细菌的简单染色，细菌的革兰氏染色。</w:t>
            </w:r>
          </w:p>
        </w:tc>
        <w:tc>
          <w:tcPr>
            <w:tcW w:w="553" w:type="pct"/>
            <w:vMerge w:val="continue"/>
            <w:tcBorders/>
          </w:tcPr>
          <w:p>
            <w:pPr>
              <w:suppressAutoHyphens/>
              <w:spacing w:before="156" w:beforeLines="50" w:after="156" w:afterLines="50" w:line="276" w:lineRule="auto"/>
              <w:jc w:val="center"/>
              <w:rPr>
                <w:rFonts w:hint="eastAsia" w:eastAsia="仿宋"/>
                <w:b/>
                <w:spacing w:val="-3"/>
                <w:sz w:val="24"/>
                <w:lang w:val="en-GB"/>
              </w:rPr>
            </w:pPr>
          </w:p>
        </w:tc>
        <w:tc>
          <w:tcPr>
            <w:tcW w:w="553" w:type="pct"/>
            <w:vMerge w:val="continue"/>
            <w:tcBorders/>
            <w:vAlign w:val="center"/>
          </w:tcPr>
          <w:p>
            <w:pPr>
              <w:suppressAutoHyphens/>
              <w:spacing w:before="156" w:beforeLines="50" w:after="156" w:afterLines="50" w:line="276" w:lineRule="auto"/>
              <w:jc w:val="center"/>
              <w:rPr>
                <w:rFonts w:hint="eastAsia" w:eastAsia="仿宋"/>
                <w:b/>
                <w:spacing w:val="-3"/>
                <w:sz w:val="24"/>
                <w:lang w:val="en-GB"/>
              </w:rPr>
            </w:pPr>
          </w:p>
        </w:tc>
        <w:tc>
          <w:tcPr>
            <w:tcW w:w="553" w:type="pct"/>
            <w:vAlign w:val="center"/>
          </w:tcPr>
          <w:p>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spacing w:val="-3"/>
                <w:sz w:val="24"/>
                <w:lang w:val="en-US" w:eastAsia="zh-CN"/>
              </w:rPr>
              <w:t>目标一、四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4</w:t>
            </w:r>
          </w:p>
        </w:tc>
        <w:tc>
          <w:tcPr>
            <w:tcW w:w="545"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sz w:val="24"/>
                <w:szCs w:val="24"/>
              </w:rPr>
              <w:t>培养基的配制与灭菌</w:t>
            </w:r>
          </w:p>
        </w:tc>
        <w:tc>
          <w:tcPr>
            <w:tcW w:w="1001"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sz w:val="24"/>
                <w:szCs w:val="24"/>
              </w:rPr>
              <w:t>学习培养基的配制和灭菌方法。</w:t>
            </w:r>
          </w:p>
        </w:tc>
        <w:tc>
          <w:tcPr>
            <w:tcW w:w="29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200" w:type="pct"/>
            <w:vAlign w:val="center"/>
          </w:tcPr>
          <w:p>
            <w:pPr>
              <w:suppressAutoHyphens/>
              <w:spacing w:before="156" w:beforeLines="50" w:after="156" w:afterLines="50" w:line="276" w:lineRule="auto"/>
              <w:jc w:val="center"/>
              <w:rPr>
                <w:rFonts w:hint="default" w:eastAsia="仿宋"/>
                <w:b w:val="0"/>
                <w:bCs/>
                <w:spacing w:val="-3"/>
                <w:sz w:val="24"/>
                <w:lang w:val="en-US" w:eastAsia="zh-CN"/>
              </w:rPr>
            </w:pPr>
            <w:r>
              <w:rPr>
                <w:rFonts w:hint="eastAsia" w:eastAsia="仿宋"/>
                <w:b w:val="0"/>
                <w:bCs/>
                <w:spacing w:val="-3"/>
                <w:sz w:val="24"/>
                <w:lang w:val="en-US" w:eastAsia="zh-CN"/>
              </w:rPr>
              <w:t>重点：根据培养基的类型和成分，选择适当的灭菌条件（如温度、时间等），含糖量较高的培养基需要特别注意温度控制，避免糖分焦化；熟练掌握灭菌设备的操作方法，确保设备正常运行并达到预期的灭菌效果；灭菌后的培养基需要妥善处理，如摇匀、分装等，以确保其质量和适用性。</w:t>
            </w:r>
          </w:p>
        </w:tc>
        <w:tc>
          <w:tcPr>
            <w:tcW w:w="553" w:type="pct"/>
            <w:vMerge w:val="continue"/>
            <w:tcBorders/>
          </w:tcPr>
          <w:p>
            <w:pPr>
              <w:suppressAutoHyphens/>
              <w:spacing w:before="156" w:beforeLines="50" w:after="156" w:afterLines="50" w:line="276" w:lineRule="auto"/>
              <w:jc w:val="center"/>
              <w:rPr>
                <w:rFonts w:hint="eastAsia" w:eastAsia="仿宋"/>
                <w:b/>
                <w:spacing w:val="-3"/>
                <w:sz w:val="24"/>
                <w:lang w:val="en-GB"/>
              </w:rPr>
            </w:pPr>
          </w:p>
        </w:tc>
        <w:tc>
          <w:tcPr>
            <w:tcW w:w="553" w:type="pct"/>
            <w:vMerge w:val="continue"/>
            <w:tcBorders/>
            <w:vAlign w:val="center"/>
          </w:tcPr>
          <w:p>
            <w:pPr>
              <w:suppressAutoHyphens/>
              <w:spacing w:before="156" w:beforeLines="50" w:after="156" w:afterLines="50" w:line="276" w:lineRule="auto"/>
              <w:jc w:val="center"/>
              <w:rPr>
                <w:rFonts w:hint="eastAsia" w:eastAsia="仿宋"/>
                <w:b/>
                <w:spacing w:val="-3"/>
                <w:sz w:val="24"/>
                <w:lang w:val="en-GB"/>
              </w:rPr>
            </w:pPr>
          </w:p>
        </w:tc>
        <w:tc>
          <w:tcPr>
            <w:tcW w:w="553" w:type="pct"/>
            <w:vAlign w:val="center"/>
          </w:tcPr>
          <w:p>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spacing w:val="-3"/>
                <w:sz w:val="24"/>
                <w:lang w:val="en-US" w:eastAsia="zh-CN"/>
              </w:rPr>
              <w:t>目标一、三、四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5</w:t>
            </w:r>
          </w:p>
        </w:tc>
        <w:tc>
          <w:tcPr>
            <w:tcW w:w="545" w:type="pct"/>
            <w:shd w:val="clear" w:color="auto" w:fill="auto"/>
            <w:vAlign w:val="center"/>
          </w:tcPr>
          <w:p>
            <w:pPr>
              <w:suppressAutoHyphens/>
              <w:spacing w:before="156" w:beforeLines="50" w:after="156" w:afterLines="50" w:line="276" w:lineRule="auto"/>
              <w:jc w:val="center"/>
              <w:rPr>
                <w:rFonts w:hint="eastAsia" w:eastAsia="仿宋"/>
                <w:szCs w:val="21"/>
              </w:rPr>
            </w:pPr>
            <w:r>
              <w:rPr>
                <w:rFonts w:hint="eastAsia" w:eastAsia="仿宋"/>
                <w:sz w:val="24"/>
                <w:szCs w:val="24"/>
              </w:rPr>
              <w:t>细菌的纯种分离、培养和接种技术</w:t>
            </w:r>
          </w:p>
        </w:tc>
        <w:tc>
          <w:tcPr>
            <w:tcW w:w="1001"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sz w:val="24"/>
                <w:szCs w:val="24"/>
              </w:rPr>
              <w:t>学习细菌的纯种分离、培养和接种技术</w:t>
            </w:r>
          </w:p>
        </w:tc>
        <w:tc>
          <w:tcPr>
            <w:tcW w:w="29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200"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val="0"/>
                <w:bCs/>
                <w:spacing w:val="-3"/>
                <w:sz w:val="24"/>
                <w:lang w:val="en-US" w:eastAsia="zh-CN"/>
              </w:rPr>
              <w:t>重点：稀释与涂布：稀释液的制备和涂布过程要准确、均匀，以确保细菌在平板上分布均匀；培养箱的温度、湿度等条件要适宜，以确保细菌能够正常生长；根据菌落的形态、颜色、大小等特征进行筛选，确保选出的菌落为目标细菌；接种时要确保接种环或接种针无菌，避免污染。</w:t>
            </w:r>
          </w:p>
        </w:tc>
        <w:tc>
          <w:tcPr>
            <w:tcW w:w="553" w:type="pct"/>
            <w:vMerge w:val="continue"/>
            <w:tcBorders/>
          </w:tcPr>
          <w:p>
            <w:pPr>
              <w:suppressAutoHyphens/>
              <w:spacing w:before="156" w:beforeLines="50" w:after="156" w:afterLines="50" w:line="276" w:lineRule="auto"/>
              <w:jc w:val="center"/>
              <w:rPr>
                <w:rFonts w:hint="eastAsia" w:eastAsia="仿宋"/>
                <w:b/>
                <w:spacing w:val="-3"/>
                <w:sz w:val="24"/>
                <w:lang w:val="en-GB"/>
              </w:rPr>
            </w:pPr>
          </w:p>
        </w:tc>
        <w:tc>
          <w:tcPr>
            <w:tcW w:w="553" w:type="pct"/>
            <w:vMerge w:val="continue"/>
            <w:tcBorders/>
            <w:vAlign w:val="center"/>
          </w:tcPr>
          <w:p>
            <w:pPr>
              <w:suppressAutoHyphens/>
              <w:spacing w:before="156" w:beforeLines="50" w:after="156" w:afterLines="50" w:line="276" w:lineRule="auto"/>
              <w:jc w:val="center"/>
              <w:rPr>
                <w:rFonts w:hint="eastAsia" w:eastAsia="仿宋"/>
                <w:b/>
                <w:spacing w:val="-3"/>
                <w:sz w:val="24"/>
                <w:lang w:val="en-GB"/>
              </w:rPr>
            </w:pPr>
          </w:p>
        </w:tc>
        <w:tc>
          <w:tcPr>
            <w:tcW w:w="553" w:type="pct"/>
            <w:vAlign w:val="center"/>
          </w:tcPr>
          <w:p>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spacing w:val="-3"/>
                <w:sz w:val="24"/>
                <w:lang w:val="en-US" w:eastAsia="zh-CN"/>
              </w:rPr>
              <w:t>目标一、二、四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6</w:t>
            </w:r>
          </w:p>
        </w:tc>
        <w:tc>
          <w:tcPr>
            <w:tcW w:w="545" w:type="pct"/>
            <w:shd w:val="clear" w:color="auto" w:fill="auto"/>
            <w:vAlign w:val="center"/>
          </w:tcPr>
          <w:p>
            <w:pPr>
              <w:suppressAutoHyphens/>
              <w:spacing w:before="156" w:beforeLines="50" w:after="156" w:afterLines="50" w:line="276" w:lineRule="auto"/>
              <w:jc w:val="center"/>
              <w:rPr>
                <w:rFonts w:hint="eastAsia" w:eastAsia="仿宋"/>
                <w:szCs w:val="21"/>
              </w:rPr>
            </w:pPr>
            <w:r>
              <w:rPr>
                <w:rFonts w:hint="eastAsia" w:eastAsia="仿宋"/>
                <w:sz w:val="24"/>
                <w:szCs w:val="24"/>
              </w:rPr>
              <w:t>细菌菌落总数的测定及纯培养菌种的菌体、菌落形态的观察</w:t>
            </w:r>
          </w:p>
        </w:tc>
        <w:tc>
          <w:tcPr>
            <w:tcW w:w="1001"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sz w:val="24"/>
                <w:szCs w:val="24"/>
              </w:rPr>
              <w:t>学会水中细菌菌落总数的测定方法，了解水质和细菌菌落种数的相关性；观察实验五分离出来的几种细菌的个体形态与其相应的菌落形态特征。</w:t>
            </w:r>
          </w:p>
        </w:tc>
        <w:tc>
          <w:tcPr>
            <w:tcW w:w="29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4</w:t>
            </w:r>
          </w:p>
        </w:tc>
        <w:tc>
          <w:tcPr>
            <w:tcW w:w="1200" w:type="pct"/>
            <w:vAlign w:val="center"/>
          </w:tcPr>
          <w:p>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val="0"/>
                <w:bCs/>
                <w:spacing w:val="-3"/>
                <w:sz w:val="24"/>
                <w:lang w:val="en-US" w:eastAsia="zh-CN"/>
              </w:rPr>
              <w:t>重点：</w:t>
            </w:r>
            <w:r>
              <w:rPr>
                <w:rFonts w:hint="eastAsia" w:eastAsia="仿宋"/>
                <w:sz w:val="24"/>
                <w:szCs w:val="24"/>
              </w:rPr>
              <w:t>学会水中细菌菌落总数的测定方法，了解水质和细菌菌落种数的相关性；观察实验五分离出来的几种细菌的个体形态与其相应的菌落形态特征。</w:t>
            </w:r>
          </w:p>
        </w:tc>
        <w:tc>
          <w:tcPr>
            <w:tcW w:w="553" w:type="pct"/>
            <w:vMerge w:val="continue"/>
            <w:tcBorders/>
          </w:tcPr>
          <w:p>
            <w:pPr>
              <w:suppressAutoHyphens/>
              <w:spacing w:before="156" w:beforeLines="50" w:after="156" w:afterLines="50" w:line="276" w:lineRule="auto"/>
              <w:jc w:val="center"/>
              <w:rPr>
                <w:rFonts w:hint="eastAsia" w:eastAsia="仿宋"/>
                <w:b/>
                <w:spacing w:val="-3"/>
                <w:sz w:val="24"/>
                <w:lang w:val="en-GB"/>
              </w:rPr>
            </w:pPr>
          </w:p>
        </w:tc>
        <w:tc>
          <w:tcPr>
            <w:tcW w:w="553" w:type="pct"/>
            <w:vMerge w:val="continue"/>
            <w:tcBorders/>
            <w:vAlign w:val="center"/>
          </w:tcPr>
          <w:p>
            <w:pPr>
              <w:suppressAutoHyphens/>
              <w:spacing w:before="156" w:beforeLines="50" w:after="156" w:afterLines="50" w:line="276" w:lineRule="auto"/>
              <w:jc w:val="center"/>
              <w:rPr>
                <w:rFonts w:hint="eastAsia" w:eastAsia="仿宋"/>
                <w:b/>
                <w:spacing w:val="-3"/>
                <w:sz w:val="24"/>
                <w:lang w:val="en-GB"/>
              </w:rPr>
            </w:pPr>
          </w:p>
        </w:tc>
        <w:tc>
          <w:tcPr>
            <w:tcW w:w="553" w:type="pct"/>
            <w:vAlign w:val="center"/>
          </w:tcPr>
          <w:p>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spacing w:val="-3"/>
                <w:sz w:val="24"/>
                <w:lang w:val="en-US" w:eastAsia="zh-CN"/>
              </w:rPr>
              <w:t>目标一、二、四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7</w:t>
            </w:r>
          </w:p>
        </w:tc>
        <w:tc>
          <w:tcPr>
            <w:tcW w:w="545" w:type="pct"/>
            <w:shd w:val="clear" w:color="auto" w:fill="auto"/>
            <w:vAlign w:val="center"/>
          </w:tcPr>
          <w:p>
            <w:pPr>
              <w:suppressAutoHyphens/>
              <w:spacing w:before="156" w:beforeLines="50" w:after="156" w:afterLines="50" w:line="276" w:lineRule="auto"/>
              <w:jc w:val="center"/>
              <w:rPr>
                <w:rFonts w:hint="eastAsia" w:eastAsia="仿宋"/>
                <w:szCs w:val="21"/>
              </w:rPr>
            </w:pPr>
            <w:r>
              <w:rPr>
                <w:rFonts w:hint="eastAsia" w:ascii="仿宋" w:hAnsi="仿宋" w:eastAsia="仿宋" w:cs="仿宋"/>
                <w:sz w:val="24"/>
                <w:szCs w:val="24"/>
              </w:rPr>
              <w:t>环境微生物基因组DNA的提取及荧光定量PCR</w:t>
            </w:r>
          </w:p>
        </w:tc>
        <w:tc>
          <w:tcPr>
            <w:tcW w:w="1001"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cs="仿宋"/>
                <w:sz w:val="24"/>
                <w:szCs w:val="24"/>
              </w:rPr>
              <w:t>了解基因组DNA制备的要点，掌握细菌基因组DNA的快速制备方法；学习掌握实时荧光定量PCR的实验技术，分析仪器自动绘制的扩增图像。</w:t>
            </w:r>
          </w:p>
        </w:tc>
        <w:tc>
          <w:tcPr>
            <w:tcW w:w="29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4</w:t>
            </w:r>
          </w:p>
        </w:tc>
        <w:tc>
          <w:tcPr>
            <w:tcW w:w="1200"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val="0"/>
                <w:bCs/>
                <w:spacing w:val="-3"/>
                <w:sz w:val="24"/>
                <w:lang w:val="en-US" w:eastAsia="zh-CN"/>
              </w:rPr>
              <w:t>重点：</w:t>
            </w:r>
            <w:r>
              <w:rPr>
                <w:rFonts w:hint="eastAsia" w:ascii="仿宋" w:hAnsi="仿宋" w:eastAsia="仿宋" w:cs="仿宋"/>
                <w:sz w:val="24"/>
                <w:szCs w:val="24"/>
              </w:rPr>
              <w:t>了解基因组DNA制备的要点，掌握细菌基因组DNA的快速制备方法；学习掌握实时荧光定量PCR的实验技术，分析仪器自动绘制的扩增图像。</w:t>
            </w:r>
          </w:p>
        </w:tc>
        <w:tc>
          <w:tcPr>
            <w:tcW w:w="553" w:type="pct"/>
            <w:vMerge w:val="continue"/>
            <w:tcBorders/>
          </w:tcPr>
          <w:p>
            <w:pPr>
              <w:suppressAutoHyphens/>
              <w:spacing w:before="156" w:beforeLines="50" w:after="156" w:afterLines="50" w:line="276" w:lineRule="auto"/>
              <w:jc w:val="center"/>
              <w:rPr>
                <w:rFonts w:hint="eastAsia" w:eastAsia="仿宋"/>
                <w:b/>
                <w:spacing w:val="-3"/>
                <w:sz w:val="24"/>
                <w:lang w:val="en-GB"/>
              </w:rPr>
            </w:pPr>
          </w:p>
        </w:tc>
        <w:tc>
          <w:tcPr>
            <w:tcW w:w="553" w:type="pct"/>
            <w:vMerge w:val="continue"/>
            <w:tcBorders/>
            <w:vAlign w:val="center"/>
          </w:tcPr>
          <w:p>
            <w:pPr>
              <w:suppressAutoHyphens/>
              <w:spacing w:before="156" w:beforeLines="50" w:after="156" w:afterLines="50" w:line="276" w:lineRule="auto"/>
              <w:jc w:val="center"/>
              <w:rPr>
                <w:rFonts w:hint="eastAsia" w:eastAsia="仿宋"/>
                <w:b/>
                <w:spacing w:val="-3"/>
                <w:sz w:val="24"/>
                <w:lang w:val="en-GB"/>
              </w:rPr>
            </w:pPr>
          </w:p>
        </w:tc>
        <w:tc>
          <w:tcPr>
            <w:tcW w:w="553"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目标</w:t>
            </w:r>
          </w:p>
        </w:tc>
      </w:tr>
    </w:tbl>
    <w:p>
      <w:pPr>
        <w:spacing w:after="156" w:afterLines="50" w:line="400" w:lineRule="exact"/>
        <w:rPr>
          <w:rFonts w:hint="eastAsia" w:eastAsia="仿宋"/>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pPr>
        <w:snapToGrid w:val="0"/>
        <w:spacing w:line="360" w:lineRule="auto"/>
        <w:ind w:firstLine="482" w:firstLineChars="200"/>
        <w:rPr>
          <w:rFonts w:hint="eastAsia" w:ascii="仿宋" w:hAnsi="仿宋" w:eastAsia="仿宋"/>
          <w:color w:val="FF0000"/>
          <w:sz w:val="24"/>
          <w:lang w:val="en-US" w:eastAsia="zh-CN"/>
        </w:rPr>
      </w:pPr>
      <w:r>
        <w:rPr>
          <w:rFonts w:hint="eastAsia" w:ascii="仿宋" w:hAnsi="仿宋" w:eastAsia="仿宋"/>
          <w:b/>
          <w:color w:val="000000"/>
          <w:sz w:val="24"/>
        </w:rPr>
        <w:t>（一）成绩评定方式：</w:t>
      </w:r>
      <w:r>
        <w:rPr>
          <w:rFonts w:ascii="仿宋" w:hAnsi="仿宋" w:eastAsia="仿宋"/>
          <w:color w:val="FF0000"/>
          <w:sz w:val="24"/>
        </w:rPr>
        <w:t xml:space="preserve"> </w:t>
      </w:r>
      <w:r>
        <w:rPr>
          <w:rFonts w:hint="eastAsia" w:ascii="仿宋" w:hAnsi="仿宋" w:eastAsia="仿宋"/>
          <w:color w:val="000000" w:themeColor="text1"/>
          <w:sz w:val="24"/>
          <w:lang w:val="en-US" w:eastAsia="zh-CN"/>
          <w14:textFill>
            <w14:solidFill>
              <w14:schemeClr w14:val="tx1"/>
            </w14:solidFill>
          </w14:textFill>
        </w:rPr>
        <w:t>百分制</w:t>
      </w:r>
    </w:p>
    <w:p>
      <w:pPr>
        <w:snapToGrid w:val="0"/>
        <w:spacing w:line="360" w:lineRule="auto"/>
        <w:ind w:firstLine="482" w:firstLineChars="200"/>
        <w:rPr>
          <w:rFonts w:hint="default" w:eastAsia="仿宋"/>
          <w:sz w:val="24"/>
          <w:lang w:val="en-US" w:eastAsia="zh-CN"/>
        </w:rPr>
      </w:pPr>
      <w:r>
        <w:rPr>
          <w:rFonts w:hint="eastAsia" w:ascii="仿宋" w:hAnsi="仿宋" w:eastAsia="仿宋"/>
          <w:b/>
          <w:color w:val="000000"/>
          <w:sz w:val="24"/>
        </w:rPr>
        <w:t>（二）成绩构成：</w:t>
      </w:r>
      <w:r>
        <w:rPr>
          <w:rFonts w:hint="eastAsia" w:eastAsia="仿宋"/>
          <w:sz w:val="24"/>
          <w:lang w:val="en-US" w:eastAsia="zh-CN"/>
        </w:rPr>
        <w:t>所有实验成绩平均</w:t>
      </w:r>
    </w:p>
    <w:p>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10"/>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410"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2035"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实验考核</w:t>
            </w:r>
          </w:p>
        </w:tc>
        <w:tc>
          <w:tcPr>
            <w:tcW w:w="761"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实验或实操</w:t>
            </w:r>
          </w:p>
        </w:tc>
        <w:tc>
          <w:tcPr>
            <w:tcW w:w="79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2410" w:type="dxa"/>
          </w:tcPr>
          <w:p>
            <w:pPr>
              <w:numPr>
                <w:ilvl w:val="0"/>
                <w:numId w:val="1"/>
              </w:numPr>
              <w:snapToGrid w:val="0"/>
              <w:spacing w:line="360" w:lineRule="auto"/>
              <w:jc w:val="left"/>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根据对实验的了解程度，正确使用实验仪器和材料，掌握实验操作的步骤和操作技巧；</w:t>
            </w:r>
          </w:p>
          <w:p>
            <w:pPr>
              <w:numPr>
                <w:ilvl w:val="0"/>
                <w:numId w:val="1"/>
              </w:numPr>
              <w:snapToGrid w:val="0"/>
              <w:spacing w:line="360" w:lineRule="auto"/>
              <w:jc w:val="left"/>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在实验过程中需要保持良好的实验态度，如认真观察、细心操作、遵守实验室规定等。</w:t>
            </w:r>
          </w:p>
        </w:tc>
        <w:tc>
          <w:tcPr>
            <w:tcW w:w="2035"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目标一、三、四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实验报告</w:t>
            </w:r>
          </w:p>
        </w:tc>
        <w:tc>
          <w:tcPr>
            <w:tcW w:w="79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90</w:t>
            </w:r>
          </w:p>
        </w:tc>
        <w:tc>
          <w:tcPr>
            <w:tcW w:w="2410" w:type="dxa"/>
          </w:tcPr>
          <w:p>
            <w:pPr>
              <w:numPr>
                <w:ilvl w:val="0"/>
                <w:numId w:val="2"/>
              </w:numPr>
              <w:snapToGrid w:val="0"/>
              <w:spacing w:line="360" w:lineRule="auto"/>
              <w:jc w:val="both"/>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实验技能：具备一定的实验技能，如测量、记录、分析和处理数据等；</w:t>
            </w:r>
          </w:p>
          <w:p>
            <w:pPr>
              <w:numPr>
                <w:ilvl w:val="0"/>
                <w:numId w:val="2"/>
              </w:numPr>
              <w:snapToGrid w:val="0"/>
              <w:spacing w:line="360" w:lineRule="auto"/>
              <w:jc w:val="both"/>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实验报告：需要撰写实验报告，总结实验过程和结果，分析实验数据，提出结论和建议；</w:t>
            </w:r>
          </w:p>
          <w:p>
            <w:pPr>
              <w:numPr>
                <w:ilvl w:val="0"/>
                <w:numId w:val="2"/>
              </w:numPr>
              <w:snapToGrid w:val="0"/>
              <w:spacing w:line="360" w:lineRule="auto"/>
              <w:jc w:val="both"/>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实验创新：鼓励学生在实验中进行创新和探索，提出新的实验方法和思路，培养学生的创新能力和实践能力</w:t>
            </w:r>
          </w:p>
        </w:tc>
        <w:tc>
          <w:tcPr>
            <w:tcW w:w="2035"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目标一、二、三、四</w:t>
            </w:r>
          </w:p>
        </w:tc>
      </w:tr>
    </w:tbl>
    <w:p>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998"/>
        <w:gridCol w:w="1146"/>
        <w:gridCol w:w="1173"/>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405" w:type="dxa"/>
            <w:gridSpan w:val="4"/>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134" w:type="dxa"/>
            <w:vMerge w:val="continue"/>
          </w:tcPr>
          <w:p>
            <w:pPr>
              <w:snapToGrid w:val="0"/>
              <w:spacing w:line="360" w:lineRule="auto"/>
              <w:jc w:val="center"/>
              <w:rPr>
                <w:rFonts w:hint="eastAsia" w:ascii="仿宋" w:hAnsi="仿宋" w:eastAsia="仿宋"/>
                <w:b/>
                <w:color w:val="000000"/>
                <w:sz w:val="24"/>
              </w:rPr>
            </w:pPr>
          </w:p>
        </w:tc>
        <w:tc>
          <w:tcPr>
            <w:tcW w:w="99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146"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173"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108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694" w:type="dxa"/>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实验考核</w:t>
            </w:r>
          </w:p>
        </w:tc>
        <w:tc>
          <w:tcPr>
            <w:tcW w:w="210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实验或实操</w:t>
            </w:r>
          </w:p>
        </w:tc>
        <w:tc>
          <w:tcPr>
            <w:tcW w:w="1134"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998" w:type="dxa"/>
            <w:shd w:val="clear" w:color="auto" w:fill="auto"/>
            <w:vAlign w:val="center"/>
          </w:tcPr>
          <w:p>
            <w:pPr>
              <w:snapToGrid w:val="0"/>
              <w:spacing w:line="360" w:lineRule="auto"/>
              <w:jc w:val="center"/>
              <w:rPr>
                <w:rFonts w:hint="eastAsia" w:ascii="仿宋" w:hAnsi="仿宋" w:eastAsia="仿宋"/>
                <w:b/>
                <w:color w:val="000000"/>
                <w:sz w:val="24"/>
              </w:rPr>
            </w:pPr>
          </w:p>
        </w:tc>
        <w:tc>
          <w:tcPr>
            <w:tcW w:w="1146" w:type="dxa"/>
          </w:tcPr>
          <w:p>
            <w:pPr>
              <w:snapToGrid w:val="0"/>
              <w:spacing w:line="360" w:lineRule="auto"/>
              <w:jc w:val="center"/>
              <w:rPr>
                <w:rFonts w:hint="eastAsia" w:ascii="仿宋" w:hAnsi="仿宋" w:eastAsia="仿宋"/>
                <w:b/>
                <w:color w:val="000000"/>
                <w:sz w:val="24"/>
              </w:rPr>
            </w:pPr>
          </w:p>
        </w:tc>
        <w:tc>
          <w:tcPr>
            <w:tcW w:w="1173" w:type="dxa"/>
          </w:tcPr>
          <w:p>
            <w:pPr>
              <w:snapToGrid w:val="0"/>
              <w:spacing w:line="360" w:lineRule="auto"/>
              <w:jc w:val="center"/>
              <w:rPr>
                <w:rFonts w:hint="eastAsia" w:ascii="仿宋" w:hAnsi="仿宋" w:eastAsia="仿宋"/>
                <w:b/>
                <w:color w:val="000000"/>
                <w:sz w:val="24"/>
              </w:rPr>
            </w:pPr>
          </w:p>
        </w:tc>
        <w:tc>
          <w:tcPr>
            <w:tcW w:w="1088" w:type="dxa"/>
          </w:tcPr>
          <w:p>
            <w:pPr>
              <w:snapToGrid w:val="0"/>
              <w:spacing w:line="360" w:lineRule="auto"/>
              <w:jc w:val="center"/>
              <w:rPr>
                <w:rFonts w:hint="eastAsia" w:ascii="仿宋" w:hAnsi="仿宋" w:eastAsia="仿宋"/>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694"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实验报告</w:t>
            </w:r>
          </w:p>
        </w:tc>
        <w:tc>
          <w:tcPr>
            <w:tcW w:w="1134"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90</w:t>
            </w:r>
          </w:p>
        </w:tc>
        <w:tc>
          <w:tcPr>
            <w:tcW w:w="998" w:type="dxa"/>
            <w:shd w:val="clear" w:color="auto" w:fill="auto"/>
            <w:vAlign w:val="center"/>
          </w:tcPr>
          <w:p>
            <w:pPr>
              <w:snapToGrid w:val="0"/>
              <w:spacing w:line="360" w:lineRule="auto"/>
              <w:jc w:val="center"/>
              <w:rPr>
                <w:rFonts w:hint="eastAsia" w:ascii="仿宋" w:hAnsi="仿宋" w:eastAsia="仿宋"/>
                <w:b/>
                <w:color w:val="000000"/>
                <w:sz w:val="24"/>
              </w:rPr>
            </w:pPr>
          </w:p>
        </w:tc>
        <w:tc>
          <w:tcPr>
            <w:tcW w:w="1146" w:type="dxa"/>
          </w:tcPr>
          <w:p>
            <w:pPr>
              <w:snapToGrid w:val="0"/>
              <w:spacing w:line="360" w:lineRule="auto"/>
              <w:jc w:val="center"/>
              <w:rPr>
                <w:rFonts w:hint="eastAsia" w:ascii="仿宋" w:hAnsi="仿宋" w:eastAsia="仿宋"/>
                <w:b/>
                <w:color w:val="000000"/>
                <w:sz w:val="24"/>
              </w:rPr>
            </w:pPr>
          </w:p>
        </w:tc>
        <w:tc>
          <w:tcPr>
            <w:tcW w:w="1173" w:type="dxa"/>
          </w:tcPr>
          <w:p>
            <w:pPr>
              <w:snapToGrid w:val="0"/>
              <w:spacing w:line="360" w:lineRule="auto"/>
              <w:jc w:val="center"/>
              <w:rPr>
                <w:rFonts w:hint="eastAsia" w:ascii="仿宋" w:hAnsi="仿宋" w:eastAsia="仿宋"/>
                <w:b/>
                <w:color w:val="000000"/>
                <w:sz w:val="24"/>
              </w:rPr>
            </w:pPr>
          </w:p>
        </w:tc>
        <w:tc>
          <w:tcPr>
            <w:tcW w:w="1088" w:type="dxa"/>
          </w:tcPr>
          <w:p>
            <w:pPr>
              <w:snapToGrid w:val="0"/>
              <w:spacing w:line="360" w:lineRule="auto"/>
              <w:jc w:val="center"/>
              <w:rPr>
                <w:rFonts w:hint="eastAsia" w:ascii="仿宋" w:hAnsi="仿宋" w:eastAsia="仿宋"/>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998" w:type="dxa"/>
            <w:shd w:val="clear" w:color="auto" w:fill="auto"/>
            <w:vAlign w:val="center"/>
          </w:tcPr>
          <w:p>
            <w:pPr>
              <w:snapToGrid w:val="0"/>
              <w:spacing w:line="360" w:lineRule="auto"/>
              <w:jc w:val="center"/>
              <w:rPr>
                <w:rFonts w:hint="eastAsia" w:ascii="仿宋" w:hAnsi="仿宋" w:eastAsia="仿宋"/>
                <w:b/>
                <w:color w:val="000000"/>
                <w:sz w:val="24"/>
              </w:rPr>
            </w:pPr>
          </w:p>
        </w:tc>
        <w:tc>
          <w:tcPr>
            <w:tcW w:w="1146" w:type="dxa"/>
          </w:tcPr>
          <w:p>
            <w:pPr>
              <w:snapToGrid w:val="0"/>
              <w:spacing w:line="360" w:lineRule="auto"/>
              <w:jc w:val="center"/>
              <w:rPr>
                <w:rFonts w:hint="eastAsia" w:ascii="仿宋" w:hAnsi="仿宋" w:eastAsia="仿宋"/>
                <w:sz w:val="24"/>
              </w:rPr>
            </w:pPr>
          </w:p>
        </w:tc>
        <w:tc>
          <w:tcPr>
            <w:tcW w:w="1173" w:type="dxa"/>
          </w:tcPr>
          <w:p>
            <w:pPr>
              <w:snapToGrid w:val="0"/>
              <w:spacing w:line="360" w:lineRule="auto"/>
              <w:jc w:val="center"/>
              <w:rPr>
                <w:rFonts w:hint="eastAsia" w:ascii="仿宋" w:hAnsi="仿宋" w:eastAsia="仿宋"/>
                <w:sz w:val="24"/>
              </w:rPr>
            </w:pPr>
          </w:p>
        </w:tc>
        <w:tc>
          <w:tcPr>
            <w:tcW w:w="1088" w:type="dxa"/>
          </w:tcPr>
          <w:p>
            <w:pPr>
              <w:snapToGrid w:val="0"/>
              <w:spacing w:line="360" w:lineRule="auto"/>
              <w:jc w:val="center"/>
              <w:rPr>
                <w:rFonts w:hint="eastAsia" w:ascii="仿宋" w:hAnsi="仿宋" w:eastAsia="仿宋"/>
                <w:sz w:val="24"/>
              </w:rPr>
            </w:pPr>
          </w:p>
        </w:tc>
      </w:tr>
    </w:tbl>
    <w:p>
      <w:pPr>
        <w:snapToGrid w:val="0"/>
        <w:spacing w:line="360" w:lineRule="auto"/>
        <w:rPr>
          <w:rFonts w:ascii="仿宋" w:hAnsi="仿宋" w:eastAsia="仿宋"/>
          <w:b/>
          <w:color w:val="000000"/>
          <w:sz w:val="24"/>
        </w:rPr>
      </w:pPr>
    </w:p>
    <w:p>
      <w:pPr>
        <w:numPr>
          <w:ilvl w:val="0"/>
          <w:numId w:val="3"/>
        </w:num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安全教育</w:t>
      </w:r>
    </w:p>
    <w:p>
      <w:pPr>
        <w:numPr>
          <w:ilvl w:val="0"/>
          <w:numId w:val="4"/>
        </w:numPr>
        <w:tabs>
          <w:tab w:val="left" w:pos="-5670"/>
          <w:tab w:val="left" w:pos="-5245"/>
          <w:tab w:val="left" w:pos="1134"/>
        </w:tabs>
        <w:spacing w:before="156" w:beforeLines="50" w:after="156" w:afterLines="5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安全意识和风险认知：教育</w:t>
      </w:r>
      <w:r>
        <w:rPr>
          <w:rFonts w:hint="eastAsia" w:ascii="仿宋" w:hAnsi="仿宋" w:eastAsia="仿宋" w:cs="仿宋"/>
          <w:color w:val="000000"/>
          <w:sz w:val="24"/>
          <w:szCs w:val="24"/>
          <w:lang w:val="en-US" w:eastAsia="zh-CN"/>
        </w:rPr>
        <w:t>学生</w:t>
      </w:r>
      <w:r>
        <w:rPr>
          <w:rFonts w:hint="eastAsia" w:ascii="仿宋" w:hAnsi="仿宋" w:eastAsia="仿宋" w:cs="仿宋"/>
          <w:color w:val="000000"/>
          <w:sz w:val="24"/>
          <w:szCs w:val="24"/>
        </w:rPr>
        <w:t>充分认识到环境微生物实验中可能存在的安全风险，如生物危害、化学危害、物理危害等</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强调</w:t>
      </w:r>
      <w:r>
        <w:rPr>
          <w:rFonts w:hint="eastAsia" w:ascii="仿宋" w:hAnsi="仿宋" w:eastAsia="仿宋" w:cs="仿宋"/>
          <w:color w:val="000000"/>
          <w:sz w:val="24"/>
          <w:szCs w:val="24"/>
          <w:lang w:val="en-US" w:eastAsia="zh-CN"/>
        </w:rPr>
        <w:t>学生</w:t>
      </w:r>
      <w:r>
        <w:rPr>
          <w:rFonts w:hint="eastAsia" w:ascii="仿宋" w:hAnsi="仿宋" w:eastAsia="仿宋" w:cs="仿宋"/>
          <w:color w:val="000000"/>
          <w:sz w:val="24"/>
          <w:szCs w:val="24"/>
        </w:rPr>
        <w:t>应时刻保持警觉，遵守实验室安全规定和操作规程。</w:t>
      </w:r>
    </w:p>
    <w:p>
      <w:pPr>
        <w:numPr>
          <w:ilvl w:val="0"/>
          <w:numId w:val="4"/>
        </w:numPr>
        <w:tabs>
          <w:tab w:val="left" w:pos="-5670"/>
          <w:tab w:val="left" w:pos="-5245"/>
          <w:tab w:val="left" w:pos="1134"/>
        </w:tabs>
        <w:spacing w:before="156" w:beforeLines="50" w:after="156" w:afterLines="5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微生物实验室操作规程：详细介绍微生物实验室的操作规程，包括无菌操作、培养基的制备、微生物的接种、培养、观察和鉴定等步骤</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强调</w:t>
      </w:r>
      <w:r>
        <w:rPr>
          <w:rFonts w:hint="eastAsia" w:ascii="仿宋" w:hAnsi="仿宋" w:eastAsia="仿宋" w:cs="仿宋"/>
          <w:color w:val="000000"/>
          <w:sz w:val="24"/>
          <w:szCs w:val="24"/>
          <w:lang w:val="en-US" w:eastAsia="zh-CN"/>
        </w:rPr>
        <w:t>学生</w:t>
      </w:r>
      <w:r>
        <w:rPr>
          <w:rFonts w:hint="eastAsia" w:ascii="仿宋" w:hAnsi="仿宋" w:eastAsia="仿宋" w:cs="仿宋"/>
          <w:color w:val="000000"/>
          <w:sz w:val="24"/>
          <w:szCs w:val="24"/>
        </w:rPr>
        <w:t>应严格按照操作规程进行实验，避免污染和交叉感染。</w:t>
      </w:r>
    </w:p>
    <w:p>
      <w:pPr>
        <w:numPr>
          <w:ilvl w:val="0"/>
          <w:numId w:val="4"/>
        </w:numPr>
        <w:tabs>
          <w:tab w:val="left" w:pos="-5670"/>
          <w:tab w:val="left" w:pos="-5245"/>
          <w:tab w:val="left" w:pos="1134"/>
        </w:tabs>
        <w:spacing w:before="156" w:beforeLines="50" w:after="156" w:afterLines="5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实验室环境控制：强调实验室环境的清洁、整洁和通风对实验安全的重要性</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教育</w:t>
      </w:r>
      <w:r>
        <w:rPr>
          <w:rFonts w:hint="eastAsia" w:ascii="仿宋" w:hAnsi="仿宋" w:eastAsia="仿宋" w:cs="仿宋"/>
          <w:color w:val="000000"/>
          <w:sz w:val="24"/>
          <w:szCs w:val="24"/>
          <w:lang w:val="en-US" w:eastAsia="zh-CN"/>
        </w:rPr>
        <w:t>学生</w:t>
      </w:r>
      <w:r>
        <w:rPr>
          <w:rFonts w:hint="eastAsia" w:ascii="仿宋" w:hAnsi="仿宋" w:eastAsia="仿宋" w:cs="仿宋"/>
          <w:color w:val="000000"/>
          <w:sz w:val="24"/>
          <w:szCs w:val="24"/>
        </w:rPr>
        <w:t>进行实验室的消毒和清洁工作，确保实验室环境的卫生和安全。</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pPr>
        <w:tabs>
          <w:tab w:val="left" w:pos="-5670"/>
          <w:tab w:val="left" w:pos="-5245"/>
          <w:tab w:val="left" w:pos="1134"/>
        </w:tabs>
        <w:spacing w:before="156" w:beforeLines="50" w:after="156" w:afterLines="50" w:line="360" w:lineRule="auto"/>
        <w:ind w:firstLine="480" w:firstLineChars="200"/>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 安全操作：实验人员应严格遵守实验室安全规定，穿戴适当的防护装备，如实验服、手套、护目镜等</w:t>
      </w:r>
      <w:r>
        <w:rPr>
          <w:rFonts w:hint="eastAsia" w:ascii="仿宋" w:hAnsi="仿宋" w:eastAsia="仿宋" w:cs="仿宋"/>
          <w:b w:val="0"/>
          <w:bCs w:val="0"/>
          <w:color w:val="000000"/>
          <w:sz w:val="24"/>
          <w:szCs w:val="24"/>
          <w:lang w:eastAsia="zh-CN"/>
        </w:rPr>
        <w:t>；</w:t>
      </w:r>
      <w:r>
        <w:rPr>
          <w:rFonts w:hint="eastAsia" w:ascii="仿宋" w:hAnsi="仿宋" w:eastAsia="仿宋" w:cs="仿宋"/>
          <w:b w:val="0"/>
          <w:bCs w:val="0"/>
          <w:color w:val="000000"/>
          <w:sz w:val="24"/>
          <w:szCs w:val="24"/>
        </w:rPr>
        <w:t>确保实验室的通风良好，避免有毒有害气体积累</w:t>
      </w:r>
      <w:r>
        <w:rPr>
          <w:rFonts w:hint="eastAsia" w:ascii="仿宋" w:hAnsi="仿宋" w:eastAsia="仿宋" w:cs="仿宋"/>
          <w:b w:val="0"/>
          <w:bCs w:val="0"/>
          <w:color w:val="000000"/>
          <w:sz w:val="24"/>
          <w:szCs w:val="24"/>
          <w:lang w:eastAsia="zh-CN"/>
        </w:rPr>
        <w:t>；</w:t>
      </w:r>
      <w:r>
        <w:rPr>
          <w:rFonts w:hint="eastAsia" w:ascii="仿宋" w:hAnsi="仿宋" w:eastAsia="仿宋" w:cs="仿宋"/>
          <w:b w:val="0"/>
          <w:bCs w:val="0"/>
          <w:color w:val="000000"/>
          <w:sz w:val="24"/>
          <w:szCs w:val="24"/>
        </w:rPr>
        <w:t>对于有毒有害的试剂和微生物，应妥善保存和处理，避免对环境造成污染。</w:t>
      </w:r>
    </w:p>
    <w:p>
      <w:pPr>
        <w:tabs>
          <w:tab w:val="left" w:pos="-5670"/>
          <w:tab w:val="left" w:pos="-5245"/>
          <w:tab w:val="left" w:pos="1134"/>
        </w:tabs>
        <w:spacing w:before="156" w:beforeLines="50" w:after="156" w:afterLines="50" w:line="360" w:lineRule="auto"/>
        <w:ind w:firstLine="480" w:firstLineChars="200"/>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2. 规范操作：严格按照实验步骤进行操作，避免随意更改实验条件或省略实验步骤</w:t>
      </w:r>
      <w:r>
        <w:rPr>
          <w:rFonts w:hint="eastAsia" w:ascii="仿宋" w:hAnsi="仿宋" w:eastAsia="仿宋" w:cs="仿宋"/>
          <w:b w:val="0"/>
          <w:bCs w:val="0"/>
          <w:color w:val="000000"/>
          <w:sz w:val="24"/>
          <w:szCs w:val="24"/>
          <w:lang w:eastAsia="zh-CN"/>
        </w:rPr>
        <w:t>；</w:t>
      </w:r>
      <w:r>
        <w:rPr>
          <w:rFonts w:hint="eastAsia" w:ascii="仿宋" w:hAnsi="仿宋" w:eastAsia="仿宋" w:cs="仿宋"/>
          <w:b w:val="0"/>
          <w:bCs w:val="0"/>
          <w:color w:val="000000"/>
          <w:sz w:val="24"/>
          <w:szCs w:val="24"/>
        </w:rPr>
        <w:t>在操作过程中，注意无菌操作，避免污染实验菌株</w:t>
      </w:r>
      <w:r>
        <w:rPr>
          <w:rFonts w:hint="eastAsia" w:ascii="仿宋" w:hAnsi="仿宋" w:eastAsia="仿宋" w:cs="仿宋"/>
          <w:b w:val="0"/>
          <w:bCs w:val="0"/>
          <w:color w:val="000000"/>
          <w:sz w:val="24"/>
          <w:szCs w:val="24"/>
          <w:lang w:eastAsia="zh-CN"/>
        </w:rPr>
        <w:t>；</w:t>
      </w:r>
      <w:r>
        <w:rPr>
          <w:rFonts w:hint="eastAsia" w:ascii="仿宋" w:hAnsi="仿宋" w:eastAsia="仿宋" w:cs="仿宋"/>
          <w:b w:val="0"/>
          <w:bCs w:val="0"/>
          <w:color w:val="000000"/>
          <w:sz w:val="24"/>
          <w:szCs w:val="24"/>
        </w:rPr>
        <w:t>严格控制实验用品的取用量，避免浪费和污染。</w:t>
      </w:r>
    </w:p>
    <w:p>
      <w:pPr>
        <w:tabs>
          <w:tab w:val="left" w:pos="-5670"/>
          <w:tab w:val="left" w:pos="-5245"/>
          <w:tab w:val="left" w:pos="1134"/>
        </w:tabs>
        <w:spacing w:before="156" w:beforeLines="50" w:after="156" w:afterLines="50" w:line="360" w:lineRule="auto"/>
        <w:ind w:firstLine="480" w:firstLineChars="200"/>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3. 注重实验准备：提前准备好所需的培养基、试剂、仪器等，并进行消毒和灭菌处理</w:t>
      </w:r>
      <w:r>
        <w:rPr>
          <w:rFonts w:hint="eastAsia" w:ascii="仿宋" w:hAnsi="仿宋" w:eastAsia="仿宋" w:cs="仿宋"/>
          <w:b w:val="0"/>
          <w:bCs w:val="0"/>
          <w:color w:val="000000"/>
          <w:sz w:val="24"/>
          <w:szCs w:val="24"/>
          <w:lang w:eastAsia="zh-CN"/>
        </w:rPr>
        <w:t>；</w:t>
      </w:r>
      <w:r>
        <w:rPr>
          <w:rFonts w:hint="eastAsia" w:ascii="仿宋" w:hAnsi="仿宋" w:eastAsia="仿宋" w:cs="仿宋"/>
          <w:b w:val="0"/>
          <w:bCs w:val="0"/>
          <w:color w:val="000000"/>
          <w:sz w:val="24"/>
          <w:szCs w:val="24"/>
        </w:rPr>
        <w:t>对实验菌株进行充分了解，选择适宜的实验条件。</w:t>
      </w:r>
    </w:p>
    <w:p>
      <w:pPr>
        <w:tabs>
          <w:tab w:val="left" w:pos="-5670"/>
          <w:tab w:val="left" w:pos="-5245"/>
          <w:tab w:val="left" w:pos="1134"/>
        </w:tabs>
        <w:spacing w:before="156" w:beforeLines="50" w:after="156" w:afterLines="50" w:line="360" w:lineRule="auto"/>
        <w:ind w:firstLine="480" w:firstLineChars="200"/>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4. 培养绿色实验意识：尽量选择对环境影响小的实验方法和材料</w:t>
      </w:r>
      <w:r>
        <w:rPr>
          <w:rFonts w:hint="eastAsia" w:ascii="仿宋" w:hAnsi="仿宋" w:eastAsia="仿宋" w:cs="仿宋"/>
          <w:b w:val="0"/>
          <w:bCs w:val="0"/>
          <w:color w:val="000000"/>
          <w:sz w:val="24"/>
          <w:szCs w:val="24"/>
          <w:lang w:eastAsia="zh-CN"/>
        </w:rPr>
        <w:t>；</w:t>
      </w:r>
      <w:r>
        <w:rPr>
          <w:rFonts w:hint="eastAsia" w:ascii="仿宋" w:hAnsi="仿宋" w:eastAsia="仿宋" w:cs="仿宋"/>
          <w:b w:val="0"/>
          <w:bCs w:val="0"/>
          <w:color w:val="000000"/>
          <w:sz w:val="24"/>
          <w:szCs w:val="24"/>
        </w:rPr>
        <w:t>对实验中产生的废液、废气、废渣等进行分类回收和处理，减少环境污染</w:t>
      </w:r>
      <w:r>
        <w:rPr>
          <w:rFonts w:hint="eastAsia" w:ascii="仿宋" w:hAnsi="仿宋" w:eastAsia="仿宋" w:cs="仿宋"/>
          <w:b w:val="0"/>
          <w:bCs w:val="0"/>
          <w:color w:val="000000"/>
          <w:sz w:val="24"/>
          <w:szCs w:val="24"/>
          <w:lang w:eastAsia="zh-CN"/>
        </w:rPr>
        <w:t>；</w:t>
      </w:r>
      <w:r>
        <w:rPr>
          <w:rFonts w:hint="eastAsia" w:ascii="仿宋" w:hAnsi="仿宋" w:eastAsia="仿宋" w:cs="仿宋"/>
          <w:b w:val="0"/>
          <w:bCs w:val="0"/>
          <w:color w:val="000000"/>
          <w:sz w:val="24"/>
          <w:szCs w:val="24"/>
        </w:rPr>
        <w:t>推广使用计算机辅助的多媒体仿真实验，减少实际实验操作对环境的影响。</w:t>
      </w:r>
    </w:p>
    <w:p>
      <w:pPr>
        <w:tabs>
          <w:tab w:val="left" w:pos="-5670"/>
          <w:tab w:val="left" w:pos="-5245"/>
          <w:tab w:val="left" w:pos="1134"/>
        </w:tabs>
        <w:spacing w:before="156" w:beforeLines="50" w:after="156" w:afterLines="50" w:line="360" w:lineRule="auto"/>
        <w:ind w:firstLine="480" w:firstLineChars="200"/>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5. 丰富实践环节：增加实验课程的实践内容，让学生亲自动手进行生物分离、培养、观察和鉴定等实际操作</w:t>
      </w:r>
      <w:r>
        <w:rPr>
          <w:rFonts w:hint="eastAsia" w:ascii="仿宋" w:hAnsi="仿宋" w:eastAsia="仿宋" w:cs="仿宋"/>
          <w:b w:val="0"/>
          <w:bCs w:val="0"/>
          <w:color w:val="000000"/>
          <w:sz w:val="24"/>
          <w:szCs w:val="24"/>
          <w:lang w:eastAsia="zh-CN"/>
        </w:rPr>
        <w:t>；</w:t>
      </w:r>
      <w:r>
        <w:rPr>
          <w:rFonts w:hint="eastAsia" w:ascii="仿宋" w:hAnsi="仿宋" w:eastAsia="仿宋" w:cs="仿宋"/>
          <w:b w:val="0"/>
          <w:bCs w:val="0"/>
          <w:color w:val="000000"/>
          <w:sz w:val="24"/>
          <w:szCs w:val="24"/>
        </w:rPr>
        <w:t>将理论知识与实践相结合，帮助学生更好地理解和掌握环境微生物的相关知识。</w:t>
      </w:r>
    </w:p>
    <w:p>
      <w:pPr>
        <w:tabs>
          <w:tab w:val="left" w:pos="-5670"/>
          <w:tab w:val="left" w:pos="-5245"/>
          <w:tab w:val="left" w:pos="1134"/>
        </w:tabs>
        <w:spacing w:before="156" w:beforeLines="50" w:after="156" w:afterLines="50" w:line="360" w:lineRule="auto"/>
        <w:ind w:firstLine="480" w:firstLineChars="200"/>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6. 结合工程实践：适时增加工程实践的教学环节，如组织学生参观生物工程、环境科学企业等</w:t>
      </w:r>
      <w:r>
        <w:rPr>
          <w:rFonts w:hint="eastAsia" w:ascii="仿宋" w:hAnsi="仿宋" w:eastAsia="仿宋" w:cs="仿宋"/>
          <w:b w:val="0"/>
          <w:bCs w:val="0"/>
          <w:color w:val="000000"/>
          <w:sz w:val="24"/>
          <w:szCs w:val="24"/>
          <w:lang w:eastAsia="zh-CN"/>
        </w:rPr>
        <w:t>；</w:t>
      </w:r>
      <w:r>
        <w:rPr>
          <w:rFonts w:hint="eastAsia" w:ascii="仿宋" w:hAnsi="仿宋" w:eastAsia="仿宋" w:cs="仿宋"/>
          <w:b w:val="0"/>
          <w:bCs w:val="0"/>
          <w:color w:val="000000"/>
          <w:sz w:val="24"/>
          <w:szCs w:val="24"/>
        </w:rPr>
        <w:t>让学生实地了解微生物在环境保护领域的应用，深刻体会环境微生物的重要作用。</w:t>
      </w:r>
    </w:p>
    <w:p>
      <w:pPr>
        <w:tabs>
          <w:tab w:val="left" w:pos="-5670"/>
          <w:tab w:val="left" w:pos="-5245"/>
          <w:tab w:val="left" w:pos="1134"/>
        </w:tabs>
        <w:spacing w:before="156" w:beforeLines="50" w:after="156" w:afterLines="50" w:line="360" w:lineRule="auto"/>
        <w:ind w:firstLine="480" w:firstLineChars="200"/>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7. 培养创新能力：鼓励学生在实验中进行创新和探索，提出新的实验方法和思路</w:t>
      </w:r>
      <w:r>
        <w:rPr>
          <w:rFonts w:hint="eastAsia" w:ascii="仿宋" w:hAnsi="仿宋" w:eastAsia="仿宋" w:cs="仿宋"/>
          <w:b w:val="0"/>
          <w:bCs w:val="0"/>
          <w:color w:val="000000"/>
          <w:sz w:val="24"/>
          <w:szCs w:val="24"/>
          <w:lang w:eastAsia="zh-CN"/>
        </w:rPr>
        <w:t>；</w:t>
      </w:r>
      <w:r>
        <w:rPr>
          <w:rFonts w:hint="eastAsia" w:ascii="仿宋" w:hAnsi="仿宋" w:eastAsia="仿宋" w:cs="仿宋"/>
          <w:b w:val="0"/>
          <w:bCs w:val="0"/>
          <w:color w:val="000000"/>
          <w:sz w:val="24"/>
          <w:szCs w:val="24"/>
        </w:rPr>
        <w:t>培养学生的创新能力和实践能力，为未来的科学研究和工作打下坚实基础。</w:t>
      </w:r>
    </w:p>
    <w:p>
      <w:pPr>
        <w:tabs>
          <w:tab w:val="left" w:pos="-5670"/>
          <w:tab w:val="left" w:pos="-5245"/>
          <w:tab w:val="left" w:pos="1134"/>
        </w:tabs>
        <w:spacing w:before="156" w:beforeLines="50" w:after="156" w:afterLines="50" w:line="360" w:lineRule="auto"/>
        <w:ind w:firstLine="480" w:firstLineChars="200"/>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8. 加强实验管理和监督：建立严格的实验室管理制度和领用制度，确保实验用品的规范使用和管理</w:t>
      </w:r>
      <w:r>
        <w:rPr>
          <w:rFonts w:hint="eastAsia" w:ascii="仿宋" w:hAnsi="仿宋" w:eastAsia="仿宋" w:cs="仿宋"/>
          <w:b w:val="0"/>
          <w:bCs w:val="0"/>
          <w:color w:val="000000"/>
          <w:sz w:val="24"/>
          <w:szCs w:val="24"/>
          <w:lang w:eastAsia="zh-CN"/>
        </w:rPr>
        <w:t>；</w:t>
      </w:r>
      <w:r>
        <w:rPr>
          <w:rFonts w:hint="eastAsia" w:ascii="仿宋" w:hAnsi="仿宋" w:eastAsia="仿宋" w:cs="仿宋"/>
          <w:b w:val="0"/>
          <w:bCs w:val="0"/>
          <w:color w:val="000000"/>
          <w:sz w:val="24"/>
          <w:szCs w:val="24"/>
        </w:rPr>
        <w:t>加强对实验过程的监督和管理，确保实验操作的规范性和准确性。</w:t>
      </w:r>
    </w:p>
    <w:bookmarkEnd w:id="1"/>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pPr>
        <w:spacing w:line="360" w:lineRule="auto"/>
        <w:ind w:firstLine="482" w:firstLineChars="200"/>
        <w:rPr>
          <w:rFonts w:hint="eastAsia"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1498"/>
        <w:gridCol w:w="1236"/>
        <w:gridCol w:w="564"/>
        <w:gridCol w:w="1708"/>
        <w:gridCol w:w="1345"/>
        <w:gridCol w:w="1314"/>
        <w:gridCol w:w="857"/>
      </w:tblGrid>
      <w:tr>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教材级别</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eastAsia="仿宋"/>
                <w:szCs w:val="21"/>
              </w:rPr>
              <w:t>环境工程微生物学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2015年第四版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eastAsia="仿宋"/>
                <w:szCs w:val="21"/>
              </w:rPr>
              <w:t>周群英、王士芬主著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eastAsia="仿宋"/>
                <w:szCs w:val="21"/>
              </w:rPr>
              <w:t>高等教育出版社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p>
        </w:tc>
      </w:tr>
    </w:tbl>
    <w:p>
      <w:pPr>
        <w:spacing w:line="360" w:lineRule="auto"/>
        <w:jc w:val="left"/>
        <w:rPr>
          <w:rFonts w:eastAsia="仿宋"/>
          <w:color w:val="000000"/>
          <w:sz w:val="24"/>
        </w:rPr>
      </w:pPr>
    </w:p>
    <w:p>
      <w:pPr>
        <w:spacing w:line="360" w:lineRule="auto"/>
        <w:jc w:val="left"/>
        <w:rPr>
          <w:rFonts w:hint="eastAsia" w:eastAsia="仿宋"/>
          <w:color w:val="000000"/>
          <w:sz w:val="24"/>
        </w:rPr>
      </w:pPr>
    </w:p>
    <w:p>
      <w:pPr>
        <w:spacing w:line="360" w:lineRule="auto"/>
        <w:jc w:val="left"/>
        <w:rPr>
          <w:rFonts w:hint="eastAsia"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Viner Hand ITC">
    <w:panose1 w:val="03070502030502020203"/>
    <w:charset w:val="00"/>
    <w:family w:val="auto"/>
    <w:pitch w:val="default"/>
    <w:sig w:usb0="00000003" w:usb1="00000000" w:usb2="00000000" w:usb3="00000000" w:csb0="20000001" w:csb1="00000000"/>
  </w:font>
  <w:font w:name="Vivaldi">
    <w:panose1 w:val="03020602050506090804"/>
    <w:charset w:val="00"/>
    <w:family w:val="auto"/>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9F4C80"/>
    <w:multiLevelType w:val="singleLevel"/>
    <w:tmpl w:val="EC9F4C80"/>
    <w:lvl w:ilvl="0" w:tentative="0">
      <w:start w:val="6"/>
      <w:numFmt w:val="chineseCounting"/>
      <w:suff w:val="nothing"/>
      <w:lvlText w:val="%1、"/>
      <w:lvlJc w:val="left"/>
      <w:rPr>
        <w:rFonts w:hint="eastAsia"/>
      </w:rPr>
    </w:lvl>
  </w:abstractNum>
  <w:abstractNum w:abstractNumId="1">
    <w:nsid w:val="07B458DA"/>
    <w:multiLevelType w:val="singleLevel"/>
    <w:tmpl w:val="07B458DA"/>
    <w:lvl w:ilvl="0" w:tentative="0">
      <w:start w:val="1"/>
      <w:numFmt w:val="decimal"/>
      <w:suff w:val="nothing"/>
      <w:lvlText w:val="%1、"/>
      <w:lvlJc w:val="left"/>
    </w:lvl>
  </w:abstractNum>
  <w:abstractNum w:abstractNumId="2">
    <w:nsid w:val="3D3632E9"/>
    <w:multiLevelType w:val="singleLevel"/>
    <w:tmpl w:val="3D3632E9"/>
    <w:lvl w:ilvl="0" w:tentative="0">
      <w:start w:val="1"/>
      <w:numFmt w:val="decimal"/>
      <w:suff w:val="space"/>
      <w:lvlText w:val="%1."/>
      <w:lvlJc w:val="left"/>
    </w:lvl>
  </w:abstractNum>
  <w:abstractNum w:abstractNumId="3">
    <w:nsid w:val="6B60D8BA"/>
    <w:multiLevelType w:val="singleLevel"/>
    <w:tmpl w:val="6B60D8BA"/>
    <w:lvl w:ilvl="0" w:tentative="0">
      <w:start w:val="1"/>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M4NzIwM2RiOWE0MDQ5Nzg3ZWVlNWJmM2ViOTU3N2Q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458100F4"/>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rFonts w:cs="Times New Roman"/>
      <w:sz w:val="21"/>
      <w:szCs w:val="21"/>
    </w:rPr>
  </w:style>
  <w:style w:type="character" w:customStyle="1" w:styleId="12">
    <w:name w:val="批注文字 Char"/>
    <w:link w:val="3"/>
    <w:semiHidden/>
    <w:qFormat/>
    <w:locked/>
    <w:uiPriority w:val="99"/>
    <w:rPr>
      <w:rFonts w:ascii="Times New Roman" w:hAnsi="Times New Roman" w:eastAsia="宋体" w:cs="Times New Roman"/>
      <w:sz w:val="24"/>
      <w:szCs w:val="24"/>
    </w:rPr>
  </w:style>
  <w:style w:type="character" w:customStyle="1" w:styleId="13">
    <w:name w:val="批注框文本 Char"/>
    <w:link w:val="4"/>
    <w:semiHidden/>
    <w:qFormat/>
    <w:locked/>
    <w:uiPriority w:val="99"/>
    <w:rPr>
      <w:rFonts w:ascii="Times New Roman" w:hAnsi="Times New Roman" w:eastAsia="宋体" w:cs="Times New Roman"/>
      <w:sz w:val="18"/>
      <w:szCs w:val="18"/>
    </w:rPr>
  </w:style>
  <w:style w:type="character" w:customStyle="1" w:styleId="14">
    <w:name w:val="页脚 Char"/>
    <w:link w:val="5"/>
    <w:qFormat/>
    <w:locked/>
    <w:uiPriority w:val="99"/>
    <w:rPr>
      <w:rFonts w:cs="Times New Roman"/>
      <w:sz w:val="18"/>
      <w:szCs w:val="18"/>
    </w:rPr>
  </w:style>
  <w:style w:type="character" w:customStyle="1" w:styleId="15">
    <w:name w:val="文档结构图 Char"/>
    <w:link w:val="2"/>
    <w:semiHidden/>
    <w:qFormat/>
    <w:uiPriority w:val="99"/>
    <w:rPr>
      <w:rFonts w:ascii="宋体" w:hAnsi="Times New Roman"/>
      <w:kern w:val="2"/>
      <w:sz w:val="18"/>
      <w:szCs w:val="18"/>
    </w:rPr>
  </w:style>
  <w:style w:type="character" w:customStyle="1" w:styleId="16">
    <w:name w:val="页眉 Char"/>
    <w:link w:val="6"/>
    <w:qFormat/>
    <w:locked/>
    <w:uiPriority w:val="99"/>
    <w:rPr>
      <w:rFonts w:cs="Times New Roman"/>
      <w:sz w:val="18"/>
      <w:szCs w:val="18"/>
    </w:rPr>
  </w:style>
  <w:style w:type="character" w:customStyle="1" w:styleId="17">
    <w:name w:val="批注主题 Char"/>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List Paragraph"/>
    <w:basedOn w:val="1"/>
    <w:qFormat/>
    <w:uiPriority w:val="34"/>
    <w:pPr>
      <w:ind w:firstLine="420" w:firstLineChars="200"/>
    </w:p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qFormat/>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1565</Words>
  <Characters>1612</Characters>
  <Lines>115</Lines>
  <Paragraphs>144</Paragraphs>
  <TotalTime>7</TotalTime>
  <ScaleCrop>false</ScaleCrop>
  <LinksUpToDate>false</LinksUpToDate>
  <CharactersWithSpaces>3033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微信用户</cp:lastModifiedBy>
  <dcterms:modified xsi:type="dcterms:W3CDTF">2024-06-21T14:52:50Z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98274F83A3B2419691E3F7F97665CCD3_12</vt:lpwstr>
  </property>
</Properties>
</file>