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ind w:firstLine="480"/>
        <w:jc w:val="left"/>
        <w:rPr>
          <w:rFonts w:asciiTheme="minorHAnsi" w:hAnsiTheme="minorHAnsi"/>
          <w:sz w:val="21"/>
        </w:rPr>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tabs>
          <w:tab w:val="left" w:pos="880"/>
        </w:tabs>
        <w:spacing w:line="480" w:lineRule="auto"/>
        <w:ind w:firstLine="880"/>
        <w:rPr>
          <w:rFonts w:hint="eastAsia" w:ascii="宋体" w:hAnsi="宋体"/>
          <w:color w:val="000000"/>
          <w:sz w:val="44"/>
          <w:szCs w:val="20"/>
        </w:rPr>
      </w:pPr>
      <w:r>
        <w:rPr>
          <w:rFonts w:ascii="宋体" w:hAnsi="宋体"/>
          <w:color w:val="000000"/>
          <w:sz w:val="44"/>
          <w:szCs w:val="20"/>
        </w:rPr>
        <w:tab/>
      </w:r>
    </w:p>
    <w:p>
      <w:pPr>
        <w:spacing w:line="480" w:lineRule="auto"/>
        <w:ind w:firstLine="880"/>
        <w:rPr>
          <w:rFonts w:hint="eastAsia" w:ascii="宋体" w:hAnsi="宋体"/>
          <w:color w:val="000000"/>
          <w:sz w:val="44"/>
          <w:szCs w:val="20"/>
        </w:rPr>
      </w:pPr>
    </w:p>
    <w:p>
      <w:pPr>
        <w:spacing w:line="480" w:lineRule="auto"/>
        <w:ind w:firstLine="880"/>
        <w:jc w:val="center"/>
        <w:rPr>
          <w:rFonts w:eastAsia="黑体"/>
          <w:color w:val="000000"/>
          <w:sz w:val="44"/>
        </w:rPr>
      </w:pPr>
      <w:r>
        <w:rPr>
          <w:rFonts w:hint="eastAsia" w:eastAsia="黑体"/>
          <w:color w:val="000000"/>
          <w:sz w:val="44"/>
        </w:rPr>
        <w:t>《公差与互换性》教学大纲</w:t>
      </w:r>
    </w:p>
    <w:p>
      <w:pPr>
        <w:spacing w:line="480" w:lineRule="auto"/>
        <w:ind w:firstLine="560"/>
        <w:jc w:val="center"/>
        <w:rPr>
          <w:rFonts w:hint="eastAsia" w:ascii="仿宋" w:hAnsi="仿宋" w:eastAsia="仿宋"/>
          <w:color w:val="000000"/>
          <w:sz w:val="28"/>
          <w:u w:val="single"/>
        </w:rPr>
      </w:pPr>
      <w:r>
        <w:rPr>
          <w:rFonts w:hint="eastAsia" w:ascii="仿宋" w:hAnsi="仿宋" w:eastAsia="仿宋"/>
          <w:color w:val="000000"/>
          <w:sz w:val="28"/>
          <w:u w:val="single"/>
        </w:rPr>
        <w:t>（第1版）</w:t>
      </w: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560"/>
        <w:rPr>
          <w:color w:val="000000"/>
          <w:sz w:val="28"/>
          <w:u w:val="single"/>
        </w:rPr>
      </w:pPr>
    </w:p>
    <w:tbl>
      <w:tblPr>
        <w:tblStyle w:val="7"/>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ind w:firstLine="562"/>
              <w:jc w:val="right"/>
              <w:rPr>
                <w:rFonts w:hint="eastAsia"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ind w:firstLine="560"/>
              <w:jc w:val="center"/>
              <w:rPr>
                <w:color w:val="000000"/>
                <w:sz w:val="28"/>
              </w:rPr>
            </w:pPr>
            <w:r>
              <w:rPr>
                <w:rFonts w:hint="eastAsia"/>
                <w:color w:val="000000"/>
                <w:sz w:val="28"/>
              </w:rPr>
              <w:t>储开宇</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ind w:firstLine="562"/>
              <w:jc w:val="right"/>
              <w:rPr>
                <w:rFonts w:hint="eastAsia"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ind w:firstLine="560"/>
              <w:jc w:val="center"/>
              <w:rPr>
                <w:color w:val="000000"/>
                <w:sz w:val="28"/>
              </w:rPr>
            </w:pPr>
            <w:r>
              <w:rPr>
                <w:rFonts w:hint="eastAsia"/>
                <w:color w:val="000000"/>
                <w:sz w:val="28"/>
              </w:rPr>
              <w:t>宋强</w:t>
            </w:r>
          </w:p>
        </w:tc>
      </w:tr>
    </w:tbl>
    <w:p>
      <w:pPr>
        <w:ind w:firstLine="560"/>
        <w:jc w:val="center"/>
        <w:rPr>
          <w:rFonts w:hint="eastAsia" w:ascii="仿宋" w:hAnsi="仿宋" w:eastAsia="仿宋"/>
          <w:color w:val="000000"/>
          <w:sz w:val="28"/>
          <w:u w:val="single"/>
        </w:rPr>
      </w:pPr>
    </w:p>
    <w:p>
      <w:pPr>
        <w:ind w:firstLine="560"/>
        <w:jc w:val="center"/>
        <w:rPr>
          <w:rFonts w:hint="eastAsia" w:ascii="仿宋" w:hAnsi="仿宋" w:eastAsia="仿宋"/>
          <w:color w:val="000000"/>
          <w:sz w:val="28"/>
          <w:u w:val="single"/>
        </w:rPr>
      </w:pPr>
    </w:p>
    <w:p>
      <w:pPr>
        <w:ind w:firstLine="560"/>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24年6月制定</w:t>
      </w:r>
      <w:r>
        <w:rPr>
          <w:rFonts w:ascii="仿宋_GB2312"/>
          <w:b/>
          <w:bCs/>
          <w:color w:val="000000"/>
          <w:sz w:val="28"/>
          <w:szCs w:val="28"/>
        </w:rPr>
        <w:br w:type="page"/>
      </w:r>
    </w:p>
    <w:p>
      <w:pPr>
        <w:ind w:firstLine="640"/>
        <w:jc w:val="center"/>
        <w:rPr>
          <w:rFonts w:hint="eastAsia" w:ascii="方正小标宋简体" w:hAnsi="黑体" w:eastAsia="方正小标宋简体"/>
          <w:sz w:val="32"/>
          <w:szCs w:val="21"/>
          <w:lang w:val="en-GB"/>
        </w:rPr>
      </w:pPr>
      <w:r>
        <w:rPr>
          <w:rFonts w:hint="eastAsia" w:ascii="方正小标宋简体" w:hAnsi="黑体" w:eastAsia="方正小标宋简体"/>
          <w:sz w:val="32"/>
          <w:szCs w:val="21"/>
          <w:lang w:val="en-GB"/>
        </w:rPr>
        <w:t>《公差与互换性》教学大纲</w:t>
      </w:r>
    </w:p>
    <w:p>
      <w:pPr>
        <w:pStyle w:val="2"/>
        <w:spacing w:before="156" w:after="156"/>
        <w:ind w:firstLine="562"/>
        <w:rPr>
          <w:lang w:bidi="ar"/>
        </w:rPr>
      </w:pPr>
      <w:r>
        <w:rPr>
          <w:lang w:bidi="ar"/>
        </w:rPr>
        <w:t xml:space="preserve">一、课程基本信息 </w:t>
      </w:r>
    </w:p>
    <w:tbl>
      <w:tblPr>
        <w:tblStyle w:val="7"/>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b/>
                <w:bCs/>
              </w:rPr>
              <w:t>课程</w:t>
            </w:r>
            <w:r>
              <w:rPr>
                <w:rFonts w:hint="eastAsia"/>
                <w:b/>
                <w:bCs/>
              </w:rPr>
              <w:t>代码</w:t>
            </w:r>
          </w:p>
        </w:tc>
        <w:tc>
          <w:tcPr>
            <w:tcW w:w="2592" w:type="dxa"/>
            <w:vAlign w:val="center"/>
          </w:tcPr>
          <w:p>
            <w:pPr>
              <w:pStyle w:val="16"/>
              <w:rPr>
                <w:rFonts w:asciiTheme="minorHAnsi" w:hAnsiTheme="minorHAnsi" w:eastAsiaTheme="minorEastAsia"/>
                <w:sz w:val="21"/>
              </w:rPr>
            </w:pPr>
            <w:r>
              <w:rPr>
                <w:rFonts w:eastAsia="宋体" w:cs="Times New Roman"/>
                <w:kern w:val="0"/>
                <w:szCs w:val="24"/>
                <w:lang w:bidi="ar"/>
              </w:rPr>
              <w:t>160408T025</w:t>
            </w:r>
          </w:p>
        </w:tc>
        <w:tc>
          <w:tcPr>
            <w:tcW w:w="1446" w:type="dxa"/>
            <w:vAlign w:val="center"/>
          </w:tcPr>
          <w:p>
            <w:pPr>
              <w:pStyle w:val="16"/>
              <w:rPr>
                <w:b/>
                <w:bCs/>
              </w:rPr>
            </w:pPr>
            <w:r>
              <w:rPr>
                <w:b/>
                <w:bCs/>
              </w:rPr>
              <w:t>开课</w:t>
            </w:r>
            <w:r>
              <w:rPr>
                <w:rFonts w:hint="eastAsia"/>
                <w:b/>
                <w:bCs/>
              </w:rPr>
              <w:t>单位</w:t>
            </w:r>
          </w:p>
        </w:tc>
        <w:tc>
          <w:tcPr>
            <w:tcW w:w="2314" w:type="dxa"/>
            <w:gridSpan w:val="2"/>
            <w:vAlign w:val="center"/>
          </w:tcPr>
          <w:p>
            <w:pPr>
              <w:pStyle w:val="16"/>
            </w:pPr>
            <w:r>
              <w:rPr>
                <w:rFonts w:hint="eastAsia"/>
                <w:lang w:val="en-GB"/>
              </w:rPr>
              <w:t>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b/>
                <w:bCs/>
              </w:rPr>
              <w:t>课程名称（中文）</w:t>
            </w:r>
          </w:p>
        </w:tc>
        <w:tc>
          <w:tcPr>
            <w:tcW w:w="6352" w:type="dxa"/>
            <w:gridSpan w:val="4"/>
            <w:vAlign w:val="center"/>
          </w:tcPr>
          <w:p>
            <w:pPr>
              <w:pStyle w:val="16"/>
              <w:jc w:val="both"/>
            </w:pPr>
            <w:r>
              <w:t>公差与互换性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b/>
                <w:bCs/>
              </w:rPr>
              <w:t>课程名称（英文）</w:t>
            </w:r>
          </w:p>
        </w:tc>
        <w:tc>
          <w:tcPr>
            <w:tcW w:w="6352" w:type="dxa"/>
            <w:gridSpan w:val="4"/>
            <w:vAlign w:val="center"/>
          </w:tcPr>
          <w:p>
            <w:pPr>
              <w:pStyle w:val="16"/>
              <w:jc w:val="both"/>
            </w:pPr>
            <w:r>
              <w:rPr>
                <w:rFonts w:eastAsia="宋体" w:cs="Times New Roman"/>
                <w:szCs w:val="24"/>
                <w:lang w:val="en"/>
              </w:rPr>
              <w:t>Tolerances and Interchangeability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rFonts w:hint="eastAsia"/>
                <w:b/>
                <w:bCs/>
              </w:rPr>
              <w:t>课程类别</w:t>
            </w:r>
          </w:p>
        </w:tc>
        <w:tc>
          <w:tcPr>
            <w:tcW w:w="6352" w:type="dxa"/>
            <w:gridSpan w:val="4"/>
            <w:vAlign w:val="center"/>
          </w:tcPr>
          <w:p>
            <w:pPr>
              <w:pStyle w:val="16"/>
              <w:jc w:val="both"/>
            </w:pPr>
            <w:r>
              <w:rPr>
                <w:rFonts w:hint="eastAsia"/>
              </w:rPr>
              <w:t>学科专业基础课程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rFonts w:hint="eastAsia"/>
                <w:b/>
                <w:bCs/>
              </w:rPr>
              <w:t>适用</w:t>
            </w:r>
            <w:r>
              <w:rPr>
                <w:b/>
                <w:bCs/>
              </w:rPr>
              <w:t>专业</w:t>
            </w:r>
          </w:p>
        </w:tc>
        <w:tc>
          <w:tcPr>
            <w:tcW w:w="6352" w:type="dxa"/>
            <w:gridSpan w:val="4"/>
            <w:vAlign w:val="center"/>
          </w:tcPr>
          <w:p>
            <w:pPr>
              <w:pStyle w:val="16"/>
              <w:jc w:val="both"/>
            </w:pPr>
            <w:r>
              <w:rPr>
                <w:rFonts w:hint="eastAsia"/>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rFonts w:hint="eastAsia"/>
                <w:b/>
                <w:bCs/>
              </w:rPr>
              <w:t>总</w:t>
            </w:r>
            <w:r>
              <w:rPr>
                <w:b/>
                <w:bCs/>
              </w:rPr>
              <w:t>学分</w:t>
            </w:r>
          </w:p>
        </w:tc>
        <w:tc>
          <w:tcPr>
            <w:tcW w:w="2592" w:type="dxa"/>
            <w:vAlign w:val="center"/>
          </w:tcPr>
          <w:p>
            <w:pPr>
              <w:pStyle w:val="16"/>
            </w:pPr>
            <w:r>
              <w:rPr>
                <w:rFonts w:hint="eastAsia"/>
              </w:rPr>
              <w:t>1</w:t>
            </w:r>
          </w:p>
        </w:tc>
        <w:tc>
          <w:tcPr>
            <w:tcW w:w="1693" w:type="dxa"/>
            <w:gridSpan w:val="2"/>
            <w:vAlign w:val="center"/>
          </w:tcPr>
          <w:p>
            <w:pPr>
              <w:pStyle w:val="16"/>
              <w:rPr>
                <w:b/>
                <w:bCs/>
              </w:rPr>
            </w:pPr>
            <w:r>
              <w:rPr>
                <w:rFonts w:hint="eastAsia"/>
                <w:b/>
                <w:bCs/>
              </w:rPr>
              <w:t>总</w:t>
            </w:r>
            <w:r>
              <w:rPr>
                <w:b/>
                <w:bCs/>
              </w:rPr>
              <w:t>学时</w:t>
            </w:r>
          </w:p>
        </w:tc>
        <w:tc>
          <w:tcPr>
            <w:tcW w:w="2067" w:type="dxa"/>
            <w:vAlign w:val="center"/>
          </w:tcPr>
          <w:p>
            <w:pPr>
              <w:pStyle w:val="16"/>
            </w:pPr>
            <w:r>
              <w:rPr>
                <w:rFonts w:hint="eastAsi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b/>
                <w:bCs/>
              </w:rPr>
              <w:t>理论学时</w:t>
            </w:r>
          </w:p>
        </w:tc>
        <w:tc>
          <w:tcPr>
            <w:tcW w:w="2592" w:type="dxa"/>
            <w:shd w:val="clear" w:color="auto" w:fill="auto"/>
            <w:vAlign w:val="center"/>
          </w:tcPr>
          <w:p>
            <w:pPr>
              <w:pStyle w:val="16"/>
            </w:pPr>
            <w:r>
              <w:rPr>
                <w:rFonts w:hint="eastAsia"/>
              </w:rPr>
              <w:t>16</w:t>
            </w:r>
          </w:p>
        </w:tc>
        <w:tc>
          <w:tcPr>
            <w:tcW w:w="1693" w:type="dxa"/>
            <w:gridSpan w:val="2"/>
            <w:shd w:val="clear" w:color="auto" w:fill="auto"/>
            <w:vAlign w:val="center"/>
          </w:tcPr>
          <w:p>
            <w:pPr>
              <w:pStyle w:val="16"/>
              <w:rPr>
                <w:b/>
                <w:bCs/>
              </w:rPr>
            </w:pPr>
            <w:r>
              <w:rPr>
                <w:b/>
                <w:bCs/>
              </w:rPr>
              <w:t>实验学时</w:t>
            </w:r>
          </w:p>
        </w:tc>
        <w:tc>
          <w:tcPr>
            <w:tcW w:w="2067" w:type="dxa"/>
            <w:shd w:val="clear" w:color="auto" w:fill="auto"/>
            <w:vAlign w:val="center"/>
          </w:tcPr>
          <w:p>
            <w:pPr>
              <w:pStyle w:val="16"/>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rFonts w:hint="eastAsia"/>
                <w:b/>
                <w:bCs/>
              </w:rPr>
              <w:t>上机学时</w:t>
            </w:r>
          </w:p>
        </w:tc>
        <w:tc>
          <w:tcPr>
            <w:tcW w:w="2592" w:type="dxa"/>
            <w:shd w:val="clear" w:color="auto" w:fill="auto"/>
            <w:vAlign w:val="center"/>
          </w:tcPr>
          <w:p>
            <w:pPr>
              <w:pStyle w:val="16"/>
            </w:pPr>
            <w:r>
              <w:rPr>
                <w:rFonts w:hint="eastAsia"/>
              </w:rPr>
              <w:t>/</w:t>
            </w:r>
          </w:p>
        </w:tc>
        <w:tc>
          <w:tcPr>
            <w:tcW w:w="1693" w:type="dxa"/>
            <w:gridSpan w:val="2"/>
            <w:shd w:val="clear" w:color="auto" w:fill="auto"/>
            <w:vAlign w:val="center"/>
          </w:tcPr>
          <w:p>
            <w:pPr>
              <w:pStyle w:val="16"/>
              <w:rPr>
                <w:b/>
                <w:bCs/>
              </w:rPr>
            </w:pPr>
            <w:r>
              <w:rPr>
                <w:rFonts w:hint="eastAsia"/>
                <w:b/>
                <w:bCs/>
              </w:rPr>
              <w:t>其他实践学时</w:t>
            </w:r>
          </w:p>
        </w:tc>
        <w:tc>
          <w:tcPr>
            <w:tcW w:w="2067" w:type="dxa"/>
            <w:shd w:val="clear" w:color="auto" w:fill="auto"/>
            <w:vAlign w:val="center"/>
          </w:tcPr>
          <w:p>
            <w:pPr>
              <w:pStyle w:val="16"/>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b/>
                <w:bCs/>
              </w:rPr>
              <w:t>先修课程</w:t>
            </w:r>
          </w:p>
        </w:tc>
        <w:tc>
          <w:tcPr>
            <w:tcW w:w="6352" w:type="dxa"/>
            <w:gridSpan w:val="4"/>
            <w:vAlign w:val="center"/>
          </w:tcPr>
          <w:p>
            <w:pPr>
              <w:pStyle w:val="16"/>
              <w:jc w:val="both"/>
            </w:pPr>
            <w:r>
              <w:rPr>
                <w:rFonts w:hint="eastAsia"/>
              </w:rPr>
              <w:t>画法几何与机械制图，理论力学，机械原理，机械设计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pStyle w:val="16"/>
              <w:rPr>
                <w:b/>
                <w:bCs/>
              </w:rPr>
            </w:pPr>
            <w:r>
              <w:rPr>
                <w:rFonts w:hint="eastAsia"/>
                <w:b/>
                <w:bCs/>
              </w:rPr>
              <w:t>后续课程</w:t>
            </w:r>
          </w:p>
        </w:tc>
        <w:tc>
          <w:tcPr>
            <w:tcW w:w="6352" w:type="dxa"/>
            <w:gridSpan w:val="4"/>
            <w:vAlign w:val="center"/>
          </w:tcPr>
          <w:p>
            <w:pPr>
              <w:pStyle w:val="16"/>
              <w:jc w:val="both"/>
            </w:pPr>
            <w:r>
              <w:rPr>
                <w:rFonts w:hint="eastAsia"/>
              </w:rPr>
              <w:t>机械设计制造及其自动化专业相应课程</w:t>
            </w:r>
          </w:p>
        </w:tc>
      </w:tr>
    </w:tbl>
    <w:p>
      <w:pPr>
        <w:pStyle w:val="2"/>
        <w:spacing w:before="156" w:after="156"/>
        <w:ind w:firstLine="562"/>
        <w:rPr>
          <w:lang w:bidi="ar"/>
        </w:rPr>
      </w:pPr>
      <w:r>
        <w:rPr>
          <w:rFonts w:hint="eastAsia"/>
          <w:lang w:bidi="ar"/>
        </w:rPr>
        <w:t>二、课程简介</w:t>
      </w:r>
    </w:p>
    <w:p>
      <w:pPr>
        <w:ind w:firstLine="480"/>
        <w:rPr>
          <w:lang w:bidi="ar"/>
        </w:rPr>
      </w:pPr>
      <w:r>
        <w:rPr>
          <w:rFonts w:hint="eastAsia"/>
          <w:lang w:bidi="ar"/>
        </w:rPr>
        <w:t>《公差与互换性》是机械设计制造及其自动化专业本科生的一门专业基础课，它包含公差和互换性两部分内容，与机械设计以及加工过程密切相关。本程的主要任务是传授机械零部件精度设计的原则和方法，是联结基础课、其他技术基础课与专业课的纽带。通过该课程学习，使学生掌握机械零部件精度设计的相关知识，掌握零件精度设计的基本内容，达到能在工程图上正确地标注精度的教学目标。</w:t>
      </w:r>
    </w:p>
    <w:p>
      <w:pPr>
        <w:ind w:firstLine="480"/>
        <w:rPr>
          <w:lang w:bidi="ar"/>
        </w:rPr>
      </w:pPr>
      <w:r>
        <w:rPr>
          <w:rFonts w:hint="eastAsia"/>
          <w:lang w:bidi="ar"/>
        </w:rPr>
        <w:t>本课程主要介绍机械零部件的尺寸公差、几何公差、表面粗糙度等机械精度指标，是机械工程图中必不可少的组成部分，同时还介绍了包括滚动轴承及配件、螺纹结合、圆柱齿轮、键和花键联结的精度。本课程实践性较强，通过课堂上的练习就可完成实践能力培养，在实践练习过程中引入相关案例进行思政教育，可以培养学生严谨细致、遵守规则的职业精神和工匠精神。</w:t>
      </w:r>
    </w:p>
    <w:p>
      <w:pPr>
        <w:ind w:firstLine="480"/>
        <w:rPr>
          <w:lang w:bidi="ar"/>
        </w:rPr>
      </w:pPr>
    </w:p>
    <w:p>
      <w:pPr>
        <w:pStyle w:val="2"/>
        <w:spacing w:before="156" w:after="156"/>
        <w:ind w:firstLine="562"/>
        <w:rPr>
          <w:lang w:bidi="ar"/>
        </w:rPr>
      </w:pPr>
      <w:r>
        <w:rPr>
          <w:rFonts w:hint="eastAsia"/>
          <w:lang w:bidi="ar"/>
        </w:rPr>
        <w:t>三</w:t>
      </w:r>
      <w:r>
        <w:rPr>
          <w:lang w:bidi="ar"/>
        </w:rPr>
        <w:t>、课程目标</w:t>
      </w:r>
      <w:r>
        <w:rPr>
          <w:rFonts w:hint="eastAsia"/>
          <w:lang w:bidi="ar"/>
        </w:rPr>
        <w:t>及对毕业要求的支撑</w:t>
      </w:r>
    </w:p>
    <w:p>
      <w:pPr>
        <w:pStyle w:val="3"/>
        <w:rPr>
          <w:lang w:bidi="ar"/>
        </w:rPr>
      </w:pPr>
      <w:r>
        <w:t>（</w:t>
      </w:r>
      <w:r>
        <w:rPr>
          <w:rFonts w:hint="eastAsia"/>
        </w:rPr>
        <w:t>一</w:t>
      </w:r>
      <w:r>
        <w:t>）</w:t>
      </w:r>
      <w:r>
        <w:rPr>
          <w:rFonts w:hint="eastAsia"/>
        </w:rPr>
        <w:t>课程目标</w:t>
      </w:r>
    </w:p>
    <w:p>
      <w:pPr>
        <w:ind w:firstLine="480"/>
        <w:rPr>
          <w:lang w:bidi="ar"/>
        </w:rPr>
      </w:pPr>
      <w:r>
        <w:rPr>
          <w:rFonts w:hint="eastAsia"/>
          <w:lang w:bidi="ar"/>
        </w:rPr>
        <w:t>通过学习本课程，使学生获得有关机械精度设计方面的基本理论、基本知识和基本技能。学习本课为后续课程（加工工艺设计、毕业设计）奠定基础，为科学研究和生产实践奠定坚实的理论基础。学习掌握本课程后，学生具有在机械工程领域进行相关工作的实践能力。</w:t>
      </w:r>
    </w:p>
    <w:p>
      <w:pPr>
        <w:ind w:firstLine="482"/>
        <w:rPr>
          <w:lang w:bidi="ar"/>
        </w:rPr>
      </w:pPr>
      <w:r>
        <w:rPr>
          <w:rFonts w:hint="eastAsia"/>
          <w:b/>
          <w:bCs/>
          <w:lang w:val="en-GB" w:bidi="ar"/>
        </w:rPr>
        <w:t>目标1：</w:t>
      </w:r>
      <w:r>
        <w:rPr>
          <w:rFonts w:hint="eastAsia"/>
          <w:lang w:bidi="ar"/>
        </w:rPr>
        <w:t>掌握零件的尺寸公差、几何公差和表面轮廓粗糙度的基本内容，能辨识几何公差特征项目的名称及符号。</w:t>
      </w:r>
    </w:p>
    <w:p>
      <w:pPr>
        <w:ind w:firstLine="482"/>
        <w:rPr>
          <w:lang w:bidi="ar"/>
        </w:rPr>
      </w:pPr>
      <w:r>
        <w:rPr>
          <w:rFonts w:hint="eastAsia"/>
          <w:b/>
          <w:bCs/>
          <w:lang w:bidi="ar"/>
        </w:rPr>
        <w:t>思政目标：</w:t>
      </w:r>
      <w:r>
        <w:rPr>
          <w:rFonts w:hint="eastAsia"/>
          <w:lang w:bidi="ar"/>
        </w:rPr>
        <w:t>引入日常生活中在互换性方面的应用，引导学生树立标准的初步意识，以及“标准化的东西才是成本最低的”，从而教育学生要准守标准，继而要遵纪守法。</w:t>
      </w:r>
    </w:p>
    <w:p>
      <w:pPr>
        <w:ind w:firstLine="482"/>
        <w:rPr>
          <w:lang w:val="en-GB" w:bidi="ar"/>
        </w:rPr>
      </w:pPr>
      <w:r>
        <w:rPr>
          <w:rFonts w:hint="eastAsia"/>
          <w:b/>
          <w:bCs/>
          <w:lang w:val="en-GB" w:bidi="ar"/>
        </w:rPr>
        <w:t>目标2：</w:t>
      </w:r>
      <w:r>
        <w:rPr>
          <w:rFonts w:hint="eastAsia"/>
          <w:lang w:val="en-GB" w:bidi="ar"/>
        </w:rPr>
        <w:t>熟悉各级公差标准的基本内容，能正确掌握并绘制公差带图及公差与配合图。</w:t>
      </w:r>
    </w:p>
    <w:p>
      <w:pPr>
        <w:ind w:firstLine="482"/>
        <w:rPr>
          <w:lang w:bidi="ar"/>
        </w:rPr>
      </w:pPr>
      <w:r>
        <w:rPr>
          <w:rFonts w:hint="eastAsia"/>
          <w:b/>
          <w:bCs/>
          <w:lang w:bidi="ar"/>
        </w:rPr>
        <w:t>思政目标：</w:t>
      </w:r>
      <w:r>
        <w:rPr>
          <w:rFonts w:hint="eastAsia"/>
          <w:lang w:bidi="ar"/>
        </w:rPr>
        <w:t>讲授我国机床工业面临技术封锁，“卡脖子”问题突出。培养学创新意识和突破思维，激发学生产业报国的爱国情怀。</w:t>
      </w:r>
    </w:p>
    <w:p>
      <w:pPr>
        <w:ind w:firstLine="482"/>
        <w:rPr>
          <w:lang w:bidi="ar"/>
        </w:rPr>
      </w:pPr>
      <w:r>
        <w:rPr>
          <w:rFonts w:hint="eastAsia"/>
          <w:b/>
          <w:bCs/>
          <w:lang w:val="en-GB" w:bidi="ar"/>
        </w:rPr>
        <w:t>目标3：</w:t>
      </w:r>
      <w:r>
        <w:rPr>
          <w:rFonts w:hint="eastAsia"/>
          <w:lang w:val="en-GB" w:bidi="ar"/>
        </w:rPr>
        <w:t>熟悉标准公差和基本偏差系列，</w:t>
      </w:r>
      <w:r>
        <w:rPr>
          <w:rFonts w:hint="eastAsia"/>
          <w:lang w:bidi="ar"/>
        </w:rPr>
        <w:t>利用常用公差带与优先、常用配合，可将精度设计的公差指标正确地标注在工程图纸上。</w:t>
      </w:r>
    </w:p>
    <w:p>
      <w:pPr>
        <w:ind w:firstLine="482"/>
        <w:rPr>
          <w:lang w:val="en-GB" w:bidi="ar"/>
        </w:rPr>
      </w:pPr>
      <w:r>
        <w:rPr>
          <w:rFonts w:hint="eastAsia"/>
          <w:b/>
          <w:bCs/>
          <w:lang w:bidi="ar"/>
        </w:rPr>
        <w:t>思政目标</w:t>
      </w:r>
      <w:r>
        <w:rPr>
          <w:rFonts w:hint="eastAsia"/>
          <w:lang w:bidi="ar"/>
        </w:rPr>
        <w:t>：继续讲授标准的重要性，通过历史上</w:t>
      </w:r>
      <w:r>
        <w:rPr>
          <w:rFonts w:hint="eastAsia" w:ascii="仿宋" w:hAnsi="仿宋" w:eastAsia="仿宋"/>
          <w:szCs w:val="21"/>
        </w:rPr>
        <w:t>“</w:t>
      </w:r>
      <w:r>
        <w:rPr>
          <w:rFonts w:hint="eastAsia"/>
          <w:lang w:val="en-GB" w:bidi="ar"/>
        </w:rPr>
        <w:t>书同文，车同轨”，统一度量衡的历史事件，来引导学生加强标准化意识，增强学生中华民族历史认同感和自豪感。</w:t>
      </w:r>
    </w:p>
    <w:p>
      <w:pPr>
        <w:ind w:firstLine="482"/>
        <w:rPr>
          <w:lang w:val="en-GB" w:bidi="ar"/>
        </w:rPr>
      </w:pPr>
      <w:r>
        <w:rPr>
          <w:rFonts w:hint="eastAsia"/>
          <w:b/>
          <w:bCs/>
          <w:lang w:val="en-GB" w:bidi="ar"/>
        </w:rPr>
        <w:t>目标4：</w:t>
      </w:r>
      <w:r>
        <w:rPr>
          <w:rFonts w:hint="eastAsia"/>
          <w:lang w:val="en-GB" w:bidi="ar"/>
        </w:rPr>
        <w:t>掌握表面粗糙度轮廓精度的选用原则，可根据零件表面的加工方法和不同用途，对其进行合理选用及正确标注。</w:t>
      </w:r>
    </w:p>
    <w:p>
      <w:pPr>
        <w:ind w:firstLine="482"/>
        <w:rPr>
          <w:lang w:val="en-GB" w:bidi="ar"/>
        </w:rPr>
      </w:pPr>
      <w:r>
        <w:rPr>
          <w:rFonts w:hint="eastAsia"/>
          <w:b/>
          <w:bCs/>
          <w:lang w:bidi="ar"/>
        </w:rPr>
        <w:t>思政目标：</w:t>
      </w:r>
      <w:r>
        <w:rPr>
          <w:rFonts w:hint="eastAsia"/>
          <w:lang w:val="en-GB" w:bidi="ar"/>
        </w:rPr>
        <w:t>引导学生要学会从细分领域看世界，着眼未来发展寻找突破点，制定自身发展规划，尽快适应科技发展的需求。</w:t>
      </w:r>
    </w:p>
    <w:p>
      <w:pPr>
        <w:ind w:firstLine="482"/>
        <w:rPr>
          <w:lang w:val="en-GB" w:bidi="ar"/>
        </w:rPr>
      </w:pPr>
      <w:r>
        <w:rPr>
          <w:rFonts w:hint="eastAsia"/>
          <w:b/>
          <w:bCs/>
          <w:lang w:val="en-GB" w:bidi="ar"/>
        </w:rPr>
        <w:t>目标5：</w:t>
      </w:r>
      <w:r>
        <w:rPr>
          <w:rFonts w:hint="eastAsia"/>
          <w:lang w:val="en-GB" w:bidi="ar"/>
        </w:rPr>
        <w:t>掌握几种典型零部件（滚动轴承、螺纹、圆柱齿轮、键和花键）结构及制造特点，可根据具体工况对其进行精度设计。</w:t>
      </w:r>
    </w:p>
    <w:p>
      <w:pPr>
        <w:ind w:firstLine="482"/>
        <w:rPr>
          <w:lang w:bidi="ar"/>
        </w:rPr>
      </w:pPr>
      <w:r>
        <w:rPr>
          <w:rFonts w:hint="eastAsia"/>
          <w:b/>
          <w:bCs/>
          <w:lang w:bidi="ar"/>
        </w:rPr>
        <w:t>思政目标：</w:t>
      </w:r>
      <w:r>
        <w:rPr>
          <w:rFonts w:hint="eastAsia"/>
          <w:lang w:bidi="ar"/>
        </w:rPr>
        <w:t>引导学生从零件的公差要求中，体会工匠精神，激发责任心和敢于负责的勇气，建立起立德树人的品德。</w:t>
      </w:r>
    </w:p>
    <w:p>
      <w:pPr>
        <w:pStyle w:val="3"/>
      </w:pPr>
      <w:r>
        <w:rPr>
          <w:rFonts w:hint="eastAsia"/>
          <w:lang w:bidi="ar"/>
        </w:rPr>
        <w:t>（二）</w:t>
      </w:r>
      <w:r>
        <w:rPr>
          <w:rFonts w:hint="eastAsia"/>
        </w:rPr>
        <w:t>课程目标对毕业要求的支撑</w:t>
      </w:r>
    </w:p>
    <w:tbl>
      <w:tblPr>
        <w:tblStyle w:val="7"/>
        <w:tblW w:w="5000" w:type="pct"/>
        <w:jc w:val="center"/>
        <w:tblLayout w:type="autofit"/>
        <w:tblCellMar>
          <w:top w:w="0" w:type="dxa"/>
          <w:left w:w="108" w:type="dxa"/>
          <w:bottom w:w="0" w:type="dxa"/>
          <w:right w:w="108" w:type="dxa"/>
        </w:tblCellMar>
      </w:tblPr>
      <w:tblGrid>
        <w:gridCol w:w="2660"/>
        <w:gridCol w:w="2545"/>
        <w:gridCol w:w="2250"/>
        <w:gridCol w:w="1549"/>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rPr>
                <w:b/>
                <w:bCs/>
              </w:rPr>
            </w:pPr>
            <w:r>
              <w:rPr>
                <w:rFonts w:hint="eastAsia"/>
                <w:b/>
                <w:bCs/>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pStyle w:val="16"/>
              <w:rPr>
                <w:b/>
                <w:bCs/>
              </w:rPr>
            </w:pPr>
            <w:r>
              <w:rPr>
                <w:rFonts w:hint="eastAsia"/>
                <w:b/>
                <w:bCs/>
              </w:rPr>
              <w:t>观测点</w:t>
            </w:r>
          </w:p>
        </w:tc>
        <w:tc>
          <w:tcPr>
            <w:tcW w:w="1249" w:type="pct"/>
            <w:tcBorders>
              <w:top w:val="single" w:color="auto" w:sz="4" w:space="0"/>
              <w:left w:val="nil"/>
              <w:bottom w:val="single" w:color="auto" w:sz="4" w:space="0"/>
              <w:right w:val="single" w:color="auto" w:sz="4" w:space="0"/>
            </w:tcBorders>
            <w:vAlign w:val="center"/>
          </w:tcPr>
          <w:p>
            <w:pPr>
              <w:pStyle w:val="16"/>
              <w:rPr>
                <w:b/>
                <w:bCs/>
              </w:rPr>
            </w:pPr>
            <w:r>
              <w:rPr>
                <w:rFonts w:hint="eastAsia"/>
                <w:b/>
                <w:bCs/>
              </w:rPr>
              <w:t>课程目标</w:t>
            </w:r>
          </w:p>
        </w:tc>
        <w:tc>
          <w:tcPr>
            <w:tcW w:w="860" w:type="pct"/>
            <w:tcBorders>
              <w:top w:val="single" w:color="auto" w:sz="4" w:space="0"/>
              <w:left w:val="nil"/>
              <w:bottom w:val="single" w:color="auto" w:sz="4" w:space="0"/>
              <w:right w:val="single" w:color="auto" w:sz="4" w:space="0"/>
            </w:tcBorders>
            <w:vAlign w:val="center"/>
          </w:tcPr>
          <w:p>
            <w:pPr>
              <w:pStyle w:val="16"/>
              <w:rPr>
                <w:b/>
                <w:bCs/>
              </w:rPr>
            </w:pPr>
            <w:r>
              <w:rPr>
                <w:rFonts w:hint="eastAsia"/>
                <w:b/>
                <w:bCs/>
              </w:rPr>
              <w:t>支撑强度</w:t>
            </w:r>
          </w:p>
        </w:tc>
      </w:tr>
      <w:tr>
        <w:tblPrEx>
          <w:tblCellMar>
            <w:top w:w="0" w:type="dxa"/>
            <w:left w:w="108" w:type="dxa"/>
            <w:bottom w:w="0" w:type="dxa"/>
            <w:right w:w="108" w:type="dxa"/>
          </w:tblCellMar>
        </w:tblPrEx>
        <w:trPr>
          <w:trHeight w:val="41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pStyle w:val="16"/>
              <w:jc w:val="both"/>
              <w:rPr>
                <w:b/>
              </w:rPr>
            </w:pPr>
            <w:r>
              <w:rPr>
                <w:rFonts w:hint="eastAsia"/>
                <w:b/>
              </w:rPr>
              <w:t>毕业要求6：</w:t>
            </w:r>
          </w:p>
          <w:p>
            <w:pPr>
              <w:pStyle w:val="16"/>
              <w:jc w:val="both"/>
              <w:rPr>
                <w:color w:val="0070C0"/>
              </w:rPr>
            </w:pPr>
            <w:r>
              <w:rPr>
                <w:rFonts w:cs="仿宋"/>
                <w:sz w:val="18"/>
                <w:szCs w:val="18"/>
              </w:rPr>
              <w:t>能够基于工程相关背景知识进行合理分析，评价机械工程领域内的专业工程实践和复杂工程问题解决方案对社会、健康、安全、法律以及文化的影响，并理解应承担的责任</w:t>
            </w:r>
            <w:r>
              <w:rPr>
                <w:rFonts w:hint="eastAsia" w:cs="仿宋"/>
                <w:szCs w:val="21"/>
              </w:rPr>
              <w:t>。</w:t>
            </w:r>
          </w:p>
        </w:tc>
        <w:tc>
          <w:tcPr>
            <w:tcW w:w="1413" w:type="pct"/>
            <w:tcBorders>
              <w:top w:val="single" w:color="auto" w:sz="4" w:space="0"/>
              <w:left w:val="nil"/>
              <w:bottom w:val="single" w:color="auto" w:sz="4" w:space="0"/>
              <w:right w:val="single" w:color="auto" w:sz="4" w:space="0"/>
            </w:tcBorders>
          </w:tcPr>
          <w:p>
            <w:pPr>
              <w:pStyle w:val="16"/>
              <w:jc w:val="both"/>
              <w:rPr>
                <w:b/>
              </w:rPr>
            </w:pPr>
            <w:r>
              <w:rPr>
                <w:b/>
              </w:rPr>
              <w:t>观测点</w:t>
            </w:r>
            <w:r>
              <w:rPr>
                <w:rFonts w:hint="eastAsia"/>
                <w:b/>
              </w:rPr>
              <w:t>6.1：</w:t>
            </w:r>
          </w:p>
          <w:p>
            <w:pPr>
              <w:pStyle w:val="16"/>
              <w:jc w:val="both"/>
              <w:rPr>
                <w:color w:val="0070C0"/>
              </w:rPr>
            </w:pPr>
            <w:r>
              <w:rPr>
                <w:rFonts w:cs="仿宋"/>
                <w:sz w:val="18"/>
                <w:szCs w:val="18"/>
              </w:rPr>
              <w:t>了解并掌握机械工程特别是石油工程装备领域内的相关技术标准、知识产权、行业政策和法律法规</w:t>
            </w:r>
            <w:r>
              <w:rPr>
                <w:rFonts w:hint="eastAsia"/>
                <w:color w:val="0070C0"/>
              </w:rPr>
              <w:t>。</w:t>
            </w:r>
          </w:p>
          <w:p>
            <w:pPr>
              <w:pStyle w:val="16"/>
              <w:jc w:val="both"/>
              <w:rPr>
                <w:color w:val="0070C0"/>
              </w:rPr>
            </w:pPr>
          </w:p>
        </w:tc>
        <w:tc>
          <w:tcPr>
            <w:tcW w:w="1249" w:type="pct"/>
            <w:tcBorders>
              <w:top w:val="single" w:color="auto" w:sz="4" w:space="0"/>
              <w:left w:val="nil"/>
              <w:bottom w:val="single" w:color="auto" w:sz="4" w:space="0"/>
              <w:right w:val="single" w:color="auto" w:sz="4" w:space="0"/>
            </w:tcBorders>
            <w:vAlign w:val="center"/>
          </w:tcPr>
          <w:p>
            <w:pPr>
              <w:pStyle w:val="16"/>
              <w:jc w:val="both"/>
              <w:rPr>
                <w:b/>
              </w:rPr>
            </w:pPr>
            <w:r>
              <w:rPr>
                <w:rFonts w:hint="eastAsia"/>
                <w:b/>
              </w:rPr>
              <w:t>课程目标1：</w:t>
            </w:r>
          </w:p>
          <w:p>
            <w:pPr>
              <w:pStyle w:val="16"/>
              <w:jc w:val="both"/>
              <w:rPr>
                <w:rFonts w:cs="仿宋"/>
                <w:sz w:val="18"/>
                <w:szCs w:val="18"/>
              </w:rPr>
            </w:pPr>
            <w:r>
              <w:rPr>
                <w:rFonts w:hint="eastAsia" w:cs="仿宋"/>
                <w:sz w:val="18"/>
                <w:szCs w:val="18"/>
              </w:rPr>
              <w:t>理论基础、</w:t>
            </w:r>
          </w:p>
          <w:p>
            <w:pPr>
              <w:pStyle w:val="16"/>
              <w:jc w:val="both"/>
            </w:pPr>
            <w:r>
              <w:rPr>
                <w:rFonts w:hint="eastAsia" w:cs="仿宋"/>
                <w:sz w:val="18"/>
                <w:szCs w:val="18"/>
              </w:rPr>
              <w:t>工程素养</w:t>
            </w:r>
          </w:p>
        </w:tc>
        <w:tc>
          <w:tcPr>
            <w:tcW w:w="860" w:type="pct"/>
            <w:tcBorders>
              <w:top w:val="single" w:color="auto" w:sz="4" w:space="0"/>
              <w:left w:val="nil"/>
              <w:bottom w:val="single" w:color="auto" w:sz="4" w:space="0"/>
              <w:right w:val="single" w:color="auto" w:sz="4" w:space="0"/>
            </w:tcBorders>
            <w:vAlign w:val="center"/>
          </w:tcPr>
          <w:p>
            <w:pPr>
              <w:pStyle w:val="16"/>
            </w:pPr>
            <w:r>
              <w:rPr>
                <w:rFonts w:hint="eastAsia"/>
              </w:rPr>
              <w:t>□L</w:t>
            </w:r>
          </w:p>
          <w:p>
            <w:pPr>
              <w:pStyle w:val="16"/>
            </w:pPr>
            <w:r>
              <w:rPr>
                <w:rFonts w:ascii="Segoe UI Symbol" w:hAnsi="Segoe UI Symbol" w:cs="Segoe UI Symbol"/>
              </w:rPr>
              <w:t>☑</w:t>
            </w:r>
            <w:r>
              <w:rPr>
                <w:rFonts w:hint="eastAsia"/>
              </w:rPr>
              <w:t>M</w:t>
            </w:r>
          </w:p>
          <w:p>
            <w:pPr>
              <w:pStyle w:val="16"/>
            </w:pPr>
            <w:r>
              <w:rPr>
                <w:rFonts w:hint="eastAsia"/>
              </w:rPr>
              <w:t>□H</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pStyle w:val="16"/>
              <w:jc w:val="both"/>
              <w:rPr>
                <w:b/>
              </w:rPr>
            </w:pPr>
            <w:r>
              <w:rPr>
                <w:rFonts w:hint="eastAsia"/>
                <w:b/>
              </w:rPr>
              <w:t>毕业要求2：</w:t>
            </w:r>
          </w:p>
          <w:p>
            <w:pPr>
              <w:pStyle w:val="16"/>
              <w:jc w:val="both"/>
              <w:rPr>
                <w:bCs/>
              </w:rPr>
            </w:pPr>
            <w:r>
              <w:rPr>
                <w:rFonts w:cs="仿宋"/>
                <w:sz w:val="18"/>
                <w:szCs w:val="18"/>
              </w:rPr>
              <w:t>能够应用数学、自然科学和工程科学的基本原理，识别、表达、并通过文献研究分析机械工程领域内的复杂工程问题，以获得有效结论</w:t>
            </w:r>
            <w:r>
              <w:rPr>
                <w:rFonts w:hint="eastAsia" w:cs="仿宋"/>
                <w:szCs w:val="21"/>
              </w:rPr>
              <w:t>。</w:t>
            </w:r>
          </w:p>
        </w:tc>
        <w:tc>
          <w:tcPr>
            <w:tcW w:w="1413" w:type="pct"/>
            <w:tcBorders>
              <w:top w:val="single" w:color="auto" w:sz="4" w:space="0"/>
              <w:left w:val="nil"/>
              <w:bottom w:val="single" w:color="auto" w:sz="4" w:space="0"/>
              <w:right w:val="single" w:color="auto" w:sz="4" w:space="0"/>
            </w:tcBorders>
          </w:tcPr>
          <w:p>
            <w:pPr>
              <w:pStyle w:val="16"/>
              <w:jc w:val="both"/>
              <w:rPr>
                <w:b/>
              </w:rPr>
            </w:pPr>
            <w:r>
              <w:rPr>
                <w:b/>
              </w:rPr>
              <w:t>观测点</w:t>
            </w:r>
            <w:r>
              <w:rPr>
                <w:rFonts w:hint="eastAsia"/>
                <w:b/>
              </w:rPr>
              <w:t>2.</w:t>
            </w:r>
            <w:r>
              <w:rPr>
                <w:b/>
              </w:rPr>
              <w:t>2</w:t>
            </w:r>
            <w:r>
              <w:rPr>
                <w:rFonts w:hint="eastAsia"/>
                <w:b/>
              </w:rPr>
              <w:t>：</w:t>
            </w:r>
          </w:p>
          <w:p>
            <w:pPr>
              <w:pStyle w:val="16"/>
              <w:jc w:val="both"/>
              <w:rPr>
                <w:bCs/>
              </w:rPr>
            </w:pPr>
            <w:r>
              <w:rPr>
                <w:rFonts w:cs="仿宋"/>
                <w:sz w:val="18"/>
                <w:szCs w:val="18"/>
              </w:rPr>
              <w:t>能应用工程科学的基本原理，对机械工程领域内的复杂工程问题进行</w:t>
            </w:r>
            <w:r>
              <w:rPr>
                <w:rFonts w:hint="eastAsia" w:cs="仿宋"/>
                <w:sz w:val="18"/>
                <w:szCs w:val="18"/>
              </w:rPr>
              <w:t>分析与表达</w:t>
            </w:r>
            <w:r>
              <w:rPr>
                <w:rFonts w:hint="eastAsia" w:cs="仿宋"/>
                <w:szCs w:val="21"/>
              </w:rPr>
              <w:t>。</w:t>
            </w:r>
          </w:p>
        </w:tc>
        <w:tc>
          <w:tcPr>
            <w:tcW w:w="1249" w:type="pct"/>
            <w:tcBorders>
              <w:top w:val="single" w:color="auto" w:sz="4" w:space="0"/>
              <w:left w:val="nil"/>
              <w:bottom w:val="single" w:color="auto" w:sz="4" w:space="0"/>
              <w:right w:val="single" w:color="auto" w:sz="4" w:space="0"/>
            </w:tcBorders>
            <w:vAlign w:val="center"/>
          </w:tcPr>
          <w:p>
            <w:pPr>
              <w:pStyle w:val="16"/>
              <w:jc w:val="both"/>
              <w:rPr>
                <w:b/>
              </w:rPr>
            </w:pPr>
            <w:r>
              <w:rPr>
                <w:rFonts w:hint="eastAsia"/>
                <w:b/>
              </w:rPr>
              <w:t>课程目标</w:t>
            </w:r>
            <w:r>
              <w:rPr>
                <w:b/>
              </w:rPr>
              <w:t>2</w:t>
            </w:r>
            <w:r>
              <w:rPr>
                <w:rFonts w:hint="eastAsia"/>
                <w:b/>
              </w:rPr>
              <w:t>：</w:t>
            </w:r>
          </w:p>
          <w:p>
            <w:pPr>
              <w:pStyle w:val="16"/>
              <w:jc w:val="both"/>
              <w:rPr>
                <w:rFonts w:cs="仿宋"/>
                <w:sz w:val="18"/>
                <w:szCs w:val="18"/>
              </w:rPr>
            </w:pPr>
            <w:r>
              <w:rPr>
                <w:rFonts w:hint="eastAsia" w:cs="仿宋"/>
                <w:sz w:val="18"/>
                <w:szCs w:val="18"/>
              </w:rPr>
              <w:t>公差图样表达、</w:t>
            </w:r>
          </w:p>
          <w:p>
            <w:pPr>
              <w:pStyle w:val="16"/>
              <w:jc w:val="both"/>
            </w:pPr>
            <w:r>
              <w:rPr>
                <w:rFonts w:hint="eastAsia" w:cs="仿宋"/>
                <w:sz w:val="18"/>
                <w:szCs w:val="18"/>
              </w:rPr>
              <w:t>创新思维</w:t>
            </w:r>
          </w:p>
        </w:tc>
        <w:tc>
          <w:tcPr>
            <w:tcW w:w="860" w:type="pct"/>
            <w:tcBorders>
              <w:top w:val="single" w:color="auto" w:sz="4" w:space="0"/>
              <w:left w:val="nil"/>
              <w:bottom w:val="single" w:color="auto" w:sz="4" w:space="0"/>
              <w:right w:val="single" w:color="auto" w:sz="4" w:space="0"/>
            </w:tcBorders>
            <w:vAlign w:val="center"/>
          </w:tcPr>
          <w:p>
            <w:pPr>
              <w:pStyle w:val="16"/>
            </w:pPr>
            <w:r>
              <w:rPr>
                <w:rFonts w:hint="eastAsia"/>
              </w:rPr>
              <w:t>□L</w:t>
            </w:r>
          </w:p>
          <w:p>
            <w:pPr>
              <w:pStyle w:val="16"/>
            </w:pPr>
            <w:r>
              <w:rPr>
                <w:rFonts w:hint="eastAsia"/>
              </w:rPr>
              <w:t>□M</w:t>
            </w:r>
          </w:p>
          <w:p>
            <w:pPr>
              <w:pStyle w:val="16"/>
            </w:pPr>
            <w:r>
              <w:rPr>
                <w:rFonts w:ascii="Segoe UI Symbol" w:hAnsi="Segoe UI Symbol" w:cs="Segoe UI Symbol"/>
              </w:rPr>
              <w:t>☑</w:t>
            </w:r>
            <w:r>
              <w:rPr>
                <w:rFonts w:hint="eastAsia"/>
              </w:rPr>
              <w:t>H</w:t>
            </w:r>
          </w:p>
        </w:tc>
      </w:tr>
      <w:tr>
        <w:tblPrEx>
          <w:tblCellMar>
            <w:top w:w="0" w:type="dxa"/>
            <w:left w:w="108" w:type="dxa"/>
            <w:bottom w:w="0" w:type="dxa"/>
            <w:right w:w="108" w:type="dxa"/>
          </w:tblCellMar>
        </w:tblPrEx>
        <w:trPr>
          <w:trHeight w:val="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pStyle w:val="16"/>
              <w:jc w:val="both"/>
              <w:rPr>
                <w:b/>
              </w:rPr>
            </w:pPr>
            <w:r>
              <w:rPr>
                <w:rFonts w:hint="eastAsia"/>
                <w:b/>
              </w:rPr>
              <w:t>毕业要求10：</w:t>
            </w:r>
          </w:p>
          <w:p>
            <w:pPr>
              <w:pStyle w:val="16"/>
              <w:jc w:val="both"/>
              <w:rPr>
                <w:rFonts w:cs="仿宋"/>
                <w:szCs w:val="21"/>
              </w:rPr>
            </w:pPr>
            <w:r>
              <w:rPr>
                <w:rFonts w:cs="仿宋"/>
                <w:sz w:val="18"/>
                <w:szCs w:val="15"/>
              </w:rPr>
              <w:t>能够就机械工程领域内的复杂工程问题与业界同行及社会公众进行有效沟通和交流，包括撰写报告和设计文稿、陈述发言、清晰表达或回应指令。并具备一定的国际视野，能够在跨文化背景下进行沟通和交流。</w:t>
            </w:r>
          </w:p>
        </w:tc>
        <w:tc>
          <w:tcPr>
            <w:tcW w:w="1413" w:type="pct"/>
            <w:tcBorders>
              <w:top w:val="single" w:color="auto" w:sz="4" w:space="0"/>
              <w:left w:val="nil"/>
              <w:bottom w:val="single" w:color="auto" w:sz="4" w:space="0"/>
              <w:right w:val="single" w:color="auto" w:sz="4" w:space="0"/>
            </w:tcBorders>
          </w:tcPr>
          <w:p>
            <w:pPr>
              <w:pStyle w:val="16"/>
              <w:jc w:val="both"/>
              <w:rPr>
                <w:b/>
              </w:rPr>
            </w:pPr>
            <w:r>
              <w:rPr>
                <w:rFonts w:hint="eastAsia"/>
                <w:b/>
              </w:rPr>
              <w:t>观测点10.1：</w:t>
            </w:r>
          </w:p>
          <w:p>
            <w:pPr>
              <w:pStyle w:val="16"/>
              <w:jc w:val="both"/>
              <w:rPr>
                <w:rFonts w:cs="仿宋"/>
                <w:szCs w:val="21"/>
              </w:rPr>
            </w:pPr>
            <w:r>
              <w:rPr>
                <w:rFonts w:cs="仿宋"/>
                <w:sz w:val="18"/>
                <w:szCs w:val="15"/>
              </w:rPr>
              <w:t>能够</w:t>
            </w:r>
            <w:r>
              <w:rPr>
                <w:rFonts w:hint="eastAsia" w:cs="仿宋"/>
                <w:sz w:val="18"/>
                <w:szCs w:val="15"/>
              </w:rPr>
              <w:t>围绕机械工程领域内的复杂工程问题与业界同行及社会公众进行有效沟通和交流，包括撰写报告和设计文稿、陈述发言、清晰表达或回应指令。</w:t>
            </w:r>
          </w:p>
        </w:tc>
        <w:tc>
          <w:tcPr>
            <w:tcW w:w="1249" w:type="pct"/>
            <w:tcBorders>
              <w:top w:val="single" w:color="auto" w:sz="4" w:space="0"/>
              <w:left w:val="nil"/>
              <w:bottom w:val="single" w:color="auto" w:sz="4" w:space="0"/>
              <w:right w:val="single" w:color="auto" w:sz="4" w:space="0"/>
            </w:tcBorders>
            <w:vAlign w:val="center"/>
          </w:tcPr>
          <w:p>
            <w:pPr>
              <w:pStyle w:val="16"/>
              <w:jc w:val="both"/>
              <w:rPr>
                <w:b/>
              </w:rPr>
            </w:pPr>
            <w:r>
              <w:rPr>
                <w:rFonts w:hint="eastAsia"/>
                <w:b/>
              </w:rPr>
              <w:t>课程目标</w:t>
            </w:r>
            <w:r>
              <w:rPr>
                <w:b/>
              </w:rPr>
              <w:t>3</w:t>
            </w:r>
            <w:r>
              <w:rPr>
                <w:rFonts w:hint="eastAsia"/>
                <w:b/>
              </w:rPr>
              <w:t>、4、5：</w:t>
            </w:r>
          </w:p>
          <w:p>
            <w:pPr>
              <w:pStyle w:val="16"/>
              <w:jc w:val="both"/>
              <w:rPr>
                <w:rFonts w:cs="仿宋"/>
                <w:sz w:val="18"/>
                <w:szCs w:val="18"/>
              </w:rPr>
            </w:pPr>
            <w:r>
              <w:rPr>
                <w:rFonts w:hint="eastAsia" w:cs="仿宋"/>
                <w:sz w:val="18"/>
                <w:szCs w:val="18"/>
              </w:rPr>
              <w:t>设计表达、</w:t>
            </w:r>
          </w:p>
          <w:p>
            <w:pPr>
              <w:pStyle w:val="16"/>
              <w:jc w:val="both"/>
              <w:rPr>
                <w:b/>
              </w:rPr>
            </w:pPr>
            <w:r>
              <w:rPr>
                <w:rFonts w:hint="eastAsia" w:cs="仿宋"/>
                <w:sz w:val="18"/>
                <w:szCs w:val="18"/>
              </w:rPr>
              <w:t>树立理想</w:t>
            </w:r>
          </w:p>
        </w:tc>
        <w:tc>
          <w:tcPr>
            <w:tcW w:w="860" w:type="pct"/>
            <w:tcBorders>
              <w:top w:val="single" w:color="auto" w:sz="4" w:space="0"/>
              <w:left w:val="nil"/>
              <w:bottom w:val="single" w:color="auto" w:sz="4" w:space="0"/>
              <w:right w:val="single" w:color="auto" w:sz="4" w:space="0"/>
            </w:tcBorders>
            <w:vAlign w:val="center"/>
          </w:tcPr>
          <w:p>
            <w:pPr>
              <w:pStyle w:val="16"/>
            </w:pPr>
            <w:r>
              <w:rPr>
                <w:rFonts w:hint="eastAsia"/>
              </w:rPr>
              <w:t>□L</w:t>
            </w:r>
          </w:p>
          <w:p>
            <w:pPr>
              <w:pStyle w:val="16"/>
            </w:pPr>
            <w:r>
              <w:rPr>
                <w:rFonts w:ascii="Segoe UI Symbol" w:hAnsi="Segoe UI Symbol" w:cs="Segoe UI Symbol"/>
              </w:rPr>
              <w:t>☑</w:t>
            </w:r>
            <w:r>
              <w:rPr>
                <w:rFonts w:hint="eastAsia"/>
              </w:rPr>
              <w:t>M</w:t>
            </w:r>
          </w:p>
          <w:p>
            <w:pPr>
              <w:pStyle w:val="16"/>
            </w:pPr>
            <w:r>
              <w:rPr>
                <w:rFonts w:hint="eastAsia"/>
              </w:rPr>
              <w:t>□H</w:t>
            </w:r>
          </w:p>
        </w:tc>
      </w:tr>
    </w:tbl>
    <w:p>
      <w:pPr>
        <w:pStyle w:val="2"/>
        <w:spacing w:before="156" w:after="156"/>
        <w:ind w:firstLine="562"/>
        <w:rPr>
          <w:lang w:bidi="ar"/>
        </w:rPr>
      </w:pPr>
      <w:r>
        <w:rPr>
          <w:rFonts w:hint="eastAsia"/>
          <w:lang w:bidi="ar"/>
        </w:rPr>
        <w:t>四、教学内容与学习要求</w:t>
      </w:r>
    </w:p>
    <w:tbl>
      <w:tblPr>
        <w:tblStyle w:val="8"/>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1576"/>
        <w:gridCol w:w="1385"/>
        <w:gridCol w:w="2442"/>
        <w:gridCol w:w="567"/>
        <w:gridCol w:w="1134"/>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jc w:val="center"/>
        </w:trPr>
        <w:tc>
          <w:tcPr>
            <w:tcW w:w="0" w:type="auto"/>
            <w:vAlign w:val="center"/>
          </w:tcPr>
          <w:p>
            <w:pPr>
              <w:pStyle w:val="16"/>
              <w:rPr>
                <w:b/>
                <w:bCs/>
              </w:rPr>
            </w:pPr>
            <w:r>
              <w:rPr>
                <w:rFonts w:hint="eastAsia"/>
                <w:b/>
                <w:bCs/>
              </w:rPr>
              <w:t>序号</w:t>
            </w:r>
          </w:p>
        </w:tc>
        <w:tc>
          <w:tcPr>
            <w:tcW w:w="1576" w:type="dxa"/>
            <w:vAlign w:val="center"/>
          </w:tcPr>
          <w:p>
            <w:pPr>
              <w:pStyle w:val="16"/>
              <w:rPr>
                <w:b/>
                <w:bCs/>
                <w:lang w:val="zh-CN"/>
              </w:rPr>
            </w:pPr>
            <w:r>
              <w:rPr>
                <w:rFonts w:hint="eastAsia"/>
                <w:b/>
                <w:bCs/>
                <w:lang w:val="zh-CN"/>
              </w:rPr>
              <w:t>章节/教学</w:t>
            </w:r>
            <w:r>
              <w:rPr>
                <w:b/>
                <w:bCs/>
                <w:lang w:val="zh-CN"/>
              </w:rPr>
              <w:t>单元</w:t>
            </w:r>
          </w:p>
        </w:tc>
        <w:tc>
          <w:tcPr>
            <w:tcW w:w="1385" w:type="dxa"/>
            <w:vAlign w:val="center"/>
          </w:tcPr>
          <w:p>
            <w:pPr>
              <w:pStyle w:val="16"/>
              <w:rPr>
                <w:b/>
                <w:bCs/>
                <w:lang w:val="zh-CN"/>
              </w:rPr>
            </w:pPr>
            <w:r>
              <w:rPr>
                <w:rFonts w:hint="eastAsia"/>
                <w:b/>
                <w:bCs/>
              </w:rPr>
              <w:t>知识点</w:t>
            </w:r>
          </w:p>
        </w:tc>
        <w:tc>
          <w:tcPr>
            <w:tcW w:w="2442" w:type="dxa"/>
            <w:vAlign w:val="center"/>
          </w:tcPr>
          <w:p>
            <w:pPr>
              <w:pStyle w:val="16"/>
              <w:rPr>
                <w:b/>
                <w:bCs/>
              </w:rPr>
            </w:pPr>
            <w:r>
              <w:rPr>
                <w:rFonts w:hint="eastAsia"/>
                <w:b/>
                <w:bCs/>
                <w:lang w:val="zh-CN"/>
              </w:rPr>
              <w:t>教学</w:t>
            </w:r>
            <w:r>
              <w:rPr>
                <w:rFonts w:hint="eastAsia"/>
                <w:b/>
                <w:bCs/>
              </w:rPr>
              <w:t>要求</w:t>
            </w:r>
          </w:p>
          <w:p>
            <w:pPr>
              <w:pStyle w:val="16"/>
              <w:rPr>
                <w:b/>
                <w:bCs/>
                <w:lang w:val="zh-CN"/>
              </w:rPr>
            </w:pPr>
            <w:r>
              <w:rPr>
                <w:rFonts w:hint="eastAsia"/>
                <w:b/>
                <w:spacing w:val="-3"/>
                <w:sz w:val="13"/>
                <w:szCs w:val="13"/>
                <w:lang w:val="en-GB"/>
              </w:rPr>
              <w:t>（重点、难点、课程思政元素等）</w:t>
            </w:r>
          </w:p>
        </w:tc>
        <w:tc>
          <w:tcPr>
            <w:tcW w:w="567" w:type="dxa"/>
            <w:vAlign w:val="center"/>
          </w:tcPr>
          <w:p>
            <w:pPr>
              <w:pStyle w:val="16"/>
              <w:rPr>
                <w:b/>
                <w:bCs/>
                <w:lang w:val="zh-CN"/>
              </w:rPr>
            </w:pPr>
            <w:r>
              <w:rPr>
                <w:rFonts w:hint="eastAsia"/>
                <w:b/>
                <w:bCs/>
                <w:lang w:val="zh-CN"/>
              </w:rPr>
              <w:t>学时</w:t>
            </w:r>
          </w:p>
        </w:tc>
        <w:tc>
          <w:tcPr>
            <w:tcW w:w="1134" w:type="dxa"/>
            <w:vAlign w:val="center"/>
          </w:tcPr>
          <w:p>
            <w:pPr>
              <w:pStyle w:val="16"/>
              <w:rPr>
                <w:b/>
                <w:bCs/>
              </w:rPr>
            </w:pPr>
            <w:r>
              <w:rPr>
                <w:rFonts w:hint="eastAsia"/>
                <w:b/>
                <w:bCs/>
              </w:rPr>
              <w:t>教学</w:t>
            </w:r>
          </w:p>
          <w:p>
            <w:pPr>
              <w:pStyle w:val="16"/>
              <w:rPr>
                <w:b/>
                <w:bCs/>
              </w:rPr>
            </w:pPr>
            <w:r>
              <w:rPr>
                <w:rFonts w:hint="eastAsia"/>
                <w:b/>
                <w:bCs/>
              </w:rPr>
              <w:t>方式</w:t>
            </w:r>
          </w:p>
        </w:tc>
        <w:tc>
          <w:tcPr>
            <w:tcW w:w="989" w:type="dxa"/>
            <w:vAlign w:val="center"/>
          </w:tcPr>
          <w:p>
            <w:pPr>
              <w:pStyle w:val="16"/>
              <w:rPr>
                <w:b/>
                <w:bCs/>
              </w:rPr>
            </w:pPr>
            <w:r>
              <w:rPr>
                <w:rFonts w:hint="eastAsia"/>
                <w:b/>
                <w:bCs/>
              </w:rPr>
              <w:t xml:space="preserve">支撑课 </w:t>
            </w:r>
          </w:p>
          <w:p>
            <w:pPr>
              <w:pStyle w:val="16"/>
              <w:rPr>
                <w:b/>
                <w:bCs/>
                <w:lang w:val="zh-CN"/>
              </w:rPr>
            </w:pPr>
            <w:r>
              <w:rPr>
                <w:rFonts w:hint="eastAsia"/>
                <w:b/>
                <w:bCs/>
              </w:rPr>
              <w:t>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0" w:type="auto"/>
            <w:vAlign w:val="center"/>
          </w:tcPr>
          <w:p>
            <w:pPr>
              <w:pStyle w:val="16"/>
            </w:pPr>
            <w:r>
              <w:rPr>
                <w:rFonts w:hint="eastAsia"/>
              </w:rPr>
              <w:t>1</w:t>
            </w:r>
          </w:p>
        </w:tc>
        <w:tc>
          <w:tcPr>
            <w:tcW w:w="1576" w:type="dxa"/>
            <w:vAlign w:val="center"/>
          </w:tcPr>
          <w:p>
            <w:pPr>
              <w:pStyle w:val="16"/>
              <w:jc w:val="both"/>
              <w:rPr>
                <w:sz w:val="18"/>
                <w:szCs w:val="18"/>
                <w:lang w:val="zh-CN"/>
              </w:rPr>
            </w:pPr>
            <w:r>
              <w:rPr>
                <w:rFonts w:hint="eastAsia"/>
                <w:sz w:val="18"/>
                <w:szCs w:val="18"/>
                <w:lang w:val="zh-CN"/>
              </w:rPr>
              <w:t>1.1</w:t>
            </w:r>
            <w:r>
              <w:rPr>
                <w:sz w:val="18"/>
                <w:szCs w:val="18"/>
                <w:lang w:val="zh-CN"/>
              </w:rPr>
              <w:t xml:space="preserve"> </w:t>
            </w:r>
            <w:r>
              <w:rPr>
                <w:rFonts w:hint="eastAsia"/>
                <w:sz w:val="18"/>
                <w:szCs w:val="18"/>
                <w:lang w:val="zh-CN"/>
              </w:rPr>
              <w:t>机械精度设计的研究对象</w:t>
            </w:r>
          </w:p>
          <w:p>
            <w:pPr>
              <w:pStyle w:val="16"/>
              <w:jc w:val="both"/>
              <w:rPr>
                <w:sz w:val="18"/>
                <w:szCs w:val="18"/>
                <w:lang w:val="zh-CN"/>
              </w:rPr>
            </w:pPr>
            <w:r>
              <w:rPr>
                <w:sz w:val="18"/>
                <w:szCs w:val="18"/>
                <w:lang w:val="zh-CN"/>
              </w:rPr>
              <w:t xml:space="preserve">1.2 </w:t>
            </w:r>
            <w:r>
              <w:rPr>
                <w:rFonts w:hint="eastAsia"/>
                <w:sz w:val="18"/>
                <w:szCs w:val="18"/>
                <w:lang w:val="zh-CN"/>
              </w:rPr>
              <w:t>标准化与优先数系</w:t>
            </w:r>
          </w:p>
        </w:tc>
        <w:tc>
          <w:tcPr>
            <w:tcW w:w="1385" w:type="dxa"/>
            <w:vAlign w:val="center"/>
          </w:tcPr>
          <w:p>
            <w:pPr>
              <w:pStyle w:val="16"/>
              <w:jc w:val="both"/>
              <w:rPr>
                <w:sz w:val="18"/>
                <w:szCs w:val="18"/>
                <w:lang w:val="zh-CN"/>
              </w:rPr>
            </w:pPr>
            <w:r>
              <w:rPr>
                <w:rFonts w:hint="eastAsia" w:cs="Times New Roman"/>
                <w:sz w:val="18"/>
                <w:szCs w:val="18"/>
              </w:rPr>
              <w:t>机械精度设计的研究对象；标准化与优先数系</w:t>
            </w:r>
          </w:p>
        </w:tc>
        <w:tc>
          <w:tcPr>
            <w:tcW w:w="2442" w:type="dxa"/>
            <w:vAlign w:val="center"/>
          </w:tcPr>
          <w:p>
            <w:pPr>
              <w:pStyle w:val="16"/>
              <w:jc w:val="both"/>
              <w:rPr>
                <w:rFonts w:cs="Times New Roman"/>
                <w:sz w:val="18"/>
                <w:szCs w:val="18"/>
                <w:lang w:val="zh-CN"/>
              </w:rPr>
            </w:pPr>
            <w:r>
              <w:rPr>
                <w:rFonts w:hint="eastAsia" w:cs="Times New Roman"/>
                <w:sz w:val="18"/>
                <w:szCs w:val="18"/>
                <w:lang w:val="zh-CN"/>
              </w:rPr>
              <w:t>掌握有关互换性的概念及其在现代化生产中的主要作用；</w:t>
            </w:r>
          </w:p>
          <w:p>
            <w:pPr>
              <w:pStyle w:val="16"/>
              <w:jc w:val="both"/>
              <w:rPr>
                <w:rFonts w:cs="Times New Roman"/>
                <w:sz w:val="18"/>
                <w:szCs w:val="18"/>
                <w:lang w:val="zh-CN"/>
              </w:rPr>
            </w:pPr>
            <w:r>
              <w:rPr>
                <w:rFonts w:hint="eastAsia" w:cs="Times New Roman"/>
                <w:sz w:val="18"/>
                <w:szCs w:val="18"/>
                <w:lang w:val="zh-CN"/>
              </w:rPr>
              <w:t>掌握互换性与公差、检测的关系；</w:t>
            </w:r>
            <w:r>
              <w:rPr>
                <w:rFonts w:cs="Times New Roman"/>
                <w:sz w:val="18"/>
                <w:szCs w:val="18"/>
                <w:lang w:val="zh-CN"/>
              </w:rPr>
              <w:t xml:space="preserve"> </w:t>
            </w:r>
          </w:p>
          <w:p>
            <w:pPr>
              <w:pStyle w:val="16"/>
              <w:jc w:val="both"/>
              <w:rPr>
                <w:rFonts w:cs="Times New Roman"/>
                <w:sz w:val="18"/>
                <w:szCs w:val="18"/>
                <w:lang w:val="zh-CN"/>
              </w:rPr>
            </w:pPr>
            <w:r>
              <w:rPr>
                <w:rFonts w:hint="eastAsia" w:cs="Times New Roman"/>
                <w:sz w:val="18"/>
                <w:szCs w:val="18"/>
                <w:lang w:val="zh-CN"/>
              </w:rPr>
              <w:t>理解标准化与标准的概念及其重要性；</w:t>
            </w:r>
          </w:p>
          <w:p>
            <w:pPr>
              <w:pStyle w:val="16"/>
              <w:jc w:val="both"/>
              <w:rPr>
                <w:rFonts w:cs="Times New Roman"/>
                <w:sz w:val="18"/>
                <w:szCs w:val="18"/>
                <w:lang w:val="zh-CN"/>
              </w:rPr>
            </w:pPr>
            <w:r>
              <w:rPr>
                <w:rFonts w:hint="eastAsia" w:cs="Times New Roman"/>
                <w:sz w:val="18"/>
                <w:szCs w:val="18"/>
                <w:lang w:val="zh-CN"/>
              </w:rPr>
              <w:t>了解哪些是优先数，为什么要规定优先数。</w:t>
            </w:r>
          </w:p>
          <w:p>
            <w:pPr>
              <w:pStyle w:val="16"/>
              <w:jc w:val="both"/>
              <w:rPr>
                <w:sz w:val="18"/>
                <w:szCs w:val="18"/>
                <w:lang w:val="zh-CN"/>
              </w:rPr>
            </w:pPr>
            <w:r>
              <w:rPr>
                <w:rFonts w:hint="eastAsia"/>
                <w:b/>
                <w:bCs/>
                <w:sz w:val="18"/>
                <w:szCs w:val="18"/>
                <w:lang w:val="zh-CN"/>
              </w:rPr>
              <w:t>思政元素：</w:t>
            </w:r>
            <w:r>
              <w:rPr>
                <w:rFonts w:hint="eastAsia"/>
                <w:sz w:val="18"/>
                <w:szCs w:val="18"/>
                <w:lang w:val="zh-CN"/>
              </w:rPr>
              <w:t>标准化对国家工业发展的有利之处</w:t>
            </w:r>
          </w:p>
        </w:tc>
        <w:tc>
          <w:tcPr>
            <w:tcW w:w="567" w:type="dxa"/>
            <w:vAlign w:val="center"/>
          </w:tcPr>
          <w:p>
            <w:pPr>
              <w:pStyle w:val="16"/>
              <w:rPr>
                <w:lang w:val="zh-CN"/>
              </w:rPr>
            </w:pPr>
            <w:r>
              <w:rPr>
                <w:lang w:val="zh-CN"/>
              </w:rPr>
              <w:t>2</w:t>
            </w:r>
          </w:p>
        </w:tc>
        <w:tc>
          <w:tcPr>
            <w:tcW w:w="1134" w:type="dxa"/>
            <w:vAlign w:val="center"/>
          </w:tcPr>
          <w:p>
            <w:pPr>
              <w:pStyle w:val="16"/>
            </w:pPr>
            <w:r>
              <w:rPr>
                <w:rFonts w:hint="eastAsia"/>
                <w:lang w:val="zh-CN"/>
              </w:rPr>
              <w:sym w:font="Wingdings 2" w:char="F052"/>
            </w:r>
            <w:r>
              <w:rPr>
                <w:rFonts w:hint="eastAsia"/>
                <w:lang w:val="zh-CN"/>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vAlign w:val="center"/>
          </w:tcPr>
          <w:p>
            <w:pPr>
              <w:pStyle w:val="16"/>
              <w:rPr>
                <w:lang w:val="zh-CN"/>
              </w:rPr>
            </w:pPr>
            <w:r>
              <w:rPr>
                <w:rFonts w:hint="eastAsia"/>
              </w:rPr>
              <w:t>2</w:t>
            </w:r>
          </w:p>
        </w:tc>
        <w:tc>
          <w:tcPr>
            <w:tcW w:w="1576" w:type="dxa"/>
            <w:vAlign w:val="center"/>
          </w:tcPr>
          <w:p>
            <w:pPr>
              <w:pStyle w:val="16"/>
              <w:jc w:val="both"/>
              <w:rPr>
                <w:sz w:val="18"/>
                <w:szCs w:val="18"/>
                <w:lang w:val="zh-CN"/>
              </w:rPr>
            </w:pPr>
            <w:r>
              <w:rPr>
                <w:sz w:val="18"/>
                <w:szCs w:val="18"/>
                <w:lang w:val="zh-CN"/>
              </w:rPr>
              <w:t>2</w:t>
            </w:r>
            <w:r>
              <w:rPr>
                <w:rFonts w:hint="eastAsia"/>
                <w:sz w:val="18"/>
                <w:szCs w:val="18"/>
                <w:lang w:val="zh-CN"/>
              </w:rPr>
              <w:t>.1</w:t>
            </w:r>
            <w:r>
              <w:rPr>
                <w:sz w:val="18"/>
                <w:szCs w:val="18"/>
                <w:lang w:val="zh-CN"/>
              </w:rPr>
              <w:t xml:space="preserve"> </w:t>
            </w:r>
            <w:r>
              <w:rPr>
                <w:rFonts w:hint="eastAsia"/>
                <w:sz w:val="18"/>
                <w:szCs w:val="18"/>
                <w:lang w:val="zh-CN"/>
              </w:rPr>
              <w:t>基本术语及其定义</w:t>
            </w:r>
          </w:p>
          <w:p>
            <w:pPr>
              <w:pStyle w:val="16"/>
              <w:jc w:val="both"/>
              <w:rPr>
                <w:sz w:val="18"/>
                <w:szCs w:val="18"/>
                <w:lang w:val="zh-CN"/>
              </w:rPr>
            </w:pPr>
            <w:r>
              <w:rPr>
                <w:sz w:val="18"/>
                <w:szCs w:val="18"/>
                <w:lang w:val="zh-CN"/>
              </w:rPr>
              <w:t>2</w:t>
            </w:r>
            <w:r>
              <w:rPr>
                <w:rFonts w:hint="eastAsia"/>
                <w:sz w:val="18"/>
                <w:szCs w:val="18"/>
                <w:lang w:val="zh-CN"/>
              </w:rPr>
              <w:t>.</w:t>
            </w:r>
            <w:r>
              <w:rPr>
                <w:sz w:val="18"/>
                <w:szCs w:val="18"/>
                <w:lang w:val="zh-CN"/>
              </w:rPr>
              <w:t xml:space="preserve">2 </w:t>
            </w:r>
            <w:r>
              <w:rPr>
                <w:rFonts w:hint="eastAsia"/>
                <w:sz w:val="18"/>
                <w:szCs w:val="18"/>
                <w:lang w:val="zh-CN"/>
              </w:rPr>
              <w:t>极限与配合国家标准的构成（一、二）</w:t>
            </w:r>
          </w:p>
        </w:tc>
        <w:tc>
          <w:tcPr>
            <w:tcW w:w="1385" w:type="dxa"/>
            <w:vAlign w:val="center"/>
          </w:tcPr>
          <w:p>
            <w:pPr>
              <w:pStyle w:val="16"/>
              <w:jc w:val="both"/>
              <w:rPr>
                <w:rFonts w:cs="Times New Roman"/>
                <w:sz w:val="18"/>
                <w:szCs w:val="18"/>
              </w:rPr>
            </w:pPr>
            <w:r>
              <w:rPr>
                <w:rFonts w:hint="eastAsia" w:cs="Times New Roman"/>
                <w:sz w:val="18"/>
                <w:szCs w:val="18"/>
              </w:rPr>
              <w:t>尺寸公差的基本术语及其定义；</w:t>
            </w:r>
          </w:p>
          <w:p>
            <w:pPr>
              <w:pStyle w:val="16"/>
              <w:jc w:val="both"/>
              <w:rPr>
                <w:sz w:val="18"/>
                <w:szCs w:val="18"/>
                <w:lang w:val="zh-CN"/>
              </w:rPr>
            </w:pPr>
            <w:r>
              <w:rPr>
                <w:rFonts w:hint="eastAsia" w:cs="Times New Roman"/>
                <w:sz w:val="18"/>
                <w:szCs w:val="18"/>
              </w:rPr>
              <w:t>标准公差与基本偏差系列</w:t>
            </w:r>
          </w:p>
        </w:tc>
        <w:tc>
          <w:tcPr>
            <w:tcW w:w="2442" w:type="dxa"/>
            <w:vAlign w:val="center"/>
          </w:tcPr>
          <w:p>
            <w:pPr>
              <w:pStyle w:val="16"/>
              <w:jc w:val="both"/>
              <w:rPr>
                <w:rFonts w:cs="Times New Roman"/>
                <w:sz w:val="18"/>
                <w:szCs w:val="18"/>
                <w:lang w:val="zh-CN"/>
              </w:rPr>
            </w:pPr>
            <w:r>
              <w:rPr>
                <w:rFonts w:hint="eastAsia" w:cs="Times New Roman"/>
                <w:sz w:val="18"/>
                <w:szCs w:val="18"/>
                <w:lang w:val="zh-CN"/>
              </w:rPr>
              <w:t>清楚理解有关尺寸、公差、偏差、配合等的基本术语及定义；</w:t>
            </w:r>
          </w:p>
          <w:p>
            <w:pPr>
              <w:pStyle w:val="16"/>
              <w:jc w:val="both"/>
              <w:rPr>
                <w:rFonts w:cs="Times New Roman"/>
                <w:sz w:val="18"/>
                <w:szCs w:val="18"/>
                <w:lang w:val="zh-CN"/>
              </w:rPr>
            </w:pPr>
            <w:r>
              <w:rPr>
                <w:rFonts w:hint="eastAsia" w:cs="Times New Roman"/>
                <w:sz w:val="18"/>
                <w:szCs w:val="18"/>
                <w:lang w:val="zh-CN"/>
              </w:rPr>
              <w:t>牢固掌握标准中有关标准公差、公差等级的规定、28个基本偏差代号及其分布规律；牢固掌握公差带的概念及其图示方法，能熟练查公差表及基本偏差表，能进行有关计算；</w:t>
            </w:r>
          </w:p>
        </w:tc>
        <w:tc>
          <w:tcPr>
            <w:tcW w:w="567" w:type="dxa"/>
            <w:vAlign w:val="center"/>
          </w:tcPr>
          <w:p>
            <w:pPr>
              <w:pStyle w:val="16"/>
              <w:rPr>
                <w:lang w:val="zh-CN"/>
              </w:rPr>
            </w:pPr>
            <w:r>
              <w:rPr>
                <w:lang w:val="zh-CN"/>
              </w:rPr>
              <w:t>2</w:t>
            </w:r>
          </w:p>
        </w:tc>
        <w:tc>
          <w:tcPr>
            <w:tcW w:w="1134" w:type="dxa"/>
            <w:vAlign w:val="center"/>
          </w:tcPr>
          <w:p>
            <w:pPr>
              <w:pStyle w:val="16"/>
            </w:pPr>
            <w:r>
              <w:rPr>
                <w:rFonts w:hint="eastAsia"/>
                <w:lang w:val="zh-CN"/>
              </w:rPr>
              <w:sym w:font="Wingdings 2" w:char="F052"/>
            </w:r>
            <w:r>
              <w:rPr>
                <w:rFonts w:hint="eastAsia"/>
                <w:lang w:val="zh-CN"/>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0" w:type="auto"/>
            <w:vMerge w:val="continue"/>
            <w:vAlign w:val="center"/>
          </w:tcPr>
          <w:p>
            <w:pPr>
              <w:pStyle w:val="16"/>
              <w:rPr>
                <w:lang w:val="zh-CN"/>
              </w:rPr>
            </w:pPr>
          </w:p>
        </w:tc>
        <w:tc>
          <w:tcPr>
            <w:tcW w:w="1576" w:type="dxa"/>
            <w:vAlign w:val="center"/>
          </w:tcPr>
          <w:p>
            <w:pPr>
              <w:pStyle w:val="16"/>
              <w:jc w:val="both"/>
              <w:rPr>
                <w:sz w:val="18"/>
                <w:szCs w:val="18"/>
                <w:lang w:val="zh-CN"/>
              </w:rPr>
            </w:pPr>
            <w:r>
              <w:rPr>
                <w:sz w:val="18"/>
                <w:szCs w:val="18"/>
                <w:lang w:val="zh-CN"/>
              </w:rPr>
              <w:t>2</w:t>
            </w:r>
            <w:r>
              <w:rPr>
                <w:rFonts w:hint="eastAsia"/>
                <w:sz w:val="18"/>
                <w:szCs w:val="18"/>
                <w:lang w:val="zh-CN"/>
              </w:rPr>
              <w:t>.</w:t>
            </w:r>
            <w:r>
              <w:rPr>
                <w:sz w:val="18"/>
                <w:szCs w:val="18"/>
                <w:lang w:val="zh-CN"/>
              </w:rPr>
              <w:t xml:space="preserve">2 </w:t>
            </w:r>
            <w:r>
              <w:rPr>
                <w:rFonts w:hint="eastAsia"/>
                <w:sz w:val="18"/>
                <w:szCs w:val="18"/>
                <w:lang w:val="zh-CN"/>
              </w:rPr>
              <w:t>极限与配合国家标准的构成（三、四、五、六）</w:t>
            </w:r>
          </w:p>
          <w:p>
            <w:pPr>
              <w:pStyle w:val="16"/>
              <w:jc w:val="both"/>
              <w:rPr>
                <w:sz w:val="18"/>
                <w:szCs w:val="18"/>
                <w:lang w:val="zh-CN"/>
              </w:rPr>
            </w:pPr>
            <w:r>
              <w:rPr>
                <w:sz w:val="18"/>
                <w:szCs w:val="18"/>
                <w:lang w:val="zh-CN"/>
              </w:rPr>
              <w:t>2</w:t>
            </w:r>
            <w:r>
              <w:rPr>
                <w:rFonts w:hint="eastAsia"/>
                <w:sz w:val="18"/>
                <w:szCs w:val="18"/>
                <w:lang w:val="zh-CN"/>
              </w:rPr>
              <w:t>.</w:t>
            </w:r>
            <w:r>
              <w:rPr>
                <w:sz w:val="18"/>
                <w:szCs w:val="18"/>
                <w:lang w:val="zh-CN"/>
              </w:rPr>
              <w:t xml:space="preserve">3 </w:t>
            </w:r>
            <w:r>
              <w:rPr>
                <w:rFonts w:hint="eastAsia"/>
                <w:sz w:val="18"/>
                <w:szCs w:val="18"/>
                <w:lang w:val="zh-CN"/>
              </w:rPr>
              <w:t>尺寸精度设计</w:t>
            </w:r>
          </w:p>
        </w:tc>
        <w:tc>
          <w:tcPr>
            <w:tcW w:w="1385" w:type="dxa"/>
            <w:vAlign w:val="center"/>
          </w:tcPr>
          <w:p>
            <w:pPr>
              <w:pStyle w:val="16"/>
              <w:jc w:val="both"/>
              <w:rPr>
                <w:sz w:val="18"/>
                <w:szCs w:val="18"/>
                <w:lang w:val="zh-CN"/>
              </w:rPr>
            </w:pPr>
            <w:r>
              <w:rPr>
                <w:rFonts w:hint="eastAsia" w:cs="Times New Roman"/>
                <w:sz w:val="18"/>
                <w:szCs w:val="18"/>
              </w:rPr>
              <w:t>极限与配合国家标准的构成；尺寸精度设计</w:t>
            </w:r>
          </w:p>
        </w:tc>
        <w:tc>
          <w:tcPr>
            <w:tcW w:w="2442" w:type="dxa"/>
            <w:vAlign w:val="center"/>
          </w:tcPr>
          <w:p>
            <w:pPr>
              <w:pStyle w:val="16"/>
              <w:jc w:val="both"/>
              <w:rPr>
                <w:rFonts w:cs="Times New Roman"/>
                <w:sz w:val="18"/>
                <w:szCs w:val="18"/>
                <w:lang w:val="zh-CN"/>
              </w:rPr>
            </w:pPr>
            <w:r>
              <w:rPr>
                <w:rFonts w:hint="eastAsia" w:cs="Times New Roman"/>
                <w:sz w:val="18"/>
                <w:szCs w:val="18"/>
                <w:lang w:val="zh-CN"/>
              </w:rPr>
              <w:t>明确了解标准中关于未注公差的线性尺寸公差的规定；</w:t>
            </w:r>
          </w:p>
          <w:p>
            <w:pPr>
              <w:pStyle w:val="16"/>
              <w:jc w:val="both"/>
              <w:rPr>
                <w:rFonts w:cs="Times New Roman"/>
                <w:sz w:val="18"/>
                <w:szCs w:val="18"/>
                <w:lang w:val="zh-CN"/>
              </w:rPr>
            </w:pPr>
            <w:r>
              <w:rPr>
                <w:rFonts w:hint="eastAsia" w:cs="Times New Roman"/>
                <w:sz w:val="18"/>
                <w:szCs w:val="18"/>
                <w:lang w:val="zh-CN"/>
              </w:rPr>
              <w:t>初步学会公差与配合的正确选用，并能正确标注在图样上；</w:t>
            </w:r>
          </w:p>
          <w:p>
            <w:pPr>
              <w:pStyle w:val="16"/>
              <w:jc w:val="both"/>
              <w:rPr>
                <w:rFonts w:cs="Times New Roman"/>
                <w:sz w:val="18"/>
                <w:szCs w:val="18"/>
                <w:lang w:val="zh-CN"/>
              </w:rPr>
            </w:pPr>
            <w:r>
              <w:rPr>
                <w:rFonts w:hint="eastAsia" w:cs="Times New Roman"/>
                <w:sz w:val="18"/>
                <w:szCs w:val="18"/>
                <w:lang w:val="zh-CN"/>
              </w:rPr>
              <w:t>掌握尺寸检测器具的选择和尺寸验收极限。</w:t>
            </w:r>
          </w:p>
          <w:p>
            <w:pPr>
              <w:pStyle w:val="16"/>
              <w:jc w:val="both"/>
              <w:rPr>
                <w:sz w:val="18"/>
                <w:szCs w:val="18"/>
                <w:lang w:val="zh-CN"/>
              </w:rPr>
            </w:pPr>
            <w:r>
              <w:rPr>
                <w:rFonts w:hint="eastAsia" w:cs="Times New Roman"/>
                <w:b/>
                <w:bCs/>
                <w:sz w:val="18"/>
                <w:szCs w:val="18"/>
                <w:lang w:val="zh-CN"/>
              </w:rPr>
              <w:t>思政元素：</w:t>
            </w:r>
            <w:r>
              <w:rPr>
                <w:rFonts w:hint="eastAsia" w:cs="Times New Roman"/>
                <w:sz w:val="18"/>
                <w:szCs w:val="18"/>
                <w:lang w:val="zh-CN"/>
              </w:rPr>
              <w:t>对比国内外检测器具的发展水平。</w:t>
            </w:r>
          </w:p>
        </w:tc>
        <w:tc>
          <w:tcPr>
            <w:tcW w:w="567" w:type="dxa"/>
            <w:vAlign w:val="center"/>
          </w:tcPr>
          <w:p>
            <w:pPr>
              <w:pStyle w:val="16"/>
              <w:rPr>
                <w:lang w:val="zh-CN"/>
              </w:rPr>
            </w:pPr>
            <w:r>
              <w:rPr>
                <w:rFonts w:hint="eastAsia"/>
                <w:lang w:val="zh-CN"/>
              </w:rPr>
              <w:t>2</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0" w:type="auto"/>
            <w:vMerge w:val="restart"/>
            <w:vAlign w:val="center"/>
          </w:tcPr>
          <w:p>
            <w:pPr>
              <w:pStyle w:val="16"/>
            </w:pPr>
            <w:r>
              <w:rPr>
                <w:rFonts w:hint="eastAsia"/>
              </w:rPr>
              <w:t>3</w:t>
            </w:r>
          </w:p>
        </w:tc>
        <w:tc>
          <w:tcPr>
            <w:tcW w:w="1576" w:type="dxa"/>
            <w:vAlign w:val="center"/>
          </w:tcPr>
          <w:p>
            <w:pPr>
              <w:pStyle w:val="16"/>
              <w:jc w:val="both"/>
              <w:rPr>
                <w:sz w:val="18"/>
                <w:szCs w:val="18"/>
                <w:lang w:val="zh-CN"/>
              </w:rPr>
            </w:pPr>
            <w:r>
              <w:rPr>
                <w:sz w:val="18"/>
                <w:szCs w:val="18"/>
                <w:lang w:val="zh-CN"/>
              </w:rPr>
              <w:t>3</w:t>
            </w:r>
            <w:r>
              <w:rPr>
                <w:rFonts w:hint="eastAsia"/>
                <w:sz w:val="18"/>
                <w:szCs w:val="18"/>
                <w:lang w:val="zh-CN"/>
              </w:rPr>
              <w:t>.</w:t>
            </w:r>
            <w:r>
              <w:rPr>
                <w:sz w:val="18"/>
                <w:szCs w:val="18"/>
                <w:lang w:val="zh-CN"/>
              </w:rPr>
              <w:t xml:space="preserve">1 </w:t>
            </w:r>
            <w:r>
              <w:rPr>
                <w:rFonts w:hint="eastAsia"/>
                <w:sz w:val="18"/>
                <w:szCs w:val="18"/>
                <w:lang w:val="zh-CN"/>
              </w:rPr>
              <w:t>概述</w:t>
            </w:r>
          </w:p>
          <w:p>
            <w:pPr>
              <w:pStyle w:val="16"/>
              <w:jc w:val="both"/>
              <w:rPr>
                <w:sz w:val="18"/>
                <w:szCs w:val="18"/>
                <w:lang w:val="zh-CN"/>
              </w:rPr>
            </w:pPr>
            <w:r>
              <w:rPr>
                <w:sz w:val="18"/>
                <w:szCs w:val="18"/>
                <w:lang w:val="zh-CN"/>
              </w:rPr>
              <w:t>3</w:t>
            </w:r>
            <w:r>
              <w:rPr>
                <w:rFonts w:hint="eastAsia"/>
                <w:sz w:val="18"/>
                <w:szCs w:val="18"/>
                <w:lang w:val="zh-CN"/>
              </w:rPr>
              <w:t>.</w:t>
            </w:r>
            <w:r>
              <w:rPr>
                <w:sz w:val="18"/>
                <w:szCs w:val="18"/>
                <w:lang w:val="zh-CN"/>
              </w:rPr>
              <w:t xml:space="preserve">2 </w:t>
            </w:r>
            <w:r>
              <w:rPr>
                <w:rFonts w:hint="eastAsia"/>
                <w:sz w:val="18"/>
                <w:szCs w:val="18"/>
                <w:lang w:val="zh-CN"/>
              </w:rPr>
              <w:t>几何公差的标注方法及公差带（一、二、三）</w:t>
            </w:r>
          </w:p>
        </w:tc>
        <w:tc>
          <w:tcPr>
            <w:tcW w:w="1385" w:type="dxa"/>
            <w:vAlign w:val="center"/>
          </w:tcPr>
          <w:p>
            <w:pPr>
              <w:pStyle w:val="16"/>
              <w:jc w:val="both"/>
              <w:rPr>
                <w:rFonts w:cs="Times New Roman"/>
                <w:sz w:val="18"/>
                <w:szCs w:val="18"/>
              </w:rPr>
            </w:pPr>
            <w:r>
              <w:rPr>
                <w:rFonts w:hint="eastAsia" w:cs="Times New Roman"/>
                <w:sz w:val="18"/>
                <w:szCs w:val="18"/>
              </w:rPr>
              <w:t>几何公差概述；</w:t>
            </w:r>
          </w:p>
          <w:p>
            <w:pPr>
              <w:pStyle w:val="16"/>
              <w:jc w:val="both"/>
              <w:rPr>
                <w:sz w:val="18"/>
                <w:szCs w:val="18"/>
                <w:lang w:val="zh-CN"/>
              </w:rPr>
            </w:pPr>
            <w:r>
              <w:rPr>
                <w:rFonts w:hint="eastAsia" w:cs="Times New Roman"/>
                <w:sz w:val="18"/>
                <w:szCs w:val="18"/>
              </w:rPr>
              <w:t>几何公差的标注方法及公差带（形状、方向和位置）</w:t>
            </w:r>
          </w:p>
        </w:tc>
        <w:tc>
          <w:tcPr>
            <w:tcW w:w="2442" w:type="dxa"/>
            <w:vAlign w:val="center"/>
          </w:tcPr>
          <w:p>
            <w:pPr>
              <w:pStyle w:val="16"/>
              <w:jc w:val="both"/>
              <w:rPr>
                <w:rFonts w:cs="Times New Roman"/>
                <w:sz w:val="18"/>
                <w:szCs w:val="18"/>
                <w:lang w:val="zh-CN"/>
              </w:rPr>
            </w:pPr>
            <w:r>
              <w:rPr>
                <w:rFonts w:hint="eastAsia" w:cs="Times New Roman"/>
                <w:sz w:val="18"/>
                <w:szCs w:val="18"/>
                <w:lang w:val="zh-CN"/>
              </w:rPr>
              <w:t>了解零件几何要素的分类；</w:t>
            </w:r>
          </w:p>
          <w:p>
            <w:pPr>
              <w:pStyle w:val="16"/>
              <w:jc w:val="both"/>
              <w:rPr>
                <w:rFonts w:cs="Times New Roman"/>
                <w:sz w:val="18"/>
                <w:szCs w:val="18"/>
                <w:lang w:val="zh-CN"/>
              </w:rPr>
            </w:pPr>
            <w:r>
              <w:rPr>
                <w:rFonts w:hint="eastAsia" w:cs="Times New Roman"/>
                <w:sz w:val="18"/>
                <w:szCs w:val="18"/>
                <w:lang w:val="zh-CN"/>
              </w:rPr>
              <w:t>掌握14个形位公差特征项目的名称及符号；</w:t>
            </w:r>
          </w:p>
          <w:p>
            <w:pPr>
              <w:pStyle w:val="16"/>
              <w:jc w:val="both"/>
              <w:rPr>
                <w:rFonts w:cs="Times New Roman"/>
                <w:sz w:val="18"/>
                <w:szCs w:val="18"/>
                <w:lang w:val="zh-CN"/>
              </w:rPr>
            </w:pPr>
            <w:r>
              <w:rPr>
                <w:rFonts w:hint="eastAsia" w:cs="Times New Roman"/>
                <w:sz w:val="18"/>
                <w:szCs w:val="18"/>
                <w:lang w:val="zh-CN"/>
              </w:rPr>
              <w:t>会分析典型形位公差带，并能比较其特点；</w:t>
            </w:r>
          </w:p>
          <w:p>
            <w:pPr>
              <w:pStyle w:val="16"/>
              <w:jc w:val="both"/>
              <w:rPr>
                <w:sz w:val="18"/>
                <w:szCs w:val="18"/>
                <w:lang w:val="zh-CN"/>
              </w:rPr>
            </w:pPr>
            <w:r>
              <w:rPr>
                <w:rFonts w:hint="eastAsia" w:cs="Times New Roman"/>
                <w:sz w:val="18"/>
                <w:szCs w:val="18"/>
                <w:lang w:val="zh-CN"/>
              </w:rPr>
              <w:t>掌握“最小条件”的概念及遵守“最小条件”的意义；</w:t>
            </w:r>
          </w:p>
        </w:tc>
        <w:tc>
          <w:tcPr>
            <w:tcW w:w="567" w:type="dxa"/>
            <w:vAlign w:val="center"/>
          </w:tcPr>
          <w:p>
            <w:pPr>
              <w:pStyle w:val="16"/>
              <w:rPr>
                <w:lang w:val="zh-CN"/>
              </w:rPr>
            </w:pPr>
            <w:r>
              <w:rPr>
                <w:lang w:val="zh-CN"/>
              </w:rPr>
              <w:t>2</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jc w:val="center"/>
        </w:trPr>
        <w:tc>
          <w:tcPr>
            <w:tcW w:w="0" w:type="auto"/>
            <w:vMerge w:val="continue"/>
            <w:vAlign w:val="center"/>
          </w:tcPr>
          <w:p>
            <w:pPr>
              <w:pStyle w:val="16"/>
              <w:rPr>
                <w:lang w:val="zh-CN"/>
              </w:rPr>
            </w:pPr>
          </w:p>
        </w:tc>
        <w:tc>
          <w:tcPr>
            <w:tcW w:w="1576" w:type="dxa"/>
            <w:vAlign w:val="center"/>
          </w:tcPr>
          <w:p>
            <w:pPr>
              <w:pStyle w:val="16"/>
              <w:jc w:val="both"/>
              <w:rPr>
                <w:sz w:val="18"/>
                <w:szCs w:val="18"/>
                <w:lang w:val="zh-CN"/>
              </w:rPr>
            </w:pPr>
            <w:r>
              <w:rPr>
                <w:sz w:val="18"/>
                <w:szCs w:val="18"/>
                <w:lang w:val="zh-CN"/>
              </w:rPr>
              <w:t>3</w:t>
            </w:r>
            <w:r>
              <w:rPr>
                <w:rFonts w:hint="eastAsia"/>
                <w:sz w:val="18"/>
                <w:szCs w:val="18"/>
                <w:lang w:val="zh-CN"/>
              </w:rPr>
              <w:t>.</w:t>
            </w:r>
            <w:r>
              <w:rPr>
                <w:sz w:val="18"/>
                <w:szCs w:val="18"/>
                <w:lang w:val="zh-CN"/>
              </w:rPr>
              <w:t xml:space="preserve">2 </w:t>
            </w:r>
            <w:r>
              <w:rPr>
                <w:rFonts w:hint="eastAsia"/>
                <w:sz w:val="18"/>
                <w:szCs w:val="18"/>
                <w:lang w:val="zh-CN"/>
              </w:rPr>
              <w:t>几何公差的标注方法及公差带（四、五、）</w:t>
            </w:r>
          </w:p>
          <w:p>
            <w:pPr>
              <w:pStyle w:val="16"/>
              <w:jc w:val="both"/>
              <w:rPr>
                <w:sz w:val="18"/>
                <w:szCs w:val="18"/>
                <w:lang w:val="zh-CN"/>
              </w:rPr>
            </w:pPr>
            <w:r>
              <w:rPr>
                <w:sz w:val="18"/>
                <w:szCs w:val="18"/>
                <w:lang w:val="zh-CN"/>
              </w:rPr>
              <w:t>3</w:t>
            </w:r>
            <w:r>
              <w:rPr>
                <w:rFonts w:hint="eastAsia"/>
                <w:sz w:val="18"/>
                <w:szCs w:val="18"/>
                <w:lang w:val="zh-CN"/>
              </w:rPr>
              <w:t>.</w:t>
            </w:r>
            <w:r>
              <w:rPr>
                <w:sz w:val="18"/>
                <w:szCs w:val="18"/>
                <w:lang w:val="zh-CN"/>
              </w:rPr>
              <w:t>3</w:t>
            </w:r>
            <w:r>
              <w:rPr>
                <w:rFonts w:hint="eastAsia"/>
                <w:sz w:val="18"/>
                <w:szCs w:val="18"/>
                <w:lang w:val="zh-CN"/>
              </w:rPr>
              <w:t>公差原则</w:t>
            </w:r>
          </w:p>
          <w:p>
            <w:pPr>
              <w:pStyle w:val="16"/>
              <w:jc w:val="both"/>
              <w:rPr>
                <w:sz w:val="18"/>
                <w:szCs w:val="18"/>
                <w:lang w:val="zh-CN"/>
              </w:rPr>
            </w:pPr>
            <w:r>
              <w:rPr>
                <w:sz w:val="18"/>
                <w:szCs w:val="18"/>
                <w:lang w:val="zh-CN"/>
              </w:rPr>
              <w:t>3</w:t>
            </w:r>
            <w:r>
              <w:rPr>
                <w:rFonts w:hint="eastAsia"/>
                <w:sz w:val="18"/>
                <w:szCs w:val="18"/>
                <w:lang w:val="zh-CN"/>
              </w:rPr>
              <w:t>.</w:t>
            </w:r>
            <w:r>
              <w:rPr>
                <w:sz w:val="18"/>
                <w:szCs w:val="18"/>
                <w:lang w:val="zh-CN"/>
              </w:rPr>
              <w:t>4</w:t>
            </w:r>
            <w:r>
              <w:rPr>
                <w:rFonts w:hint="eastAsia"/>
                <w:sz w:val="18"/>
                <w:szCs w:val="18"/>
                <w:lang w:val="zh-CN"/>
              </w:rPr>
              <w:t>几何精度设计</w:t>
            </w:r>
          </w:p>
        </w:tc>
        <w:tc>
          <w:tcPr>
            <w:tcW w:w="1385" w:type="dxa"/>
            <w:vAlign w:val="center"/>
          </w:tcPr>
          <w:p>
            <w:pPr>
              <w:pStyle w:val="16"/>
              <w:jc w:val="both"/>
              <w:rPr>
                <w:rFonts w:cs="Times New Roman"/>
                <w:sz w:val="18"/>
                <w:szCs w:val="18"/>
              </w:rPr>
            </w:pPr>
            <w:r>
              <w:rPr>
                <w:rFonts w:hint="eastAsia" w:cs="Times New Roman"/>
                <w:sz w:val="18"/>
                <w:szCs w:val="18"/>
              </w:rPr>
              <w:t>几何公差的标注方法及公差带（跳动）；公差原则；</w:t>
            </w:r>
          </w:p>
          <w:p>
            <w:pPr>
              <w:pStyle w:val="16"/>
              <w:jc w:val="both"/>
              <w:rPr>
                <w:sz w:val="18"/>
                <w:szCs w:val="18"/>
                <w:lang w:val="zh-CN"/>
              </w:rPr>
            </w:pPr>
            <w:r>
              <w:rPr>
                <w:rFonts w:hint="eastAsia" w:cs="Times New Roman"/>
                <w:sz w:val="18"/>
                <w:szCs w:val="18"/>
              </w:rPr>
              <w:t>几何精度设计</w:t>
            </w:r>
          </w:p>
        </w:tc>
        <w:tc>
          <w:tcPr>
            <w:tcW w:w="2442" w:type="dxa"/>
            <w:vAlign w:val="center"/>
          </w:tcPr>
          <w:p>
            <w:pPr>
              <w:pStyle w:val="16"/>
              <w:jc w:val="both"/>
              <w:rPr>
                <w:rFonts w:cs="Times New Roman"/>
                <w:sz w:val="18"/>
                <w:szCs w:val="18"/>
              </w:rPr>
            </w:pPr>
            <w:r>
              <w:rPr>
                <w:rFonts w:hint="eastAsia" w:cs="Times New Roman"/>
                <w:sz w:val="18"/>
                <w:szCs w:val="18"/>
              </w:rPr>
              <w:t>掌握被测要素与基准要素的正确标注，几何公差带的特性；</w:t>
            </w:r>
          </w:p>
          <w:p>
            <w:pPr>
              <w:pStyle w:val="16"/>
              <w:jc w:val="both"/>
              <w:rPr>
                <w:rFonts w:cs="Times New Roman"/>
                <w:sz w:val="18"/>
                <w:szCs w:val="18"/>
                <w:lang w:val="zh-CN"/>
              </w:rPr>
            </w:pPr>
            <w:r>
              <w:rPr>
                <w:rFonts w:hint="eastAsia" w:cs="Times New Roman"/>
                <w:sz w:val="18"/>
                <w:szCs w:val="18"/>
                <w:lang w:val="zh-CN"/>
              </w:rPr>
              <w:t>掌握有关公差原则的术语和定义；</w:t>
            </w:r>
          </w:p>
          <w:p>
            <w:pPr>
              <w:pStyle w:val="16"/>
              <w:jc w:val="both"/>
              <w:rPr>
                <w:rFonts w:cs="Times New Roman"/>
                <w:sz w:val="18"/>
                <w:szCs w:val="18"/>
                <w:lang w:val="zh-CN"/>
              </w:rPr>
            </w:pPr>
            <w:r>
              <w:rPr>
                <w:rFonts w:hint="eastAsia" w:cs="Times New Roman"/>
                <w:sz w:val="18"/>
                <w:szCs w:val="18"/>
                <w:lang w:val="zh-CN"/>
              </w:rPr>
              <w:t>掌握独立原则、包容原则、最大实体原则；</w:t>
            </w:r>
          </w:p>
          <w:p>
            <w:pPr>
              <w:pStyle w:val="16"/>
              <w:jc w:val="both"/>
              <w:rPr>
                <w:rFonts w:cs="Times New Roman"/>
                <w:sz w:val="18"/>
                <w:szCs w:val="18"/>
                <w:lang w:val="zh-CN"/>
              </w:rPr>
            </w:pPr>
            <w:r>
              <w:rPr>
                <w:rFonts w:hint="eastAsia" w:cs="Times New Roman"/>
                <w:sz w:val="18"/>
                <w:szCs w:val="18"/>
                <w:lang w:val="zh-CN"/>
              </w:rPr>
              <w:t>初步掌握形位公差的选用。</w:t>
            </w:r>
          </w:p>
        </w:tc>
        <w:tc>
          <w:tcPr>
            <w:tcW w:w="567" w:type="dxa"/>
            <w:vAlign w:val="center"/>
          </w:tcPr>
          <w:p>
            <w:pPr>
              <w:pStyle w:val="16"/>
              <w:rPr>
                <w:lang w:val="zh-CN"/>
              </w:rPr>
            </w:pPr>
            <w:r>
              <w:rPr>
                <w:lang w:val="zh-CN"/>
              </w:rPr>
              <w:t>2</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0" w:type="auto"/>
            <w:vAlign w:val="center"/>
          </w:tcPr>
          <w:p>
            <w:pPr>
              <w:pStyle w:val="16"/>
              <w:rPr>
                <w:lang w:val="zh-CN"/>
              </w:rPr>
            </w:pPr>
            <w:r>
              <w:rPr>
                <w:rFonts w:hint="eastAsia"/>
              </w:rPr>
              <w:t>4</w:t>
            </w:r>
          </w:p>
        </w:tc>
        <w:tc>
          <w:tcPr>
            <w:tcW w:w="1576" w:type="dxa"/>
            <w:vAlign w:val="center"/>
          </w:tcPr>
          <w:p>
            <w:pPr>
              <w:pStyle w:val="16"/>
              <w:jc w:val="both"/>
              <w:rPr>
                <w:sz w:val="18"/>
                <w:szCs w:val="18"/>
                <w:lang w:val="zh-CN"/>
              </w:rPr>
            </w:pPr>
            <w:r>
              <w:rPr>
                <w:rFonts w:hint="eastAsia"/>
                <w:sz w:val="18"/>
                <w:szCs w:val="18"/>
                <w:lang w:val="zh-CN"/>
              </w:rPr>
              <w:t>4</w:t>
            </w:r>
            <w:r>
              <w:rPr>
                <w:sz w:val="18"/>
                <w:szCs w:val="18"/>
                <w:lang w:val="zh-CN"/>
              </w:rPr>
              <w:t>.1</w:t>
            </w:r>
            <w:r>
              <w:rPr>
                <w:rFonts w:hint="eastAsia"/>
                <w:sz w:val="18"/>
                <w:szCs w:val="18"/>
                <w:lang w:val="zh-CN"/>
              </w:rPr>
              <w:t>表面微观轮廓精度的基本概念</w:t>
            </w:r>
          </w:p>
          <w:p>
            <w:pPr>
              <w:pStyle w:val="16"/>
              <w:jc w:val="both"/>
              <w:rPr>
                <w:sz w:val="18"/>
                <w:szCs w:val="18"/>
                <w:lang w:val="zh-CN"/>
              </w:rPr>
            </w:pPr>
            <w:r>
              <w:rPr>
                <w:rFonts w:hint="eastAsia"/>
                <w:sz w:val="18"/>
                <w:szCs w:val="18"/>
                <w:lang w:val="zh-CN"/>
              </w:rPr>
              <w:t>4</w:t>
            </w:r>
            <w:r>
              <w:rPr>
                <w:sz w:val="18"/>
                <w:szCs w:val="18"/>
                <w:lang w:val="zh-CN"/>
              </w:rPr>
              <w:t>.2</w:t>
            </w:r>
            <w:r>
              <w:rPr>
                <w:rFonts w:hint="eastAsia"/>
                <w:sz w:val="18"/>
                <w:szCs w:val="18"/>
                <w:lang w:val="zh-CN"/>
              </w:rPr>
              <w:t>表面微观轮廓精度的评定</w:t>
            </w:r>
          </w:p>
          <w:p>
            <w:pPr>
              <w:pStyle w:val="16"/>
              <w:jc w:val="both"/>
              <w:rPr>
                <w:sz w:val="18"/>
                <w:szCs w:val="18"/>
                <w:lang w:val="zh-CN"/>
              </w:rPr>
            </w:pPr>
            <w:r>
              <w:rPr>
                <w:rFonts w:hint="eastAsia"/>
                <w:sz w:val="18"/>
                <w:szCs w:val="18"/>
                <w:lang w:val="zh-CN"/>
              </w:rPr>
              <w:t>4</w:t>
            </w:r>
            <w:r>
              <w:rPr>
                <w:sz w:val="18"/>
                <w:szCs w:val="18"/>
                <w:lang w:val="zh-CN"/>
              </w:rPr>
              <w:t>.3</w:t>
            </w:r>
            <w:r>
              <w:rPr>
                <w:rFonts w:hint="eastAsia"/>
                <w:sz w:val="18"/>
                <w:szCs w:val="18"/>
                <w:lang w:val="zh-CN"/>
              </w:rPr>
              <w:t>表面微观轮廓精度的标注方法</w:t>
            </w:r>
          </w:p>
          <w:p>
            <w:pPr>
              <w:pStyle w:val="16"/>
              <w:jc w:val="both"/>
              <w:rPr>
                <w:sz w:val="18"/>
                <w:szCs w:val="18"/>
                <w:lang w:val="zh-CN"/>
              </w:rPr>
            </w:pPr>
            <w:r>
              <w:rPr>
                <w:rFonts w:hint="eastAsia"/>
                <w:sz w:val="18"/>
                <w:szCs w:val="18"/>
                <w:lang w:val="zh-CN"/>
              </w:rPr>
              <w:t>4</w:t>
            </w:r>
            <w:r>
              <w:rPr>
                <w:sz w:val="18"/>
                <w:szCs w:val="18"/>
                <w:lang w:val="zh-CN"/>
              </w:rPr>
              <w:t>.4</w:t>
            </w:r>
            <w:r>
              <w:rPr>
                <w:rFonts w:hint="eastAsia"/>
                <w:sz w:val="18"/>
                <w:szCs w:val="18"/>
                <w:lang w:val="zh-CN"/>
              </w:rPr>
              <w:t>表面微观轮廓精度精度设计</w:t>
            </w:r>
          </w:p>
        </w:tc>
        <w:tc>
          <w:tcPr>
            <w:tcW w:w="1385" w:type="dxa"/>
            <w:vAlign w:val="center"/>
          </w:tcPr>
          <w:p>
            <w:pPr>
              <w:pStyle w:val="16"/>
              <w:jc w:val="both"/>
              <w:rPr>
                <w:sz w:val="18"/>
                <w:szCs w:val="18"/>
                <w:lang w:val="zh-CN"/>
              </w:rPr>
            </w:pPr>
            <w:r>
              <w:rPr>
                <w:rFonts w:hint="eastAsia" w:cs="Times New Roman"/>
                <w:sz w:val="18"/>
                <w:szCs w:val="18"/>
              </w:rPr>
              <w:t>表面粗糙度的基本概念、评定、标注方法与设计设计</w:t>
            </w:r>
          </w:p>
        </w:tc>
        <w:tc>
          <w:tcPr>
            <w:tcW w:w="2442" w:type="dxa"/>
            <w:vAlign w:val="center"/>
          </w:tcPr>
          <w:p>
            <w:pPr>
              <w:pStyle w:val="16"/>
              <w:jc w:val="both"/>
              <w:rPr>
                <w:sz w:val="18"/>
                <w:szCs w:val="18"/>
                <w:lang w:val="zh-CN"/>
              </w:rPr>
            </w:pPr>
            <w:r>
              <w:rPr>
                <w:rFonts w:hint="eastAsia"/>
                <w:sz w:val="18"/>
                <w:szCs w:val="18"/>
                <w:lang w:val="zh-CN"/>
              </w:rPr>
              <w:t>了解表面粗糙度的实质及对零件使用性能的影响；</w:t>
            </w:r>
          </w:p>
          <w:p>
            <w:pPr>
              <w:pStyle w:val="16"/>
              <w:jc w:val="both"/>
              <w:rPr>
                <w:sz w:val="18"/>
                <w:szCs w:val="18"/>
                <w:lang w:val="zh-CN"/>
              </w:rPr>
            </w:pPr>
            <w:r>
              <w:rPr>
                <w:rFonts w:hint="eastAsia"/>
                <w:sz w:val="18"/>
                <w:szCs w:val="18"/>
                <w:lang w:val="zh-CN"/>
              </w:rPr>
              <w:t>掌握表面粗糙度评定参数的含义及应用场合；</w:t>
            </w:r>
          </w:p>
          <w:p>
            <w:pPr>
              <w:pStyle w:val="16"/>
              <w:jc w:val="both"/>
              <w:rPr>
                <w:sz w:val="18"/>
                <w:szCs w:val="18"/>
                <w:lang w:val="zh-CN"/>
              </w:rPr>
            </w:pPr>
            <w:r>
              <w:rPr>
                <w:rFonts w:hint="eastAsia"/>
                <w:sz w:val="18"/>
                <w:szCs w:val="18"/>
                <w:lang w:val="zh-CN"/>
              </w:rPr>
              <w:t>掌握表面粗糙度的标注方法；</w:t>
            </w:r>
          </w:p>
          <w:p>
            <w:pPr>
              <w:pStyle w:val="16"/>
              <w:jc w:val="both"/>
              <w:rPr>
                <w:sz w:val="18"/>
                <w:szCs w:val="18"/>
                <w:lang w:val="zh-CN"/>
              </w:rPr>
            </w:pPr>
            <w:r>
              <w:rPr>
                <w:rFonts w:hint="eastAsia"/>
                <w:sz w:val="18"/>
                <w:szCs w:val="18"/>
                <w:lang w:val="zh-CN"/>
              </w:rPr>
              <w:t>初步掌握表面粗糙度的选用方法；</w:t>
            </w:r>
          </w:p>
          <w:p>
            <w:pPr>
              <w:pStyle w:val="16"/>
              <w:jc w:val="both"/>
              <w:rPr>
                <w:sz w:val="18"/>
                <w:szCs w:val="18"/>
                <w:lang w:val="zh-CN"/>
              </w:rPr>
            </w:pPr>
            <w:r>
              <w:rPr>
                <w:rFonts w:hint="eastAsia"/>
                <w:sz w:val="18"/>
                <w:szCs w:val="18"/>
                <w:lang w:val="zh-CN"/>
              </w:rPr>
              <w:t>了解表面粗糙的测量方法。</w:t>
            </w:r>
          </w:p>
          <w:p>
            <w:pPr>
              <w:pStyle w:val="16"/>
              <w:jc w:val="both"/>
              <w:rPr>
                <w:sz w:val="18"/>
                <w:szCs w:val="18"/>
                <w:lang w:val="zh-CN"/>
              </w:rPr>
            </w:pPr>
            <w:r>
              <w:rPr>
                <w:rFonts w:hint="eastAsia"/>
                <w:b/>
                <w:bCs/>
                <w:sz w:val="18"/>
                <w:szCs w:val="18"/>
                <w:lang w:val="zh-CN"/>
              </w:rPr>
              <w:t>思政元素：</w:t>
            </w:r>
            <w:r>
              <w:rPr>
                <w:rFonts w:hint="eastAsia"/>
                <w:sz w:val="18"/>
                <w:szCs w:val="18"/>
                <w:lang w:val="zh-CN"/>
              </w:rPr>
              <w:t>进一步讲述标准化重要性，结合案例增强学生标准化意识。</w:t>
            </w:r>
          </w:p>
        </w:tc>
        <w:tc>
          <w:tcPr>
            <w:tcW w:w="567" w:type="dxa"/>
            <w:vAlign w:val="center"/>
          </w:tcPr>
          <w:p>
            <w:pPr>
              <w:pStyle w:val="16"/>
              <w:rPr>
                <w:lang w:val="zh-CN"/>
              </w:rPr>
            </w:pPr>
            <w:r>
              <w:rPr>
                <w:lang w:val="zh-CN"/>
              </w:rPr>
              <w:t>2</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16"/>
              <w:rPr>
                <w:lang w:val="zh-CN"/>
              </w:rPr>
            </w:pPr>
            <w:r>
              <w:rPr>
                <w:rFonts w:hint="eastAsia"/>
              </w:rPr>
              <w:t>5</w:t>
            </w:r>
          </w:p>
        </w:tc>
        <w:tc>
          <w:tcPr>
            <w:tcW w:w="1576" w:type="dxa"/>
            <w:vAlign w:val="center"/>
          </w:tcPr>
          <w:p>
            <w:pPr>
              <w:pStyle w:val="16"/>
              <w:jc w:val="both"/>
              <w:rPr>
                <w:sz w:val="18"/>
                <w:szCs w:val="18"/>
                <w:lang w:val="zh-CN"/>
              </w:rPr>
            </w:pPr>
            <w:r>
              <w:rPr>
                <w:rFonts w:hint="eastAsia"/>
                <w:sz w:val="18"/>
                <w:szCs w:val="18"/>
                <w:lang w:val="zh-CN"/>
              </w:rPr>
              <w:t>5</w:t>
            </w:r>
            <w:r>
              <w:rPr>
                <w:sz w:val="18"/>
                <w:szCs w:val="18"/>
                <w:lang w:val="zh-CN"/>
              </w:rPr>
              <w:t>.1</w:t>
            </w:r>
            <w:r>
              <w:rPr>
                <w:rFonts w:hint="eastAsia"/>
                <w:sz w:val="18"/>
                <w:szCs w:val="18"/>
                <w:lang w:val="zh-CN"/>
              </w:rPr>
              <w:t>滚动轴承的精度</w:t>
            </w:r>
          </w:p>
          <w:p>
            <w:pPr>
              <w:pStyle w:val="16"/>
              <w:jc w:val="both"/>
              <w:rPr>
                <w:sz w:val="18"/>
                <w:szCs w:val="18"/>
                <w:lang w:val="zh-CN"/>
              </w:rPr>
            </w:pPr>
            <w:r>
              <w:rPr>
                <w:rFonts w:hint="eastAsia"/>
                <w:sz w:val="18"/>
                <w:szCs w:val="18"/>
                <w:lang w:val="zh-CN"/>
              </w:rPr>
              <w:t>5</w:t>
            </w:r>
            <w:r>
              <w:rPr>
                <w:sz w:val="18"/>
                <w:szCs w:val="18"/>
                <w:lang w:val="zh-CN"/>
              </w:rPr>
              <w:t>.2</w:t>
            </w:r>
            <w:r>
              <w:rPr>
                <w:rFonts w:hint="eastAsia"/>
                <w:sz w:val="18"/>
                <w:szCs w:val="18"/>
                <w:lang w:val="zh-CN"/>
              </w:rPr>
              <w:t>滚动轴承及相配件的尺寸精度</w:t>
            </w:r>
          </w:p>
          <w:p>
            <w:pPr>
              <w:pStyle w:val="16"/>
              <w:jc w:val="both"/>
              <w:rPr>
                <w:sz w:val="18"/>
                <w:szCs w:val="18"/>
                <w:lang w:val="zh-CN"/>
              </w:rPr>
            </w:pPr>
            <w:r>
              <w:rPr>
                <w:rFonts w:hint="eastAsia"/>
                <w:sz w:val="18"/>
                <w:szCs w:val="18"/>
                <w:lang w:val="zh-CN"/>
              </w:rPr>
              <w:t>5</w:t>
            </w:r>
            <w:r>
              <w:rPr>
                <w:sz w:val="18"/>
                <w:szCs w:val="18"/>
                <w:lang w:val="zh-CN"/>
              </w:rPr>
              <w:t>.3</w:t>
            </w:r>
            <w:r>
              <w:rPr>
                <w:rFonts w:hint="eastAsia"/>
                <w:sz w:val="18"/>
                <w:szCs w:val="18"/>
                <w:lang w:val="zh-CN"/>
              </w:rPr>
              <w:t>滚动轴承相配件的精度设计</w:t>
            </w:r>
          </w:p>
        </w:tc>
        <w:tc>
          <w:tcPr>
            <w:tcW w:w="1385" w:type="dxa"/>
            <w:vAlign w:val="center"/>
          </w:tcPr>
          <w:p>
            <w:pPr>
              <w:pStyle w:val="16"/>
              <w:jc w:val="both"/>
              <w:rPr>
                <w:sz w:val="18"/>
                <w:szCs w:val="18"/>
                <w:lang w:val="zh-CN"/>
              </w:rPr>
            </w:pPr>
            <w:r>
              <w:rPr>
                <w:rFonts w:hint="eastAsia" w:cs="Times New Roman"/>
                <w:sz w:val="18"/>
                <w:szCs w:val="18"/>
              </w:rPr>
              <w:t>滚动轴承的精度；滚动轴承及相配件的尺寸精度与精度设计</w:t>
            </w:r>
          </w:p>
        </w:tc>
        <w:tc>
          <w:tcPr>
            <w:tcW w:w="2442" w:type="dxa"/>
            <w:vAlign w:val="center"/>
          </w:tcPr>
          <w:p>
            <w:pPr>
              <w:pStyle w:val="16"/>
              <w:jc w:val="both"/>
              <w:rPr>
                <w:sz w:val="18"/>
                <w:szCs w:val="18"/>
                <w:lang w:val="zh-CN"/>
              </w:rPr>
            </w:pPr>
            <w:r>
              <w:rPr>
                <w:rFonts w:hint="eastAsia" w:cs="Times New Roman"/>
                <w:sz w:val="18"/>
                <w:szCs w:val="18"/>
              </w:rPr>
              <w:t>掌握滚动轴承的精度等级及其应用；掌握滚动轴承内外径公差带的特点；初步掌握与滚动轴承配合的孔、轴的尺寸公差与技术要求的选用；</w:t>
            </w:r>
          </w:p>
        </w:tc>
        <w:tc>
          <w:tcPr>
            <w:tcW w:w="567" w:type="dxa"/>
            <w:vAlign w:val="center"/>
          </w:tcPr>
          <w:p>
            <w:pPr>
              <w:pStyle w:val="16"/>
              <w:rPr>
                <w:lang w:val="zh-CN"/>
              </w:rPr>
            </w:pPr>
            <w:r>
              <w:rPr>
                <w:rFonts w:hint="eastAsia"/>
                <w:lang w:val="zh-CN"/>
              </w:rPr>
              <w:t>1</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16"/>
              <w:rPr>
                <w:lang w:val="zh-CN"/>
              </w:rPr>
            </w:pPr>
            <w:r>
              <w:rPr>
                <w:rFonts w:hint="eastAsia"/>
              </w:rPr>
              <w:t>6</w:t>
            </w:r>
          </w:p>
        </w:tc>
        <w:tc>
          <w:tcPr>
            <w:tcW w:w="1576" w:type="dxa"/>
            <w:vAlign w:val="center"/>
          </w:tcPr>
          <w:p>
            <w:pPr>
              <w:pStyle w:val="16"/>
              <w:jc w:val="both"/>
              <w:rPr>
                <w:sz w:val="18"/>
                <w:szCs w:val="18"/>
                <w:lang w:val="zh-CN"/>
              </w:rPr>
            </w:pPr>
            <w:r>
              <w:rPr>
                <w:rFonts w:hint="eastAsia"/>
                <w:sz w:val="18"/>
                <w:szCs w:val="18"/>
                <w:lang w:val="zh-CN"/>
              </w:rPr>
              <w:t>6</w:t>
            </w:r>
            <w:r>
              <w:rPr>
                <w:sz w:val="18"/>
                <w:szCs w:val="18"/>
                <w:lang w:val="zh-CN"/>
              </w:rPr>
              <w:t>.1</w:t>
            </w:r>
            <w:r>
              <w:rPr>
                <w:rFonts w:hint="eastAsia"/>
                <w:sz w:val="18"/>
                <w:szCs w:val="18"/>
                <w:lang w:val="zh-CN"/>
              </w:rPr>
              <w:t>普通螺纹联结概述</w:t>
            </w:r>
          </w:p>
          <w:p>
            <w:pPr>
              <w:pStyle w:val="16"/>
              <w:jc w:val="both"/>
              <w:rPr>
                <w:sz w:val="18"/>
                <w:szCs w:val="18"/>
                <w:lang w:val="zh-CN"/>
              </w:rPr>
            </w:pPr>
            <w:r>
              <w:rPr>
                <w:rFonts w:hint="eastAsia"/>
                <w:sz w:val="18"/>
                <w:szCs w:val="18"/>
                <w:lang w:val="zh-CN"/>
              </w:rPr>
              <w:t>6</w:t>
            </w:r>
            <w:r>
              <w:rPr>
                <w:sz w:val="18"/>
                <w:szCs w:val="18"/>
                <w:lang w:val="zh-CN"/>
              </w:rPr>
              <w:t>.2</w:t>
            </w:r>
            <w:r>
              <w:rPr>
                <w:rFonts w:hint="eastAsia"/>
                <w:sz w:val="18"/>
                <w:szCs w:val="18"/>
                <w:lang w:val="zh-CN"/>
              </w:rPr>
              <w:t>影响普通螺纹联结精度的因素</w:t>
            </w:r>
          </w:p>
          <w:p>
            <w:pPr>
              <w:pStyle w:val="16"/>
              <w:jc w:val="both"/>
              <w:rPr>
                <w:sz w:val="18"/>
                <w:szCs w:val="18"/>
                <w:lang w:val="zh-CN"/>
              </w:rPr>
            </w:pPr>
            <w:r>
              <w:rPr>
                <w:rFonts w:hint="eastAsia"/>
                <w:sz w:val="18"/>
                <w:szCs w:val="18"/>
                <w:lang w:val="zh-CN"/>
              </w:rPr>
              <w:t>6</w:t>
            </w:r>
            <w:r>
              <w:rPr>
                <w:sz w:val="18"/>
                <w:szCs w:val="18"/>
                <w:lang w:val="zh-CN"/>
              </w:rPr>
              <w:t>.3</w:t>
            </w:r>
            <w:r>
              <w:rPr>
                <w:rFonts w:hint="eastAsia"/>
                <w:sz w:val="18"/>
                <w:szCs w:val="18"/>
                <w:lang w:val="zh-CN"/>
              </w:rPr>
              <w:t>普通螺纹精度设计</w:t>
            </w:r>
          </w:p>
        </w:tc>
        <w:tc>
          <w:tcPr>
            <w:tcW w:w="1385" w:type="dxa"/>
            <w:vAlign w:val="center"/>
          </w:tcPr>
          <w:p>
            <w:pPr>
              <w:pStyle w:val="16"/>
              <w:jc w:val="both"/>
              <w:rPr>
                <w:sz w:val="18"/>
                <w:szCs w:val="18"/>
                <w:lang w:val="zh-CN"/>
              </w:rPr>
            </w:pPr>
            <w:r>
              <w:rPr>
                <w:rFonts w:hint="eastAsia" w:cs="Times New Roman"/>
                <w:sz w:val="18"/>
                <w:szCs w:val="18"/>
              </w:rPr>
              <w:t>普通螺纹联结概述；影响普通螺纹联结精度的因素</w:t>
            </w:r>
          </w:p>
        </w:tc>
        <w:tc>
          <w:tcPr>
            <w:tcW w:w="2442" w:type="dxa"/>
            <w:vAlign w:val="center"/>
          </w:tcPr>
          <w:p>
            <w:pPr>
              <w:pStyle w:val="16"/>
              <w:jc w:val="both"/>
              <w:rPr>
                <w:rFonts w:cs="Times New Roman"/>
                <w:sz w:val="18"/>
                <w:szCs w:val="18"/>
                <w:lang w:val="zh-CN"/>
              </w:rPr>
            </w:pPr>
            <w:r>
              <w:rPr>
                <w:rFonts w:hint="eastAsia" w:cs="Times New Roman"/>
                <w:sz w:val="18"/>
                <w:szCs w:val="18"/>
                <w:lang w:val="zh-CN"/>
              </w:rPr>
              <w:t>了解普通螺纹的使用要求、主要几何参数；</w:t>
            </w:r>
          </w:p>
          <w:p>
            <w:pPr>
              <w:pStyle w:val="16"/>
              <w:jc w:val="both"/>
              <w:rPr>
                <w:rFonts w:cs="Times New Roman"/>
                <w:sz w:val="18"/>
                <w:szCs w:val="18"/>
                <w:lang w:val="zh-CN"/>
              </w:rPr>
            </w:pPr>
            <w:r>
              <w:rPr>
                <w:rFonts w:hint="eastAsia" w:cs="Times New Roman"/>
                <w:sz w:val="18"/>
                <w:szCs w:val="18"/>
                <w:lang w:val="zh-CN"/>
              </w:rPr>
              <w:t>掌握国家标准有关普通螺纹公差等级和基本偏差的规定；</w:t>
            </w:r>
          </w:p>
          <w:p>
            <w:pPr>
              <w:pStyle w:val="16"/>
              <w:jc w:val="both"/>
              <w:rPr>
                <w:sz w:val="18"/>
                <w:szCs w:val="18"/>
                <w:lang w:val="zh-CN"/>
              </w:rPr>
            </w:pPr>
            <w:r>
              <w:rPr>
                <w:rFonts w:hint="eastAsia" w:cs="Times New Roman"/>
                <w:sz w:val="18"/>
                <w:szCs w:val="18"/>
                <w:lang w:val="zh-CN"/>
              </w:rPr>
              <w:t>初步掌握普通螺纹公差与配合的选用和正确标注。</w:t>
            </w:r>
          </w:p>
        </w:tc>
        <w:tc>
          <w:tcPr>
            <w:tcW w:w="567" w:type="dxa"/>
            <w:vAlign w:val="center"/>
          </w:tcPr>
          <w:p>
            <w:pPr>
              <w:pStyle w:val="16"/>
              <w:rPr>
                <w:lang w:val="zh-CN"/>
              </w:rPr>
            </w:pPr>
            <w:r>
              <w:rPr>
                <w:rFonts w:hint="eastAsia"/>
                <w:lang w:val="zh-CN"/>
              </w:rPr>
              <w:t>1</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16"/>
              <w:rPr>
                <w:lang w:val="zh-CN"/>
              </w:rPr>
            </w:pPr>
            <w:r>
              <w:rPr>
                <w:rFonts w:hint="eastAsia"/>
              </w:rPr>
              <w:t>7</w:t>
            </w:r>
          </w:p>
        </w:tc>
        <w:tc>
          <w:tcPr>
            <w:tcW w:w="1576" w:type="dxa"/>
            <w:vAlign w:val="center"/>
          </w:tcPr>
          <w:p>
            <w:pPr>
              <w:pStyle w:val="16"/>
              <w:jc w:val="both"/>
              <w:rPr>
                <w:sz w:val="18"/>
                <w:szCs w:val="18"/>
                <w:lang w:val="zh-CN"/>
              </w:rPr>
            </w:pPr>
            <w:r>
              <w:rPr>
                <w:rFonts w:hint="eastAsia"/>
                <w:sz w:val="18"/>
                <w:szCs w:val="18"/>
                <w:lang w:val="zh-CN"/>
              </w:rPr>
              <w:t>7</w:t>
            </w:r>
            <w:r>
              <w:rPr>
                <w:sz w:val="18"/>
                <w:szCs w:val="18"/>
                <w:lang w:val="zh-CN"/>
              </w:rPr>
              <w:t>.5</w:t>
            </w:r>
            <w:r>
              <w:rPr>
                <w:rFonts w:hint="eastAsia"/>
                <w:sz w:val="18"/>
                <w:szCs w:val="18"/>
                <w:lang w:val="zh-CN"/>
              </w:rPr>
              <w:t>圆柱齿轮的精度设计</w:t>
            </w:r>
          </w:p>
        </w:tc>
        <w:tc>
          <w:tcPr>
            <w:tcW w:w="1385" w:type="dxa"/>
            <w:vAlign w:val="center"/>
          </w:tcPr>
          <w:p>
            <w:pPr>
              <w:pStyle w:val="16"/>
              <w:jc w:val="both"/>
              <w:rPr>
                <w:sz w:val="18"/>
                <w:szCs w:val="18"/>
                <w:lang w:val="zh-CN"/>
              </w:rPr>
            </w:pPr>
            <w:r>
              <w:rPr>
                <w:rFonts w:hint="eastAsia"/>
                <w:sz w:val="18"/>
                <w:szCs w:val="18"/>
                <w:lang w:val="zh-CN"/>
              </w:rPr>
              <w:t>齿轮传动的使用要求和齿轮加工误差；圆柱齿轮的精度设计</w:t>
            </w:r>
          </w:p>
        </w:tc>
        <w:tc>
          <w:tcPr>
            <w:tcW w:w="2442" w:type="dxa"/>
            <w:vAlign w:val="center"/>
          </w:tcPr>
          <w:p>
            <w:pPr>
              <w:pStyle w:val="16"/>
              <w:jc w:val="both"/>
              <w:rPr>
                <w:sz w:val="18"/>
                <w:szCs w:val="18"/>
                <w:lang w:val="zh-CN"/>
              </w:rPr>
            </w:pPr>
            <w:r>
              <w:rPr>
                <w:rFonts w:hint="eastAsia"/>
                <w:sz w:val="18"/>
                <w:szCs w:val="18"/>
                <w:lang w:val="zh-CN"/>
              </w:rPr>
              <w:t>明确齿轮传动的四项基本要求；</w:t>
            </w:r>
          </w:p>
          <w:p>
            <w:pPr>
              <w:pStyle w:val="16"/>
              <w:jc w:val="both"/>
              <w:rPr>
                <w:sz w:val="18"/>
                <w:szCs w:val="18"/>
                <w:lang w:val="zh-CN"/>
              </w:rPr>
            </w:pPr>
            <w:r>
              <w:rPr>
                <w:rFonts w:hint="eastAsia"/>
                <w:sz w:val="18"/>
                <w:szCs w:val="18"/>
                <w:lang w:val="zh-CN"/>
              </w:rPr>
              <w:t>理解国家标准中规定的单个齿轮偏差的代号、含义及对齿轮工作精度的影响；</w:t>
            </w:r>
          </w:p>
          <w:p>
            <w:pPr>
              <w:pStyle w:val="16"/>
              <w:jc w:val="both"/>
              <w:rPr>
                <w:sz w:val="18"/>
                <w:szCs w:val="18"/>
                <w:lang w:val="zh-CN"/>
              </w:rPr>
            </w:pPr>
            <w:r>
              <w:rPr>
                <w:rFonts w:hint="eastAsia"/>
                <w:sz w:val="18"/>
                <w:szCs w:val="18"/>
                <w:lang w:val="zh-CN"/>
              </w:rPr>
              <w:t>明确齿轮的偏差中的必检项目；</w:t>
            </w:r>
          </w:p>
          <w:p>
            <w:pPr>
              <w:pStyle w:val="16"/>
              <w:jc w:val="both"/>
              <w:rPr>
                <w:sz w:val="18"/>
                <w:szCs w:val="18"/>
                <w:lang w:val="zh-CN"/>
              </w:rPr>
            </w:pPr>
            <w:r>
              <w:rPr>
                <w:rFonts w:hint="eastAsia"/>
                <w:sz w:val="18"/>
                <w:szCs w:val="18"/>
                <w:lang w:val="zh-CN"/>
              </w:rPr>
              <w:t>了解齿轮副的精度要求；</w:t>
            </w:r>
          </w:p>
          <w:p>
            <w:pPr>
              <w:pStyle w:val="16"/>
              <w:jc w:val="both"/>
              <w:rPr>
                <w:sz w:val="18"/>
                <w:szCs w:val="18"/>
                <w:lang w:val="zh-CN"/>
              </w:rPr>
            </w:pPr>
            <w:r>
              <w:rPr>
                <w:rFonts w:hint="eastAsia"/>
                <w:sz w:val="18"/>
                <w:szCs w:val="18"/>
                <w:lang w:val="zh-CN"/>
              </w:rPr>
              <w:t>了解齿轮坯的精度要求及各表面的粗糙度要求；</w:t>
            </w:r>
          </w:p>
          <w:p>
            <w:pPr>
              <w:pStyle w:val="16"/>
              <w:jc w:val="both"/>
              <w:rPr>
                <w:sz w:val="18"/>
                <w:szCs w:val="18"/>
                <w:lang w:val="zh-CN"/>
              </w:rPr>
            </w:pPr>
            <w:r>
              <w:rPr>
                <w:rFonts w:hint="eastAsia"/>
                <w:sz w:val="18"/>
                <w:szCs w:val="18"/>
                <w:lang w:val="zh-CN"/>
              </w:rPr>
              <w:t>初步学会正确选用齿轮精度等级，确定检测项目及其允许值，确定齿厚极限偏差，能选用齿轮坯公差及各表面粗糙度。</w:t>
            </w:r>
          </w:p>
          <w:p>
            <w:pPr>
              <w:pStyle w:val="16"/>
              <w:jc w:val="both"/>
              <w:rPr>
                <w:sz w:val="18"/>
                <w:szCs w:val="18"/>
                <w:lang w:val="zh-CN"/>
              </w:rPr>
            </w:pPr>
            <w:r>
              <w:rPr>
                <w:rFonts w:hint="eastAsia"/>
                <w:b/>
                <w:bCs/>
                <w:sz w:val="18"/>
                <w:szCs w:val="18"/>
                <w:lang w:val="zh-CN"/>
              </w:rPr>
              <w:t>思政元素：</w:t>
            </w:r>
            <w:r>
              <w:rPr>
                <w:rFonts w:hint="eastAsia"/>
                <w:sz w:val="18"/>
                <w:szCs w:val="18"/>
                <w:lang w:val="zh-CN"/>
              </w:rPr>
              <w:t>结合国内外机加工精密机械发展水平的对比，认识中国存在的优劣势，激发学生自豪感和爱国精神。</w:t>
            </w:r>
          </w:p>
        </w:tc>
        <w:tc>
          <w:tcPr>
            <w:tcW w:w="567" w:type="dxa"/>
            <w:vAlign w:val="center"/>
          </w:tcPr>
          <w:p>
            <w:pPr>
              <w:pStyle w:val="16"/>
              <w:rPr>
                <w:lang w:val="zh-CN"/>
              </w:rPr>
            </w:pPr>
            <w:r>
              <w:rPr>
                <w:rFonts w:hint="eastAsia"/>
                <w:lang w:val="zh-CN"/>
              </w:rPr>
              <w:t>1</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16"/>
              <w:rPr>
                <w:lang w:val="zh-CN"/>
              </w:rPr>
            </w:pPr>
            <w:r>
              <w:rPr>
                <w:rFonts w:hint="eastAsia"/>
              </w:rPr>
              <w:t>8</w:t>
            </w:r>
          </w:p>
        </w:tc>
        <w:tc>
          <w:tcPr>
            <w:tcW w:w="1576" w:type="dxa"/>
            <w:vAlign w:val="center"/>
          </w:tcPr>
          <w:p>
            <w:pPr>
              <w:pStyle w:val="16"/>
              <w:jc w:val="both"/>
              <w:rPr>
                <w:sz w:val="18"/>
                <w:szCs w:val="18"/>
                <w:lang w:val="zh-CN"/>
              </w:rPr>
            </w:pPr>
            <w:r>
              <w:rPr>
                <w:rFonts w:hint="eastAsia"/>
                <w:sz w:val="18"/>
                <w:szCs w:val="18"/>
                <w:lang w:val="zh-CN"/>
              </w:rPr>
              <w:t>8</w:t>
            </w:r>
            <w:r>
              <w:rPr>
                <w:sz w:val="18"/>
                <w:szCs w:val="18"/>
                <w:lang w:val="zh-CN"/>
              </w:rPr>
              <w:t>.1</w:t>
            </w:r>
            <w:r>
              <w:rPr>
                <w:rFonts w:hint="eastAsia"/>
                <w:sz w:val="18"/>
                <w:szCs w:val="18"/>
                <w:lang w:val="zh-CN"/>
              </w:rPr>
              <w:t>平键联结的精度</w:t>
            </w:r>
          </w:p>
          <w:p>
            <w:pPr>
              <w:pStyle w:val="16"/>
              <w:jc w:val="both"/>
              <w:rPr>
                <w:sz w:val="18"/>
                <w:szCs w:val="18"/>
                <w:lang w:val="zh-CN"/>
              </w:rPr>
            </w:pPr>
            <w:r>
              <w:rPr>
                <w:rFonts w:hint="eastAsia"/>
                <w:sz w:val="18"/>
                <w:szCs w:val="18"/>
                <w:lang w:val="zh-CN"/>
              </w:rPr>
              <w:t>8</w:t>
            </w:r>
            <w:r>
              <w:rPr>
                <w:sz w:val="18"/>
                <w:szCs w:val="18"/>
                <w:lang w:val="zh-CN"/>
              </w:rPr>
              <w:t>.2</w:t>
            </w:r>
            <w:r>
              <w:rPr>
                <w:rFonts w:hint="eastAsia"/>
                <w:sz w:val="18"/>
                <w:szCs w:val="18"/>
                <w:lang w:val="zh-CN"/>
              </w:rPr>
              <w:t>矩形花键联结的精度</w:t>
            </w:r>
          </w:p>
          <w:p>
            <w:pPr>
              <w:pStyle w:val="16"/>
              <w:jc w:val="both"/>
              <w:rPr>
                <w:sz w:val="18"/>
                <w:szCs w:val="18"/>
                <w:lang w:val="zh-CN"/>
              </w:rPr>
            </w:pPr>
            <w:r>
              <w:rPr>
                <w:rFonts w:hint="eastAsia"/>
                <w:sz w:val="18"/>
                <w:szCs w:val="18"/>
                <w:lang w:val="zh-CN"/>
              </w:rPr>
              <w:t>8</w:t>
            </w:r>
            <w:r>
              <w:rPr>
                <w:sz w:val="18"/>
                <w:szCs w:val="18"/>
                <w:lang w:val="zh-CN"/>
              </w:rPr>
              <w:t>.3</w:t>
            </w:r>
            <w:r>
              <w:rPr>
                <w:rFonts w:hint="eastAsia"/>
                <w:sz w:val="18"/>
                <w:szCs w:val="18"/>
                <w:lang w:val="zh-CN"/>
              </w:rPr>
              <w:t>键联结的精度设计</w:t>
            </w:r>
          </w:p>
        </w:tc>
        <w:tc>
          <w:tcPr>
            <w:tcW w:w="1385" w:type="dxa"/>
            <w:vAlign w:val="center"/>
          </w:tcPr>
          <w:p>
            <w:pPr>
              <w:pStyle w:val="16"/>
              <w:jc w:val="both"/>
              <w:rPr>
                <w:rFonts w:cs="Times New Roman"/>
                <w:sz w:val="18"/>
                <w:szCs w:val="18"/>
              </w:rPr>
            </w:pPr>
            <w:r>
              <w:rPr>
                <w:rFonts w:hint="eastAsia" w:cs="Times New Roman"/>
                <w:sz w:val="18"/>
                <w:szCs w:val="18"/>
              </w:rPr>
              <w:t>平键联结的精度；矩形花键联结的精度</w:t>
            </w:r>
          </w:p>
          <w:p>
            <w:pPr>
              <w:pStyle w:val="16"/>
              <w:jc w:val="both"/>
              <w:rPr>
                <w:sz w:val="18"/>
                <w:szCs w:val="18"/>
                <w:lang w:val="zh-CN"/>
              </w:rPr>
            </w:pPr>
          </w:p>
        </w:tc>
        <w:tc>
          <w:tcPr>
            <w:tcW w:w="2442" w:type="dxa"/>
            <w:vAlign w:val="center"/>
          </w:tcPr>
          <w:p>
            <w:pPr>
              <w:pStyle w:val="16"/>
              <w:jc w:val="both"/>
              <w:rPr>
                <w:sz w:val="18"/>
                <w:szCs w:val="18"/>
                <w:lang w:val="zh-CN"/>
              </w:rPr>
            </w:pPr>
            <w:r>
              <w:rPr>
                <w:rFonts w:hint="eastAsia" w:cs="Times New Roman"/>
                <w:sz w:val="18"/>
                <w:szCs w:val="18"/>
                <w:lang w:val="zh-CN"/>
              </w:rPr>
              <w:t>掌握平键连接和矩形花键的公差与配合；掌握矩形花键连接的定心方式及理由；花键连接采用的基准制及理由。</w:t>
            </w:r>
          </w:p>
        </w:tc>
        <w:tc>
          <w:tcPr>
            <w:tcW w:w="567" w:type="dxa"/>
            <w:vAlign w:val="center"/>
          </w:tcPr>
          <w:p>
            <w:pPr>
              <w:pStyle w:val="16"/>
              <w:rPr>
                <w:lang w:val="zh-CN"/>
              </w:rPr>
            </w:pPr>
            <w:r>
              <w:rPr>
                <w:rFonts w:hint="eastAsia"/>
                <w:lang w:val="zh-CN"/>
              </w:rPr>
              <w:t>1</w:t>
            </w:r>
          </w:p>
        </w:tc>
        <w:tc>
          <w:tcPr>
            <w:tcW w:w="1134" w:type="dxa"/>
            <w:vAlign w:val="center"/>
          </w:tcPr>
          <w:p>
            <w:pPr>
              <w:pStyle w:val="16"/>
            </w:pPr>
            <w:r>
              <w:rPr>
                <w:rFonts w:hint="eastAsia"/>
                <w:lang w:val="zh-CN"/>
              </w:rPr>
              <w:sym w:font="Wingdings 2" w:char="0052"/>
            </w:r>
            <w:r>
              <w:rPr>
                <w:rFonts w:hint="eastAsia"/>
              </w:rPr>
              <w:t>讲授</w:t>
            </w:r>
          </w:p>
          <w:p>
            <w:pPr>
              <w:pStyle w:val="16"/>
            </w:pPr>
            <w:r>
              <w:rPr>
                <w:rFonts w:hint="eastAsia"/>
                <w:lang w:val="zh-CN"/>
              </w:rPr>
              <w:sym w:font="Wingdings 2" w:char="F052"/>
            </w:r>
            <w:r>
              <w:rPr>
                <w:rFonts w:hint="eastAsia"/>
              </w:rPr>
              <w:t>练习</w:t>
            </w:r>
          </w:p>
          <w:p>
            <w:pPr>
              <w:pStyle w:val="16"/>
              <w:rPr>
                <w:lang w:val="zh-CN"/>
              </w:rPr>
            </w:pPr>
            <w:r>
              <w:rPr>
                <w:rFonts w:hint="eastAsia"/>
                <w:lang w:val="zh-CN"/>
              </w:rPr>
              <w:sym w:font="Wingdings 2" w:char="F052"/>
            </w:r>
            <w:r>
              <w:rPr>
                <w:rFonts w:hint="eastAsia"/>
              </w:rPr>
              <w:t>讨论</w:t>
            </w:r>
          </w:p>
        </w:tc>
        <w:tc>
          <w:tcPr>
            <w:tcW w:w="989" w:type="dxa"/>
            <w:vAlign w:val="center"/>
          </w:tcPr>
          <w:p>
            <w:pPr>
              <w:pStyle w:val="16"/>
            </w:pPr>
            <w:r>
              <w:rPr>
                <w:rFonts w:hint="eastAsia"/>
              </w:rPr>
              <w:t>5</w:t>
            </w:r>
          </w:p>
        </w:tc>
      </w:tr>
    </w:tbl>
    <w:p>
      <w:pPr>
        <w:pStyle w:val="2"/>
        <w:spacing w:before="156" w:after="156"/>
        <w:ind w:firstLine="562"/>
        <w:rPr>
          <w:lang w:bidi="ar"/>
        </w:rPr>
      </w:pPr>
      <w:r>
        <w:rPr>
          <w:rFonts w:hint="eastAsia"/>
          <w:lang w:bidi="ar"/>
        </w:rPr>
        <w:t>五、课程教学方式</w:t>
      </w:r>
    </w:p>
    <w:p>
      <w:pPr>
        <w:ind w:firstLine="480"/>
        <w:rPr>
          <w:lang w:val="en-GB" w:bidi="ar"/>
        </w:rPr>
      </w:pPr>
      <w:r>
        <w:rPr>
          <w:rFonts w:hint="eastAsia"/>
          <w:lang w:val="en-GB" w:bidi="ar"/>
        </w:rPr>
        <w:t>本课程所涉及的教学内容概念多、术语多、符号多、技术标准多、原则规定多，学习过程中需要空间想象力，需要将知识点与制造工艺有机融合。</w:t>
      </w:r>
    </w:p>
    <w:p>
      <w:pPr>
        <w:ind w:firstLine="480"/>
        <w:rPr>
          <w:lang w:bidi="ar"/>
        </w:rPr>
      </w:pPr>
      <w:r>
        <w:rPr>
          <w:rFonts w:hint="eastAsia"/>
          <w:lang w:val="en-GB" w:bidi="ar"/>
        </w:rPr>
        <w:t>在教学方法上，根据具体教学内容，综合运用课堂讲授和演示、课堂讨论、案例分析、课堂练习、发现学习法和自学指导法，通过引入问题进行启发式教学，通过课堂互动拓展专业视野，通过案例解析提高专业知识的综合运用能力，使学生更加明确教学内容的知识体系，引导学生主动学习，激发内在学习动机，提高课堂的积极性。</w:t>
      </w:r>
      <w:r>
        <w:rPr>
          <w:rFonts w:hint="eastAsia"/>
          <w:lang w:bidi="ar"/>
        </w:rPr>
        <w:t xml:space="preserve"> </w:t>
      </w:r>
    </w:p>
    <w:p>
      <w:pPr>
        <w:ind w:firstLine="480"/>
        <w:rPr>
          <w:lang w:val="en-GB" w:bidi="ar"/>
        </w:rPr>
      </w:pPr>
      <w:r>
        <w:rPr>
          <w:rFonts w:hint="eastAsia"/>
          <w:lang w:val="en-GB" w:bidi="ar"/>
        </w:rPr>
        <w:t>结合具体教学内容，本课程所采用的教学方法说明如下：1.课堂讲授尽可能采用多媒体教学并结合</w:t>
      </w:r>
      <w:r>
        <w:rPr>
          <w:rFonts w:hint="eastAsia"/>
          <w:lang w:bidi="ar"/>
        </w:rPr>
        <w:t>适</w:t>
      </w:r>
      <w:r>
        <w:rPr>
          <w:rFonts w:hint="eastAsia"/>
          <w:lang w:val="en-GB" w:bidi="ar"/>
        </w:rPr>
        <w:t>量的板书。2.对于某些测量手段，可利用网络资源或录像播放的方式进行。3.授课过程中注重教与学的互动，采用课后作业、作业反馈、</w:t>
      </w:r>
      <w:r>
        <w:rPr>
          <w:rFonts w:hint="eastAsia"/>
          <w:lang w:bidi="ar"/>
        </w:rPr>
        <w:t>课堂互动</w:t>
      </w:r>
      <w:r>
        <w:rPr>
          <w:rFonts w:hint="eastAsia"/>
          <w:lang w:val="en-GB" w:bidi="ar"/>
        </w:rPr>
        <w:t>等方式了解学生的学习效果。4.因本课程注重应用，在公差与时合的选用环节应尽可能采用案例教学。</w:t>
      </w:r>
    </w:p>
    <w:p>
      <w:pPr>
        <w:pStyle w:val="2"/>
        <w:spacing w:before="156" w:after="156"/>
        <w:ind w:firstLine="562"/>
        <w:rPr>
          <w:lang w:bidi="ar"/>
        </w:rPr>
      </w:pPr>
      <w:r>
        <w:rPr>
          <w:rFonts w:hint="eastAsia"/>
          <w:lang w:bidi="ar"/>
        </w:rPr>
        <w:t xml:space="preserve">六、考核方式 </w:t>
      </w:r>
    </w:p>
    <w:p>
      <w:pPr>
        <w:pStyle w:val="3"/>
      </w:pPr>
      <w:r>
        <w:rPr>
          <w:rFonts w:hint="eastAsia"/>
          <w:lang w:bidi="ar"/>
        </w:rPr>
        <w:t>（一）</w:t>
      </w:r>
      <w:r>
        <w:rPr>
          <w:rFonts w:hint="eastAsia"/>
        </w:rPr>
        <w:t>成绩评定制度：</w:t>
      </w:r>
    </w:p>
    <w:p>
      <w:pPr>
        <w:ind w:firstLine="480"/>
      </w:pPr>
      <w:r>
        <w:rPr>
          <w:rFonts w:hint="eastAsia"/>
        </w:rPr>
        <w:t>百分制</w:t>
      </w:r>
    </w:p>
    <w:p>
      <w:pPr>
        <w:pStyle w:val="3"/>
      </w:pPr>
      <w:r>
        <w:rPr>
          <w:rFonts w:hint="eastAsia"/>
          <w:lang w:bidi="ar"/>
        </w:rPr>
        <w:t>（二）</w:t>
      </w:r>
      <w:r>
        <w:rPr>
          <w:rFonts w:hint="eastAsia"/>
        </w:rPr>
        <w:t>成绩评定方式：</w:t>
      </w:r>
    </w:p>
    <w:p>
      <w:pPr>
        <w:ind w:firstLine="480"/>
        <w:rPr>
          <w:lang w:bidi="ar"/>
        </w:rPr>
      </w:pPr>
      <w:r>
        <w:rPr>
          <w:lang w:bidi="ar"/>
        </w:rPr>
        <w:t>本课程的考核方式为考试，闭卷。课程的考核以考核学生能力培养目标的达成为主要目的，以检查学生对各知识点的掌握程度和应用能力为重要内容，包括</w:t>
      </w:r>
      <w:r>
        <w:rPr>
          <w:b/>
          <w:bCs/>
          <w:lang w:bidi="ar"/>
        </w:rPr>
        <w:t>平时考核、作业考核、考试考核三部分</w:t>
      </w:r>
      <w:r>
        <w:rPr>
          <w:lang w:bidi="ar"/>
        </w:rPr>
        <w:t>，平时考核包括出勤率、课堂练习和课堂活动，作业考核包括课后每次作业的平均得分，考试考核为课程结业考试。</w:t>
      </w:r>
    </w:p>
    <w:p>
      <w:pPr>
        <w:ind w:firstLine="480"/>
      </w:pPr>
      <w:r>
        <w:rPr>
          <w:lang w:bidi="ar"/>
        </w:rPr>
        <w:t>相应地，课程总评成绩由平时考核成绩、作业成绩、考试考核成绩三部分加权而成，平时成绩、作业成绩、考试成绩及总评成绩均为百分制，在总评成绩中，平时成绩、作业成绩、考试成绩所占的权重分别为为</w:t>
      </w:r>
      <w:r>
        <w:rPr>
          <w:rFonts w:ascii="Symbol" w:hAnsi="Symbol" w:cs="Symbol"/>
          <w:lang w:bidi="ar"/>
        </w:rPr>
        <w:t></w:t>
      </w:r>
      <w:r>
        <w:rPr>
          <w:rFonts w:ascii="Symbol" w:hAnsi="Symbol" w:cs="Symbol"/>
          <w:vertAlign w:val="subscript"/>
          <w:lang w:bidi="ar"/>
        </w:rPr>
        <w:t></w:t>
      </w:r>
      <w:r>
        <w:rPr>
          <w:lang w:bidi="ar"/>
        </w:rPr>
        <w:t>、</w:t>
      </w:r>
      <w:r>
        <w:rPr>
          <w:rFonts w:ascii="Symbol" w:hAnsi="Symbol" w:cs="Symbol"/>
          <w:lang w:bidi="ar"/>
        </w:rPr>
        <w:t></w:t>
      </w:r>
      <w:r>
        <w:rPr>
          <w:rFonts w:hint="eastAsia" w:ascii="Symbol" w:hAnsi="Symbol" w:cs="Symbol"/>
          <w:vertAlign w:val="subscript"/>
          <w:lang w:bidi="ar"/>
        </w:rPr>
        <w:t>2</w:t>
      </w:r>
      <w:r>
        <w:rPr>
          <w:lang w:bidi="ar"/>
        </w:rPr>
        <w:t>、</w:t>
      </w:r>
      <w:r>
        <w:rPr>
          <w:rFonts w:ascii="Symbol" w:hAnsi="Symbol" w:cs="Symbol"/>
          <w:lang w:bidi="ar"/>
        </w:rPr>
        <w:t></w:t>
      </w:r>
      <w:r>
        <w:rPr>
          <w:rFonts w:hint="eastAsia" w:ascii="Symbol" w:hAnsi="Symbol" w:cs="Symbol"/>
          <w:vertAlign w:val="subscript"/>
          <w:lang w:bidi="ar"/>
        </w:rPr>
        <w:t>3</w:t>
      </w:r>
      <w:r>
        <w:t>，</w:t>
      </w:r>
      <w:r>
        <w:rPr>
          <w:lang w:bidi="ar"/>
        </w:rPr>
        <w:t>其中</w:t>
      </w:r>
      <w:r>
        <w:rPr>
          <w:rFonts w:ascii="Symbol" w:hAnsi="Symbol" w:cs="Symbol"/>
          <w:lang w:bidi="ar"/>
        </w:rPr>
        <w:t></w:t>
      </w:r>
      <w:r>
        <w:rPr>
          <w:rFonts w:ascii="Symbol" w:hAnsi="Symbol" w:cs="Symbol"/>
          <w:vertAlign w:val="subscript"/>
          <w:lang w:bidi="ar"/>
        </w:rPr>
        <w:t></w:t>
      </w:r>
      <w:r>
        <w:rPr>
          <w:lang w:bidi="ar"/>
        </w:rPr>
        <w:t>、</w:t>
      </w:r>
      <w:r>
        <w:rPr>
          <w:rFonts w:ascii="Symbol" w:hAnsi="Symbol" w:cs="Symbol"/>
          <w:lang w:bidi="ar"/>
        </w:rPr>
        <w:t></w:t>
      </w:r>
      <w:r>
        <w:rPr>
          <w:rFonts w:hint="eastAsia" w:ascii="Symbol" w:hAnsi="Symbol" w:cs="Symbol"/>
          <w:vertAlign w:val="subscript"/>
          <w:lang w:bidi="ar"/>
        </w:rPr>
        <w:t>2</w:t>
      </w:r>
      <w:r>
        <w:rPr>
          <w:lang w:bidi="ar"/>
        </w:rPr>
        <w:t>、</w:t>
      </w:r>
      <w:r>
        <w:rPr>
          <w:rFonts w:ascii="Symbol" w:hAnsi="Symbol" w:cs="Symbol"/>
          <w:lang w:bidi="ar"/>
        </w:rPr>
        <w:t></w:t>
      </w:r>
      <w:r>
        <w:rPr>
          <w:rFonts w:hint="eastAsia" w:ascii="Symbol" w:hAnsi="Symbol" w:cs="Symbol"/>
          <w:vertAlign w:val="subscript"/>
          <w:lang w:bidi="ar"/>
        </w:rPr>
        <w:t>3</w:t>
      </w:r>
      <w:r>
        <w:rPr>
          <w:lang w:bidi="ar"/>
        </w:rPr>
        <w:t xml:space="preserve">根据学校相关规定分别定为 </w:t>
      </w:r>
      <w:r>
        <w:rPr>
          <w:color w:val="FF0000"/>
          <w:lang w:bidi="ar"/>
        </w:rPr>
        <w:t>0.3、0.2 和 0.5</w:t>
      </w:r>
      <w:r>
        <w:rPr>
          <w:lang w:bidi="ar"/>
        </w:rPr>
        <w:t>。</w:t>
      </w:r>
    </w:p>
    <w:p>
      <w:pPr>
        <w:pStyle w:val="3"/>
      </w:pPr>
      <w:r>
        <w:rPr>
          <w:rFonts w:hint="eastAsia"/>
          <w:lang w:bidi="ar"/>
        </w:rPr>
        <w:t>（三）</w:t>
      </w:r>
      <w:r>
        <w:rPr>
          <w:lang w:bidi="ar"/>
        </w:rPr>
        <w:t>各考核环节所占分值比例及考核细则</w:t>
      </w:r>
    </w:p>
    <w:tbl>
      <w:tblPr>
        <w:tblStyle w:val="8"/>
        <w:tblW w:w="8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841"/>
        <w:gridCol w:w="1136"/>
        <w:gridCol w:w="1134"/>
        <w:gridCol w:w="3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pStyle w:val="16"/>
              <w:rPr>
                <w:rFonts w:hint="eastAsia" w:ascii="黑体" w:hAnsi="黑体" w:eastAsia="黑体"/>
                <w:b/>
                <w:bCs/>
                <w:szCs w:val="21"/>
                <w:lang w:val="en-GB"/>
              </w:rPr>
            </w:pPr>
            <w:r>
              <w:rPr>
                <w:rFonts w:hint="eastAsia"/>
                <w:b/>
                <w:bCs/>
                <w:lang w:bidi="ar"/>
              </w:rPr>
              <w:t>考核环节</w:t>
            </w:r>
          </w:p>
        </w:tc>
        <w:tc>
          <w:tcPr>
            <w:tcW w:w="1841" w:type="dxa"/>
            <w:vAlign w:val="center"/>
          </w:tcPr>
          <w:p>
            <w:pPr>
              <w:pStyle w:val="16"/>
              <w:rPr>
                <w:rFonts w:hint="eastAsia" w:ascii="黑体" w:hAnsi="黑体" w:eastAsia="黑体"/>
                <w:b/>
                <w:bCs/>
                <w:szCs w:val="21"/>
                <w:lang w:val="en-GB"/>
              </w:rPr>
            </w:pPr>
            <w:r>
              <w:rPr>
                <w:rFonts w:hint="eastAsia"/>
                <w:b/>
                <w:bCs/>
                <w:lang w:bidi="ar"/>
              </w:rPr>
              <w:t>课程成绩构成及比例</w:t>
            </w:r>
          </w:p>
        </w:tc>
        <w:tc>
          <w:tcPr>
            <w:tcW w:w="1136" w:type="dxa"/>
            <w:vAlign w:val="center"/>
          </w:tcPr>
          <w:p>
            <w:pPr>
              <w:pStyle w:val="16"/>
              <w:rPr>
                <w:b/>
                <w:bCs/>
              </w:rPr>
            </w:pPr>
            <w:r>
              <w:rPr>
                <w:rFonts w:hint="eastAsia"/>
                <w:b/>
                <w:bCs/>
                <w:lang w:bidi="ar"/>
              </w:rPr>
              <w:t>对应的课</w:t>
            </w:r>
          </w:p>
          <w:p>
            <w:pPr>
              <w:pStyle w:val="16"/>
              <w:rPr>
                <w:rFonts w:hint="eastAsia" w:ascii="黑体" w:hAnsi="黑体" w:eastAsia="黑体"/>
                <w:b/>
                <w:bCs/>
                <w:szCs w:val="21"/>
                <w:lang w:val="en-GB"/>
              </w:rPr>
            </w:pPr>
            <w:r>
              <w:rPr>
                <w:rFonts w:hint="eastAsia"/>
                <w:b/>
                <w:bCs/>
                <w:lang w:bidi="ar"/>
              </w:rPr>
              <w:t>程目标</w:t>
            </w:r>
          </w:p>
        </w:tc>
        <w:tc>
          <w:tcPr>
            <w:tcW w:w="1134" w:type="dxa"/>
            <w:vAlign w:val="center"/>
          </w:tcPr>
          <w:p>
            <w:pPr>
              <w:pStyle w:val="16"/>
              <w:rPr>
                <w:rFonts w:hint="eastAsia" w:ascii="黑体" w:hAnsi="黑体" w:eastAsia="黑体"/>
                <w:b/>
                <w:bCs/>
                <w:szCs w:val="21"/>
                <w:lang w:val="en-GB"/>
              </w:rPr>
            </w:pPr>
            <w:r>
              <w:rPr>
                <w:rFonts w:hint="eastAsia"/>
                <w:b/>
                <w:bCs/>
                <w:lang w:bidi="ar"/>
              </w:rPr>
              <w:t>目标分值</w:t>
            </w:r>
          </w:p>
        </w:tc>
        <w:tc>
          <w:tcPr>
            <w:tcW w:w="3880" w:type="dxa"/>
            <w:vAlign w:val="center"/>
          </w:tcPr>
          <w:p>
            <w:pPr>
              <w:pStyle w:val="16"/>
              <w:rPr>
                <w:rFonts w:hint="eastAsia" w:ascii="黑体" w:hAnsi="黑体" w:eastAsia="黑体"/>
                <w:b/>
                <w:bCs/>
                <w:szCs w:val="21"/>
                <w:lang w:val="en-GB"/>
              </w:rPr>
            </w:pPr>
            <w:r>
              <w:rPr>
                <w:rFonts w:hint="eastAsia"/>
                <w:b/>
                <w:bCs/>
                <w:lang w:bidi="ar"/>
              </w:rPr>
              <w:t>考核/评价细则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pStyle w:val="16"/>
              <w:rPr>
                <w:b/>
                <w:bCs/>
              </w:rPr>
            </w:pPr>
            <w:r>
              <w:rPr>
                <w:rFonts w:hint="eastAsia"/>
                <w:b/>
                <w:bCs/>
                <w:lang w:bidi="ar"/>
              </w:rPr>
              <w:t>平时</w:t>
            </w:r>
          </w:p>
          <w:p>
            <w:pPr>
              <w:pStyle w:val="16"/>
              <w:rPr>
                <w:rFonts w:hint="eastAsia" w:ascii="黑体" w:hAnsi="黑体" w:eastAsia="黑体"/>
                <w:b/>
                <w:bCs/>
                <w:szCs w:val="21"/>
                <w:lang w:val="en-GB"/>
              </w:rPr>
            </w:pPr>
            <w:r>
              <w:rPr>
                <w:rFonts w:hint="eastAsia"/>
                <w:b/>
                <w:bCs/>
                <w:lang w:bidi="ar"/>
              </w:rPr>
              <w:t>成绩</w:t>
            </w:r>
          </w:p>
        </w:tc>
        <w:tc>
          <w:tcPr>
            <w:tcW w:w="1841" w:type="dxa"/>
            <w:vAlign w:val="center"/>
          </w:tcPr>
          <w:p>
            <w:pPr>
              <w:pStyle w:val="16"/>
              <w:jc w:val="both"/>
              <w:rPr>
                <w:rFonts w:hint="eastAsia" w:ascii="仿宋" w:hAnsi="仿宋"/>
              </w:rPr>
            </w:pPr>
            <w:r>
              <w:rPr>
                <w:rFonts w:hint="eastAsia"/>
                <w:lang w:bidi="ar"/>
              </w:rPr>
              <w:t>平时成绩</w:t>
            </w:r>
            <w:r>
              <w:rPr>
                <w:rFonts w:ascii="Symbol" w:hAnsi="Symbol" w:cs="Symbol"/>
                <w:lang w:bidi="ar"/>
              </w:rPr>
              <w:t xml:space="preserve"> </w:t>
            </w:r>
            <w:r>
              <w:rPr>
                <w:rFonts w:hint="eastAsia"/>
                <w:lang w:bidi="ar"/>
              </w:rPr>
              <w:t>分，占总评成绩的比例为</w:t>
            </w:r>
            <w:r>
              <w:rPr>
                <w:rFonts w:ascii="Symbol" w:hAnsi="Symbol" w:cs="Symbol"/>
                <w:lang w:bidi="ar"/>
              </w:rPr>
              <w:t></w:t>
            </w:r>
            <w:r>
              <w:rPr>
                <w:rFonts w:ascii="Symbol" w:hAnsi="Symbol" w:cs="Symbol"/>
                <w:sz w:val="11"/>
                <w:szCs w:val="11"/>
                <w:lang w:bidi="ar"/>
              </w:rPr>
              <w:t></w:t>
            </w:r>
            <w:r>
              <w:rPr>
                <w:rFonts w:hint="eastAsia"/>
              </w:rPr>
              <w:t>，</w:t>
            </w:r>
            <w:r>
              <w:rPr>
                <w:rFonts w:ascii="Symbol" w:hAnsi="Symbol" w:cs="Symbol"/>
                <w:color w:val="FF0000"/>
                <w:lang w:bidi="ar"/>
              </w:rPr>
              <w:t></w:t>
            </w:r>
            <w:r>
              <w:rPr>
                <w:rFonts w:ascii="Symbol" w:hAnsi="Symbol" w:cs="Symbol"/>
                <w:color w:val="FF0000"/>
                <w:sz w:val="11"/>
                <w:szCs w:val="11"/>
                <w:lang w:bidi="ar"/>
              </w:rPr>
              <w:t></w:t>
            </w:r>
            <w:r>
              <w:rPr>
                <w:rFonts w:ascii="Symbol" w:hAnsi="Symbol" w:cs="Symbol"/>
                <w:color w:val="FF0000"/>
                <w:lang w:bidi="ar"/>
              </w:rPr>
              <w:t></w:t>
            </w:r>
          </w:p>
        </w:tc>
        <w:tc>
          <w:tcPr>
            <w:tcW w:w="1136" w:type="dxa"/>
            <w:vAlign w:val="center"/>
          </w:tcPr>
          <w:p>
            <w:pPr>
              <w:pStyle w:val="16"/>
              <w:jc w:val="both"/>
              <w:rPr>
                <w:rFonts w:hint="eastAsia" w:ascii="黑体" w:hAnsi="黑体" w:eastAsia="黑体"/>
                <w:szCs w:val="21"/>
                <w:lang w:val="en-GB"/>
              </w:rPr>
            </w:pPr>
            <w:r>
              <w:rPr>
                <w:rFonts w:hint="eastAsia"/>
                <w:lang w:bidi="ar"/>
              </w:rPr>
              <w:t>平时</w:t>
            </w:r>
          </w:p>
        </w:tc>
        <w:tc>
          <w:tcPr>
            <w:tcW w:w="1134" w:type="dxa"/>
            <w:vAlign w:val="center"/>
          </w:tcPr>
          <w:p>
            <w:pPr>
              <w:pStyle w:val="16"/>
              <w:rPr>
                <w:rFonts w:hint="eastAsia" w:ascii="黑体" w:hAnsi="黑体" w:eastAsia="黑体"/>
                <w:szCs w:val="21"/>
                <w:lang w:val="en-GB"/>
              </w:rPr>
            </w:pPr>
            <w:r>
              <w:rPr>
                <w:rFonts w:hint="eastAsia"/>
                <w:lang w:bidi="ar"/>
              </w:rPr>
              <w:t>100</w:t>
            </w:r>
          </w:p>
        </w:tc>
        <w:tc>
          <w:tcPr>
            <w:tcW w:w="3880" w:type="dxa"/>
            <w:vAlign w:val="center"/>
          </w:tcPr>
          <w:p>
            <w:pPr>
              <w:pStyle w:val="16"/>
              <w:jc w:val="both"/>
              <w:rPr>
                <w:rFonts w:hint="eastAsia" w:ascii="黑体" w:hAnsi="黑体" w:eastAsia="黑体"/>
                <w:szCs w:val="21"/>
                <w:lang w:val="en-GB"/>
              </w:rPr>
            </w:pPr>
            <w:r>
              <w:rPr>
                <w:rFonts w:hint="eastAsia"/>
                <w:lang w:bidi="ar"/>
              </w:rPr>
              <w:t>主要考核学生对每章节知识点的复习、理解和掌握程度；成绩以百分计，取各次成绩的平均值，乘以其在总评成绩中所占的比例</w:t>
            </w:r>
            <w:r>
              <w:rPr>
                <w:rFonts w:ascii="Symbol" w:hAnsi="Symbol" w:cs="Symbol"/>
                <w:lang w:bidi="ar"/>
              </w:rPr>
              <w:t></w:t>
            </w:r>
            <w:r>
              <w:rPr>
                <w:rFonts w:ascii="Symbol" w:hAnsi="Symbol" w:cs="Symbol"/>
                <w:sz w:val="11"/>
                <w:szCs w:val="11"/>
                <w:lang w:bidi="ar"/>
              </w:rPr>
              <w:t></w:t>
            </w:r>
            <w:r>
              <w:rPr>
                <w:rFonts w:hint="eastAsia"/>
                <w:lang w:bidi="ar"/>
              </w:rPr>
              <w:t>计入平时总评成绩。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pStyle w:val="16"/>
              <w:rPr>
                <w:b/>
                <w:bCs/>
              </w:rPr>
            </w:pPr>
            <w:r>
              <w:rPr>
                <w:rFonts w:hint="eastAsia"/>
                <w:b/>
                <w:bCs/>
                <w:lang w:bidi="ar"/>
              </w:rPr>
              <w:t>作业</w:t>
            </w:r>
          </w:p>
          <w:p>
            <w:pPr>
              <w:pStyle w:val="16"/>
              <w:rPr>
                <w:rFonts w:hint="eastAsia" w:ascii="黑体" w:hAnsi="黑体" w:eastAsia="黑体"/>
                <w:b/>
                <w:bCs/>
                <w:szCs w:val="21"/>
                <w:lang w:val="en-GB"/>
              </w:rPr>
            </w:pPr>
            <w:r>
              <w:rPr>
                <w:rFonts w:hint="eastAsia"/>
                <w:b/>
                <w:bCs/>
                <w:lang w:bidi="ar"/>
              </w:rPr>
              <w:t>成绩</w:t>
            </w:r>
          </w:p>
        </w:tc>
        <w:tc>
          <w:tcPr>
            <w:tcW w:w="1841" w:type="dxa"/>
            <w:vAlign w:val="center"/>
          </w:tcPr>
          <w:p>
            <w:pPr>
              <w:pStyle w:val="16"/>
              <w:jc w:val="both"/>
              <w:rPr>
                <w:rFonts w:hint="eastAsia" w:ascii="黑体" w:hAnsi="黑体" w:eastAsia="黑体"/>
                <w:szCs w:val="21"/>
                <w:lang w:val="en-GB"/>
              </w:rPr>
            </w:pPr>
            <w:r>
              <w:rPr>
                <w:rFonts w:hint="eastAsia"/>
                <w:lang w:bidi="ar"/>
              </w:rPr>
              <w:t>作业成绩</w:t>
            </w:r>
            <w:r>
              <w:rPr>
                <w:rFonts w:ascii="Symbol" w:hAnsi="Symbol" w:cs="Symbol"/>
                <w:lang w:bidi="ar"/>
              </w:rPr>
              <w:t xml:space="preserve"> </w:t>
            </w:r>
            <w:r>
              <w:rPr>
                <w:rFonts w:hint="eastAsia"/>
                <w:lang w:bidi="ar"/>
              </w:rPr>
              <w:t>分，占总评成绩的比例为</w:t>
            </w:r>
            <w:r>
              <w:rPr>
                <w:rFonts w:ascii="Symbol" w:hAnsi="Symbol" w:cs="Symbol"/>
                <w:lang w:bidi="ar"/>
              </w:rPr>
              <w:t></w:t>
            </w:r>
            <w:r>
              <w:rPr>
                <w:rFonts w:ascii="Symbol" w:hAnsi="Symbol" w:cs="Symbol"/>
                <w:sz w:val="11"/>
                <w:szCs w:val="11"/>
                <w:lang w:bidi="ar"/>
              </w:rPr>
              <w:t></w:t>
            </w:r>
            <w:r>
              <w:rPr>
                <w:rFonts w:hint="eastAsia"/>
              </w:rPr>
              <w:t>，</w:t>
            </w:r>
            <w:r>
              <w:rPr>
                <w:rFonts w:ascii="Symbol" w:hAnsi="Symbol" w:cs="Symbol"/>
                <w:color w:val="FF0000"/>
                <w:lang w:bidi="ar"/>
              </w:rPr>
              <w:t></w:t>
            </w:r>
            <w:r>
              <w:rPr>
                <w:rFonts w:ascii="Symbol" w:hAnsi="Symbol" w:cs="Symbol"/>
                <w:color w:val="FF0000"/>
                <w:sz w:val="11"/>
                <w:szCs w:val="11"/>
                <w:lang w:bidi="ar"/>
              </w:rPr>
              <w:t></w:t>
            </w:r>
            <w:r>
              <w:rPr>
                <w:rFonts w:ascii="Symbol" w:hAnsi="Symbol" w:cs="Symbol"/>
                <w:color w:val="FF0000"/>
                <w:lang w:bidi="ar"/>
              </w:rPr>
              <w:t></w:t>
            </w:r>
          </w:p>
        </w:tc>
        <w:tc>
          <w:tcPr>
            <w:tcW w:w="1136" w:type="dxa"/>
            <w:vAlign w:val="center"/>
          </w:tcPr>
          <w:p>
            <w:pPr>
              <w:pStyle w:val="16"/>
              <w:jc w:val="both"/>
              <w:rPr>
                <w:lang w:bidi="ar"/>
              </w:rPr>
            </w:pPr>
            <w:r>
              <w:rPr>
                <w:rFonts w:hint="eastAsia"/>
                <w:lang w:bidi="ar"/>
              </w:rPr>
              <w:t>作业</w:t>
            </w:r>
          </w:p>
        </w:tc>
        <w:tc>
          <w:tcPr>
            <w:tcW w:w="1134" w:type="dxa"/>
            <w:vAlign w:val="center"/>
          </w:tcPr>
          <w:p>
            <w:pPr>
              <w:pStyle w:val="16"/>
              <w:rPr>
                <w:lang w:bidi="ar"/>
              </w:rPr>
            </w:pPr>
            <w:r>
              <w:rPr>
                <w:rFonts w:hint="eastAsia"/>
                <w:lang w:bidi="ar"/>
              </w:rPr>
              <w:t>100</w:t>
            </w:r>
          </w:p>
        </w:tc>
        <w:tc>
          <w:tcPr>
            <w:tcW w:w="3880" w:type="dxa"/>
            <w:vAlign w:val="center"/>
          </w:tcPr>
          <w:p>
            <w:pPr>
              <w:pStyle w:val="16"/>
              <w:jc w:val="both"/>
              <w:rPr>
                <w:rFonts w:hint="eastAsia" w:ascii="黑体" w:hAnsi="黑体" w:eastAsia="黑体"/>
                <w:szCs w:val="21"/>
                <w:lang w:val="en-GB"/>
              </w:rPr>
            </w:pPr>
            <w:r>
              <w:rPr>
                <w:rFonts w:hint="eastAsia"/>
                <w:lang w:bidi="ar"/>
              </w:rPr>
              <w:t>成绩以百分计，取各次作业成绩的平均值，乘以其在总评成绩中所占的比例</w:t>
            </w:r>
            <w:r>
              <w:rPr>
                <w:rFonts w:ascii="Symbol" w:hAnsi="Symbol" w:cs="Symbol"/>
                <w:lang w:bidi="ar"/>
              </w:rPr>
              <w:t></w:t>
            </w:r>
            <w:r>
              <w:rPr>
                <w:rFonts w:ascii="Symbol" w:hAnsi="Symbol" w:cs="Symbol"/>
                <w:sz w:val="11"/>
                <w:szCs w:val="11"/>
                <w:lang w:bidi="ar"/>
              </w:rPr>
              <w:t></w:t>
            </w:r>
            <w:r>
              <w:rPr>
                <w:rFonts w:hint="eastAsia"/>
                <w:lang w:bidi="ar"/>
              </w:rPr>
              <w:t>计入总评成绩。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pStyle w:val="16"/>
              <w:rPr>
                <w:b/>
                <w:bCs/>
              </w:rPr>
            </w:pPr>
            <w:r>
              <w:rPr>
                <w:rFonts w:hint="eastAsia"/>
                <w:b/>
                <w:bCs/>
                <w:lang w:bidi="ar"/>
              </w:rPr>
              <w:t>考试</w:t>
            </w:r>
          </w:p>
          <w:p>
            <w:pPr>
              <w:pStyle w:val="16"/>
              <w:rPr>
                <w:b/>
                <w:bCs/>
              </w:rPr>
            </w:pPr>
            <w:r>
              <w:rPr>
                <w:rFonts w:hint="eastAsia"/>
                <w:b/>
                <w:bCs/>
                <w:lang w:bidi="ar"/>
              </w:rPr>
              <w:t>成绩</w:t>
            </w:r>
          </w:p>
          <w:p>
            <w:pPr>
              <w:pStyle w:val="16"/>
              <w:rPr>
                <w:rFonts w:hint="eastAsia" w:ascii="黑体" w:hAnsi="黑体" w:eastAsia="黑体"/>
                <w:b/>
                <w:bCs/>
                <w:szCs w:val="21"/>
                <w:lang w:val="en-GB"/>
              </w:rPr>
            </w:pPr>
          </w:p>
        </w:tc>
        <w:tc>
          <w:tcPr>
            <w:tcW w:w="1841" w:type="dxa"/>
            <w:vMerge w:val="restart"/>
            <w:vAlign w:val="center"/>
          </w:tcPr>
          <w:p>
            <w:pPr>
              <w:pStyle w:val="16"/>
              <w:jc w:val="both"/>
            </w:pPr>
            <w:r>
              <w:rPr>
                <w:rFonts w:hint="eastAsia"/>
                <w:lang w:bidi="ar"/>
              </w:rPr>
              <w:t>期末考试</w:t>
            </w:r>
            <w:r>
              <w:rPr>
                <w:rFonts w:ascii="Symbol" w:hAnsi="Symbol" w:cs="Symbol"/>
                <w:lang w:bidi="ar"/>
              </w:rPr>
              <w:t></w:t>
            </w:r>
          </w:p>
          <w:p>
            <w:pPr>
              <w:pStyle w:val="16"/>
              <w:jc w:val="both"/>
              <w:rPr>
                <w:rFonts w:hint="eastAsia" w:ascii="黑体" w:hAnsi="黑体" w:eastAsia="黑体"/>
                <w:szCs w:val="21"/>
                <w:lang w:val="en-GB"/>
              </w:rPr>
            </w:pPr>
            <w:r>
              <w:rPr>
                <w:rFonts w:hint="eastAsia"/>
                <w:lang w:bidi="ar"/>
              </w:rPr>
              <w:t>分，占总评成绩的比例为</w:t>
            </w:r>
            <w:r>
              <w:rPr>
                <w:rFonts w:ascii="Symbol" w:hAnsi="Symbol" w:cs="Symbol"/>
                <w:lang w:bidi="ar"/>
              </w:rPr>
              <w:t></w:t>
            </w:r>
            <w:r>
              <w:rPr>
                <w:rFonts w:ascii="Symbol" w:hAnsi="Symbol" w:cs="Symbol"/>
                <w:sz w:val="11"/>
                <w:szCs w:val="11"/>
                <w:lang w:bidi="ar"/>
              </w:rPr>
              <w:t></w:t>
            </w:r>
            <w:r>
              <w:rPr>
                <w:rFonts w:hint="eastAsia"/>
              </w:rPr>
              <w:t>，</w:t>
            </w:r>
            <w:r>
              <w:rPr>
                <w:rFonts w:ascii="Symbol" w:hAnsi="Symbol" w:cs="Symbol"/>
                <w:color w:val="FF0000"/>
                <w:lang w:bidi="ar"/>
              </w:rPr>
              <w:t></w:t>
            </w:r>
            <w:r>
              <w:rPr>
                <w:rFonts w:ascii="Symbol" w:hAnsi="Symbol" w:cs="Symbol"/>
                <w:color w:val="FF0000"/>
                <w:sz w:val="11"/>
                <w:szCs w:val="11"/>
                <w:lang w:bidi="ar"/>
              </w:rPr>
              <w:t></w:t>
            </w:r>
            <w:r>
              <w:rPr>
                <w:rFonts w:ascii="Symbol" w:hAnsi="Symbol" w:cs="Symbol"/>
                <w:color w:val="FF0000"/>
                <w:lang w:bidi="ar"/>
              </w:rPr>
              <w:t></w:t>
            </w:r>
            <w:r>
              <w:rPr>
                <w:rFonts w:cs="Times New Roman"/>
                <w:color w:val="FF0000"/>
                <w:lang w:bidi="ar"/>
              </w:rPr>
              <w:t>0.5</w:t>
            </w:r>
          </w:p>
        </w:tc>
        <w:tc>
          <w:tcPr>
            <w:tcW w:w="1136" w:type="dxa"/>
            <w:vAlign w:val="center"/>
          </w:tcPr>
          <w:p>
            <w:pPr>
              <w:pStyle w:val="16"/>
              <w:jc w:val="both"/>
              <w:rPr>
                <w:lang w:val="en-GB" w:bidi="ar"/>
              </w:rPr>
            </w:pPr>
            <w:r>
              <w:rPr>
                <w:rFonts w:hint="eastAsia"/>
                <w:lang w:bidi="ar"/>
              </w:rPr>
              <w:t>目标1 试题</w:t>
            </w:r>
          </w:p>
        </w:tc>
        <w:tc>
          <w:tcPr>
            <w:tcW w:w="1134" w:type="dxa"/>
            <w:vAlign w:val="center"/>
          </w:tcPr>
          <w:p>
            <w:pPr>
              <w:pStyle w:val="16"/>
              <w:rPr>
                <w:lang w:bidi="ar"/>
              </w:rPr>
            </w:pPr>
            <w:r>
              <w:rPr>
                <w:rFonts w:hint="eastAsia"/>
                <w:lang w:bidi="ar"/>
              </w:rPr>
              <w:t>10</w:t>
            </w:r>
          </w:p>
        </w:tc>
        <w:tc>
          <w:tcPr>
            <w:tcW w:w="3880" w:type="dxa"/>
            <w:vMerge w:val="restart"/>
            <w:vAlign w:val="center"/>
          </w:tcPr>
          <w:p>
            <w:pPr>
              <w:pStyle w:val="16"/>
              <w:jc w:val="both"/>
            </w:pPr>
            <w:r>
              <w:rPr>
                <w:rFonts w:hint="eastAsia"/>
                <w:lang w:bidi="ar"/>
              </w:rPr>
              <w:t>（1）卷面成绩 100 分，以卷面乘以其在总评成绩中所占的比例</w:t>
            </w:r>
            <w:r>
              <w:rPr>
                <w:rFonts w:ascii="Symbol" w:hAnsi="Symbol" w:cs="Symbol"/>
                <w:lang w:bidi="ar"/>
              </w:rPr>
              <w:t></w:t>
            </w:r>
            <w:r>
              <w:rPr>
                <w:rFonts w:ascii="Symbol" w:hAnsi="Symbol" w:cs="Symbol"/>
                <w:sz w:val="11"/>
                <w:szCs w:val="11"/>
                <w:lang w:bidi="ar"/>
              </w:rPr>
              <w:t></w:t>
            </w:r>
            <w:r>
              <w:rPr>
                <w:rFonts w:hint="eastAsia"/>
                <w:lang w:bidi="ar"/>
              </w:rPr>
              <w:t>计入课程总评成绩。</w:t>
            </w:r>
          </w:p>
          <w:p>
            <w:pPr>
              <w:pStyle w:val="16"/>
              <w:jc w:val="both"/>
              <w:rPr>
                <w:lang w:bidi="ar"/>
              </w:rPr>
            </w:pPr>
            <w:r>
              <w:rPr>
                <w:rFonts w:hint="eastAsia"/>
                <w:lang w:bidi="ar"/>
              </w:rPr>
              <w:t>（2）考核题型：填空题、选择题、判断题简答题、计算题、综合题、图样标注等</w:t>
            </w:r>
          </w:p>
          <w:p>
            <w:pPr>
              <w:pStyle w:val="16"/>
              <w:jc w:val="both"/>
              <w:rPr>
                <w:color w:val="0000FF"/>
                <w:lang w:bidi="ar"/>
              </w:rPr>
            </w:pPr>
            <w:r>
              <w:rPr>
                <w:rFonts w:hint="eastAsia"/>
                <w:lang w:bidi="ar"/>
              </w:rPr>
              <w:t>（3）通过开放题考察学生的对课程的理解。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pStyle w:val="16"/>
              <w:rPr>
                <w:rFonts w:hint="eastAsia" w:ascii="黑体" w:hAnsi="黑体" w:eastAsia="黑体"/>
                <w:szCs w:val="21"/>
                <w:lang w:val="en-GB"/>
              </w:rPr>
            </w:pPr>
          </w:p>
        </w:tc>
        <w:tc>
          <w:tcPr>
            <w:tcW w:w="1841" w:type="dxa"/>
            <w:vMerge w:val="continue"/>
            <w:vAlign w:val="center"/>
          </w:tcPr>
          <w:p>
            <w:pPr>
              <w:pStyle w:val="16"/>
              <w:rPr>
                <w:rFonts w:hint="eastAsia" w:ascii="黑体" w:hAnsi="黑体" w:eastAsia="黑体"/>
                <w:szCs w:val="21"/>
                <w:lang w:val="en-GB"/>
              </w:rPr>
            </w:pPr>
          </w:p>
        </w:tc>
        <w:tc>
          <w:tcPr>
            <w:tcW w:w="1136" w:type="dxa"/>
            <w:vAlign w:val="center"/>
          </w:tcPr>
          <w:p>
            <w:pPr>
              <w:pStyle w:val="16"/>
              <w:jc w:val="both"/>
              <w:rPr>
                <w:lang w:val="en-GB" w:bidi="ar"/>
              </w:rPr>
            </w:pPr>
            <w:r>
              <w:rPr>
                <w:rFonts w:hint="eastAsia"/>
                <w:lang w:bidi="ar"/>
              </w:rPr>
              <w:t>目标 2 试题</w:t>
            </w:r>
          </w:p>
        </w:tc>
        <w:tc>
          <w:tcPr>
            <w:tcW w:w="1134" w:type="dxa"/>
            <w:vAlign w:val="center"/>
          </w:tcPr>
          <w:p>
            <w:pPr>
              <w:pStyle w:val="16"/>
              <w:rPr>
                <w:lang w:bidi="ar"/>
              </w:rPr>
            </w:pPr>
            <w:r>
              <w:rPr>
                <w:rFonts w:hint="eastAsia"/>
                <w:lang w:bidi="ar"/>
              </w:rPr>
              <w:t>30</w:t>
            </w:r>
          </w:p>
        </w:tc>
        <w:tc>
          <w:tcPr>
            <w:tcW w:w="3880" w:type="dxa"/>
            <w:vMerge w:val="continue"/>
            <w:vAlign w:val="center"/>
          </w:tcPr>
          <w:p>
            <w:pPr>
              <w:pStyle w:val="16"/>
              <w:rPr>
                <w:rFonts w:hint="eastAsia" w:ascii="黑体" w:hAnsi="黑体" w:eastAsia="黑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pStyle w:val="16"/>
              <w:rPr>
                <w:rFonts w:hint="eastAsia" w:ascii="黑体" w:hAnsi="黑体" w:eastAsia="黑体"/>
                <w:szCs w:val="21"/>
                <w:lang w:val="en-GB"/>
              </w:rPr>
            </w:pPr>
          </w:p>
        </w:tc>
        <w:tc>
          <w:tcPr>
            <w:tcW w:w="1841" w:type="dxa"/>
            <w:vMerge w:val="continue"/>
            <w:vAlign w:val="center"/>
          </w:tcPr>
          <w:p>
            <w:pPr>
              <w:pStyle w:val="16"/>
              <w:rPr>
                <w:rFonts w:hint="eastAsia" w:ascii="黑体" w:hAnsi="黑体" w:eastAsia="黑体"/>
                <w:szCs w:val="21"/>
                <w:lang w:val="en-GB"/>
              </w:rPr>
            </w:pPr>
          </w:p>
        </w:tc>
        <w:tc>
          <w:tcPr>
            <w:tcW w:w="1136" w:type="dxa"/>
            <w:vAlign w:val="center"/>
          </w:tcPr>
          <w:p>
            <w:pPr>
              <w:pStyle w:val="16"/>
              <w:jc w:val="both"/>
              <w:rPr>
                <w:lang w:bidi="ar"/>
              </w:rPr>
            </w:pPr>
            <w:r>
              <w:rPr>
                <w:rFonts w:hint="eastAsia"/>
                <w:lang w:bidi="ar"/>
              </w:rPr>
              <w:t>目标 3 试题</w:t>
            </w:r>
          </w:p>
        </w:tc>
        <w:tc>
          <w:tcPr>
            <w:tcW w:w="1134" w:type="dxa"/>
            <w:vAlign w:val="center"/>
          </w:tcPr>
          <w:p>
            <w:pPr>
              <w:pStyle w:val="16"/>
              <w:rPr>
                <w:lang w:bidi="ar"/>
              </w:rPr>
            </w:pPr>
            <w:r>
              <w:rPr>
                <w:rFonts w:hint="eastAsia"/>
                <w:lang w:bidi="ar"/>
              </w:rPr>
              <w:t>30</w:t>
            </w:r>
          </w:p>
        </w:tc>
        <w:tc>
          <w:tcPr>
            <w:tcW w:w="3880" w:type="dxa"/>
            <w:vMerge w:val="continue"/>
            <w:vAlign w:val="center"/>
          </w:tcPr>
          <w:p>
            <w:pPr>
              <w:pStyle w:val="16"/>
              <w:rPr>
                <w:rFonts w:hint="eastAsia" w:ascii="黑体" w:hAnsi="黑体" w:eastAsia="黑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pStyle w:val="16"/>
              <w:rPr>
                <w:rFonts w:hint="eastAsia" w:ascii="黑体" w:hAnsi="黑体" w:eastAsia="黑体"/>
                <w:szCs w:val="21"/>
                <w:lang w:val="en-GB"/>
              </w:rPr>
            </w:pPr>
          </w:p>
        </w:tc>
        <w:tc>
          <w:tcPr>
            <w:tcW w:w="1841" w:type="dxa"/>
            <w:vMerge w:val="continue"/>
            <w:vAlign w:val="center"/>
          </w:tcPr>
          <w:p>
            <w:pPr>
              <w:pStyle w:val="16"/>
              <w:rPr>
                <w:rFonts w:hint="eastAsia" w:ascii="黑体" w:hAnsi="黑体" w:eastAsia="黑体"/>
                <w:szCs w:val="21"/>
                <w:lang w:val="en-GB"/>
              </w:rPr>
            </w:pPr>
          </w:p>
        </w:tc>
        <w:tc>
          <w:tcPr>
            <w:tcW w:w="1136" w:type="dxa"/>
            <w:vAlign w:val="center"/>
          </w:tcPr>
          <w:p>
            <w:pPr>
              <w:pStyle w:val="16"/>
              <w:jc w:val="both"/>
              <w:rPr>
                <w:lang w:bidi="ar"/>
              </w:rPr>
            </w:pPr>
            <w:r>
              <w:rPr>
                <w:rFonts w:hint="eastAsia"/>
                <w:lang w:bidi="ar"/>
              </w:rPr>
              <w:t>目标 4 试题</w:t>
            </w:r>
          </w:p>
        </w:tc>
        <w:tc>
          <w:tcPr>
            <w:tcW w:w="1134" w:type="dxa"/>
            <w:vAlign w:val="center"/>
          </w:tcPr>
          <w:p>
            <w:pPr>
              <w:pStyle w:val="16"/>
              <w:rPr>
                <w:lang w:bidi="ar"/>
              </w:rPr>
            </w:pPr>
            <w:r>
              <w:rPr>
                <w:rFonts w:hint="eastAsia"/>
                <w:lang w:bidi="ar"/>
              </w:rPr>
              <w:t>20</w:t>
            </w:r>
          </w:p>
        </w:tc>
        <w:tc>
          <w:tcPr>
            <w:tcW w:w="3880" w:type="dxa"/>
            <w:vMerge w:val="continue"/>
            <w:vAlign w:val="center"/>
          </w:tcPr>
          <w:p>
            <w:pPr>
              <w:pStyle w:val="16"/>
              <w:rPr>
                <w:rFonts w:hint="eastAsia" w:ascii="黑体" w:hAnsi="黑体" w:eastAsia="黑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pStyle w:val="16"/>
              <w:rPr>
                <w:rFonts w:hint="eastAsia" w:ascii="黑体" w:hAnsi="黑体" w:eastAsia="黑体"/>
                <w:szCs w:val="21"/>
                <w:lang w:val="en-GB"/>
              </w:rPr>
            </w:pPr>
          </w:p>
        </w:tc>
        <w:tc>
          <w:tcPr>
            <w:tcW w:w="1841" w:type="dxa"/>
            <w:vMerge w:val="continue"/>
            <w:vAlign w:val="center"/>
          </w:tcPr>
          <w:p>
            <w:pPr>
              <w:pStyle w:val="16"/>
              <w:rPr>
                <w:rFonts w:hint="eastAsia" w:ascii="黑体" w:hAnsi="黑体" w:eastAsia="黑体"/>
                <w:szCs w:val="21"/>
                <w:lang w:val="en-GB"/>
              </w:rPr>
            </w:pPr>
          </w:p>
        </w:tc>
        <w:tc>
          <w:tcPr>
            <w:tcW w:w="1136" w:type="dxa"/>
            <w:vAlign w:val="center"/>
          </w:tcPr>
          <w:p>
            <w:pPr>
              <w:pStyle w:val="16"/>
              <w:jc w:val="both"/>
              <w:rPr>
                <w:lang w:val="en-GB" w:bidi="ar"/>
              </w:rPr>
            </w:pPr>
            <w:r>
              <w:rPr>
                <w:rFonts w:hint="eastAsia"/>
                <w:lang w:bidi="ar"/>
              </w:rPr>
              <w:t>目标 5 试题</w:t>
            </w:r>
          </w:p>
        </w:tc>
        <w:tc>
          <w:tcPr>
            <w:tcW w:w="1134" w:type="dxa"/>
            <w:vAlign w:val="center"/>
          </w:tcPr>
          <w:p>
            <w:pPr>
              <w:pStyle w:val="16"/>
              <w:rPr>
                <w:lang w:bidi="ar"/>
              </w:rPr>
            </w:pPr>
            <w:r>
              <w:rPr>
                <w:rFonts w:hint="eastAsia"/>
                <w:lang w:bidi="ar"/>
              </w:rPr>
              <w:t>10</w:t>
            </w:r>
          </w:p>
        </w:tc>
        <w:tc>
          <w:tcPr>
            <w:tcW w:w="3880" w:type="dxa"/>
            <w:vMerge w:val="continue"/>
            <w:vAlign w:val="center"/>
          </w:tcPr>
          <w:p>
            <w:pPr>
              <w:pStyle w:val="16"/>
              <w:rPr>
                <w:rFonts w:hint="eastAsia" w:ascii="黑体" w:hAnsi="黑体" w:eastAsia="黑体"/>
                <w:szCs w:val="21"/>
                <w:lang w:val="en-GB"/>
              </w:rPr>
            </w:pPr>
          </w:p>
        </w:tc>
      </w:tr>
    </w:tbl>
    <w:p>
      <w:pPr>
        <w:pStyle w:val="2"/>
        <w:spacing w:before="156" w:after="156"/>
        <w:ind w:firstLine="562"/>
        <w:rPr>
          <w:lang w:val="en-GB"/>
        </w:rPr>
      </w:pPr>
      <w:r>
        <w:rPr>
          <w:rFonts w:hint="eastAsia"/>
          <w:lang w:val="en-GB"/>
        </w:rPr>
        <w:t>七、课程目标达成度评价方式</w:t>
      </w:r>
    </w:p>
    <w:p>
      <w:pPr>
        <w:pStyle w:val="3"/>
        <w:rPr>
          <w:lang w:val="en-GB"/>
        </w:rPr>
      </w:pPr>
      <w:r>
        <w:rPr>
          <w:rFonts w:hint="eastAsia"/>
          <w:lang w:val="en-GB"/>
        </w:rPr>
        <w:t>（一）课程目标达成度计算公式</w:t>
      </w:r>
    </w:p>
    <w:p>
      <w:pPr>
        <w:ind w:firstLine="480"/>
      </w:pPr>
      <w:r>
        <w:t>课程目标达成度评价包括</w:t>
      </w:r>
      <w:r>
        <w:rPr>
          <w:b/>
          <w:bCs/>
        </w:rPr>
        <w:t>课程分目标达成度评价</w:t>
      </w:r>
      <w:r>
        <w:t>和</w:t>
      </w:r>
      <w:r>
        <w:rPr>
          <w:b/>
          <w:bCs/>
        </w:rPr>
        <w:t>课程总目标达成度评价</w:t>
      </w:r>
      <w:r>
        <w:t xml:space="preserve">，具体计算方法如下： </w:t>
      </w:r>
    </w:p>
    <w:p>
      <w:pPr>
        <w:ind w:firstLine="482"/>
      </w:pPr>
      <w:r>
        <w:rPr>
          <w:b/>
          <w:bCs/>
        </w:rPr>
        <w:t>课程分目标达成度</w:t>
      </w:r>
      <w:r>
        <w:t>=总评成绩中支撑该分目标相关考核环节按权重计算后的总得分/总评成绩中支撑该分目标相关考核环节目标总分</w:t>
      </w:r>
    </w:p>
    <w:p>
      <w:pPr>
        <w:ind w:firstLine="482"/>
      </w:pPr>
      <w:r>
        <w:rPr>
          <w:b/>
          <w:bCs/>
        </w:rPr>
        <w:t>课程总目标达成度</w:t>
      </w:r>
      <w:r>
        <w:t>=该课程学生总评成绩平均值/该课程总评成绩总分( 100分）</w:t>
      </w:r>
    </w:p>
    <w:p>
      <w:pPr>
        <w:pStyle w:val="3"/>
        <w:rPr>
          <w:lang w:val="en-GB"/>
        </w:rPr>
      </w:pPr>
      <w:r>
        <w:rPr>
          <w:rFonts w:hint="eastAsia"/>
        </w:rPr>
        <w:t xml:space="preserve">（二）课程目标达成度计算方法 </w:t>
      </w:r>
    </w:p>
    <w:p>
      <w:pPr>
        <w:ind w:firstLine="482"/>
        <w:rPr>
          <w:b/>
          <w:bCs/>
          <w:lang w:val="en-GB"/>
        </w:rPr>
      </w:pPr>
      <w:r>
        <w:rPr>
          <w:rFonts w:hint="eastAsia"/>
          <w:b/>
          <w:bCs/>
        </w:rPr>
        <w:t>1、课程目标评价内容及符号意义说明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635"/>
        <w:gridCol w:w="635"/>
        <w:gridCol w:w="924"/>
        <w:gridCol w:w="924"/>
        <w:gridCol w:w="924"/>
        <w:gridCol w:w="924"/>
        <w:gridCol w:w="924"/>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16"/>
              <w:rPr>
                <w:rFonts w:hint="eastAsia" w:ascii="黑体" w:hAnsi="黑体" w:eastAsia="黑体"/>
                <w:b/>
                <w:bCs/>
                <w:szCs w:val="21"/>
                <w:lang w:val="en-GB"/>
              </w:rPr>
            </w:pPr>
            <w:r>
              <w:rPr>
                <w:rFonts w:hint="eastAsia"/>
                <w:b/>
                <w:bCs/>
                <w:lang w:bidi="ar"/>
              </w:rPr>
              <w:t>课程目标评价内容</w:t>
            </w:r>
          </w:p>
        </w:tc>
        <w:tc>
          <w:tcPr>
            <w:tcW w:w="0" w:type="auto"/>
            <w:vMerge w:val="restart"/>
            <w:vAlign w:val="center"/>
          </w:tcPr>
          <w:p>
            <w:pPr>
              <w:pStyle w:val="16"/>
              <w:rPr>
                <w:b/>
                <w:bCs/>
              </w:rPr>
            </w:pPr>
            <w:r>
              <w:rPr>
                <w:rFonts w:hint="eastAsia"/>
                <w:b/>
                <w:bCs/>
              </w:rPr>
              <w:t>平时</w:t>
            </w:r>
          </w:p>
        </w:tc>
        <w:tc>
          <w:tcPr>
            <w:tcW w:w="0" w:type="auto"/>
            <w:vMerge w:val="restart"/>
            <w:vAlign w:val="center"/>
          </w:tcPr>
          <w:p>
            <w:pPr>
              <w:pStyle w:val="16"/>
              <w:rPr>
                <w:b/>
                <w:bCs/>
              </w:rPr>
            </w:pPr>
            <w:r>
              <w:rPr>
                <w:rFonts w:hint="eastAsia"/>
                <w:b/>
                <w:bCs/>
              </w:rPr>
              <w:t>作业</w:t>
            </w:r>
          </w:p>
        </w:tc>
        <w:tc>
          <w:tcPr>
            <w:tcW w:w="0" w:type="auto"/>
            <w:gridSpan w:val="5"/>
            <w:vAlign w:val="center"/>
          </w:tcPr>
          <w:p>
            <w:pPr>
              <w:pStyle w:val="16"/>
              <w:rPr>
                <w:b/>
                <w:bCs/>
              </w:rPr>
            </w:pPr>
            <w:r>
              <w:rPr>
                <w:rFonts w:hint="eastAsia"/>
                <w:b/>
                <w:bCs/>
              </w:rPr>
              <w:t>考试</w:t>
            </w:r>
          </w:p>
        </w:tc>
        <w:tc>
          <w:tcPr>
            <w:tcW w:w="0" w:type="auto"/>
            <w:vMerge w:val="restart"/>
            <w:vAlign w:val="center"/>
          </w:tcPr>
          <w:p>
            <w:pPr>
              <w:pStyle w:val="16"/>
              <w:rPr>
                <w:rFonts w:hint="eastAsia" w:ascii="黑体" w:hAnsi="黑体" w:eastAsia="黑体"/>
                <w:b/>
                <w:bCs/>
                <w:szCs w:val="21"/>
                <w:lang w:val="en-GB"/>
              </w:rPr>
            </w:pPr>
            <w:r>
              <w:rPr>
                <w:rFonts w:hint="eastAsia"/>
                <w:b/>
                <w:bCs/>
                <w:lang w:bidi="ar"/>
              </w:rPr>
              <w:t>考试课程总评成绩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0" w:type="auto"/>
            <w:vMerge w:val="continue"/>
            <w:vAlign w:val="center"/>
          </w:tcPr>
          <w:p>
            <w:pPr>
              <w:pStyle w:val="16"/>
              <w:rPr>
                <w:lang w:bidi="ar"/>
              </w:rPr>
            </w:pPr>
          </w:p>
        </w:tc>
        <w:tc>
          <w:tcPr>
            <w:tcW w:w="0" w:type="auto"/>
            <w:vMerge w:val="continue"/>
            <w:vAlign w:val="center"/>
          </w:tcPr>
          <w:p>
            <w:pPr>
              <w:pStyle w:val="16"/>
              <w:rPr>
                <w:b/>
                <w:bCs/>
              </w:rPr>
            </w:pPr>
          </w:p>
        </w:tc>
        <w:tc>
          <w:tcPr>
            <w:tcW w:w="0" w:type="auto"/>
            <w:vMerge w:val="continue"/>
            <w:vAlign w:val="center"/>
          </w:tcPr>
          <w:p>
            <w:pPr>
              <w:pStyle w:val="16"/>
              <w:rPr>
                <w:b/>
                <w:bCs/>
              </w:rPr>
            </w:pPr>
          </w:p>
        </w:tc>
        <w:tc>
          <w:tcPr>
            <w:tcW w:w="0" w:type="auto"/>
            <w:vAlign w:val="center"/>
          </w:tcPr>
          <w:p>
            <w:pPr>
              <w:pStyle w:val="16"/>
              <w:rPr>
                <w:b/>
                <w:bCs/>
              </w:rPr>
            </w:pPr>
            <w:r>
              <w:rPr>
                <w:rFonts w:hint="eastAsia"/>
                <w:b/>
                <w:bCs/>
              </w:rPr>
              <w:t>目标</w:t>
            </w:r>
            <w:r>
              <w:rPr>
                <w:b/>
                <w:bCs/>
              </w:rPr>
              <w:t>1</w:t>
            </w:r>
            <w:r>
              <w:rPr>
                <w:rFonts w:hint="eastAsia"/>
                <w:b/>
                <w:bCs/>
              </w:rPr>
              <w:t>试题</w:t>
            </w:r>
          </w:p>
        </w:tc>
        <w:tc>
          <w:tcPr>
            <w:tcW w:w="0" w:type="auto"/>
            <w:vAlign w:val="center"/>
          </w:tcPr>
          <w:p>
            <w:pPr>
              <w:pStyle w:val="16"/>
              <w:rPr>
                <w:rFonts w:hint="eastAsia" w:ascii="仿宋" w:hAnsi="仿宋"/>
                <w:b/>
                <w:bCs/>
                <w:szCs w:val="21"/>
                <w:lang w:val="en-GB"/>
              </w:rPr>
            </w:pPr>
            <w:r>
              <w:rPr>
                <w:rFonts w:hint="eastAsia" w:ascii="仿宋" w:hAnsi="仿宋"/>
                <w:b/>
                <w:bCs/>
                <w:szCs w:val="21"/>
              </w:rPr>
              <w:t>目标2试题</w:t>
            </w:r>
          </w:p>
        </w:tc>
        <w:tc>
          <w:tcPr>
            <w:tcW w:w="0" w:type="auto"/>
            <w:vAlign w:val="center"/>
          </w:tcPr>
          <w:p>
            <w:pPr>
              <w:pStyle w:val="16"/>
              <w:rPr>
                <w:rFonts w:hint="eastAsia" w:ascii="仿宋" w:hAnsi="仿宋"/>
                <w:b/>
                <w:bCs/>
                <w:szCs w:val="21"/>
                <w:lang w:val="en-GB"/>
              </w:rPr>
            </w:pPr>
            <w:r>
              <w:rPr>
                <w:rFonts w:hint="eastAsia" w:ascii="仿宋" w:hAnsi="仿宋"/>
                <w:b/>
                <w:bCs/>
                <w:szCs w:val="21"/>
              </w:rPr>
              <w:t>目标3试题</w:t>
            </w:r>
          </w:p>
        </w:tc>
        <w:tc>
          <w:tcPr>
            <w:tcW w:w="0" w:type="auto"/>
            <w:vAlign w:val="center"/>
          </w:tcPr>
          <w:p>
            <w:pPr>
              <w:pStyle w:val="16"/>
              <w:rPr>
                <w:rFonts w:hint="eastAsia" w:ascii="仿宋" w:hAnsi="仿宋"/>
                <w:b/>
                <w:bCs/>
                <w:szCs w:val="21"/>
              </w:rPr>
            </w:pPr>
            <w:r>
              <w:rPr>
                <w:rFonts w:hint="eastAsia" w:ascii="仿宋" w:hAnsi="仿宋"/>
                <w:b/>
                <w:bCs/>
                <w:szCs w:val="21"/>
              </w:rPr>
              <w:t>目标4试题</w:t>
            </w:r>
          </w:p>
        </w:tc>
        <w:tc>
          <w:tcPr>
            <w:tcW w:w="0" w:type="auto"/>
            <w:vAlign w:val="center"/>
          </w:tcPr>
          <w:p>
            <w:pPr>
              <w:pStyle w:val="16"/>
              <w:rPr>
                <w:rFonts w:hint="eastAsia" w:ascii="仿宋" w:hAnsi="仿宋"/>
                <w:b/>
                <w:bCs/>
                <w:szCs w:val="21"/>
              </w:rPr>
            </w:pPr>
            <w:r>
              <w:rPr>
                <w:rFonts w:hint="eastAsia" w:ascii="仿宋" w:hAnsi="仿宋"/>
                <w:b/>
                <w:bCs/>
                <w:szCs w:val="21"/>
              </w:rPr>
              <w:t>目标5试题</w:t>
            </w:r>
          </w:p>
        </w:tc>
        <w:tc>
          <w:tcPr>
            <w:tcW w:w="0" w:type="auto"/>
            <w:vMerge w:val="continue"/>
            <w:vAlign w:val="center"/>
          </w:tcPr>
          <w:p>
            <w:pPr>
              <w:pStyle w:val="16"/>
              <w:rPr>
                <w:rFonts w:hint="eastAsia" w:ascii="黑体" w:hAnsi="黑体" w:eastAsia="黑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16"/>
              <w:rPr>
                <w:rFonts w:hint="eastAsia" w:ascii="黑体" w:hAnsi="黑体" w:eastAsia="黑体"/>
                <w:b/>
                <w:bCs/>
                <w:szCs w:val="21"/>
                <w:lang w:val="en-GB"/>
              </w:rPr>
            </w:pPr>
            <w:r>
              <w:rPr>
                <w:rFonts w:hint="eastAsia"/>
                <w:b/>
                <w:bCs/>
                <w:lang w:bidi="ar"/>
              </w:rPr>
              <w:t>目标分值</w:t>
            </w:r>
          </w:p>
        </w:tc>
        <w:tc>
          <w:tcPr>
            <w:tcW w:w="0" w:type="auto"/>
            <w:vAlign w:val="center"/>
          </w:tcPr>
          <w:p>
            <w:pPr>
              <w:pStyle w:val="16"/>
              <w:rPr>
                <w:rFonts w:eastAsia="黑体" w:cs="Times New Roman"/>
                <w:szCs w:val="21"/>
              </w:rPr>
            </w:pPr>
            <w:r>
              <w:rPr>
                <w:rFonts w:eastAsia="黑体" w:cs="Times New Roman"/>
                <w:szCs w:val="21"/>
              </w:rPr>
              <w:t>100</w:t>
            </w:r>
          </w:p>
        </w:tc>
        <w:tc>
          <w:tcPr>
            <w:tcW w:w="0" w:type="auto"/>
            <w:vAlign w:val="center"/>
          </w:tcPr>
          <w:p>
            <w:pPr>
              <w:pStyle w:val="16"/>
              <w:rPr>
                <w:rFonts w:eastAsia="黑体" w:cs="Times New Roman"/>
                <w:szCs w:val="21"/>
              </w:rPr>
            </w:pPr>
            <w:r>
              <w:rPr>
                <w:rFonts w:eastAsia="黑体" w:cs="Times New Roman"/>
                <w:szCs w:val="21"/>
              </w:rPr>
              <w:t>100</w:t>
            </w:r>
          </w:p>
        </w:tc>
        <w:tc>
          <w:tcPr>
            <w:tcW w:w="0" w:type="auto"/>
            <w:vAlign w:val="center"/>
          </w:tcPr>
          <w:p>
            <w:pPr>
              <w:pStyle w:val="16"/>
              <w:rPr>
                <w:rFonts w:eastAsia="黑体" w:cs="Times New Roman"/>
                <w:szCs w:val="21"/>
              </w:rPr>
            </w:pPr>
            <w:r>
              <w:rPr>
                <w:rFonts w:hint="eastAsia" w:eastAsia="黑体" w:cs="Times New Roman"/>
                <w:szCs w:val="21"/>
              </w:rPr>
              <w:t>10</w:t>
            </w:r>
          </w:p>
        </w:tc>
        <w:tc>
          <w:tcPr>
            <w:tcW w:w="0" w:type="auto"/>
            <w:vAlign w:val="center"/>
          </w:tcPr>
          <w:p>
            <w:pPr>
              <w:pStyle w:val="16"/>
              <w:rPr>
                <w:rFonts w:eastAsia="黑体" w:cs="Times New Roman"/>
                <w:szCs w:val="21"/>
              </w:rPr>
            </w:pPr>
            <w:r>
              <w:rPr>
                <w:rFonts w:eastAsia="黑体" w:cs="Times New Roman"/>
                <w:szCs w:val="21"/>
              </w:rPr>
              <w:t>30</w:t>
            </w:r>
          </w:p>
        </w:tc>
        <w:tc>
          <w:tcPr>
            <w:tcW w:w="0" w:type="auto"/>
            <w:vAlign w:val="center"/>
          </w:tcPr>
          <w:p>
            <w:pPr>
              <w:pStyle w:val="16"/>
              <w:rPr>
                <w:rFonts w:eastAsia="黑体" w:cs="Times New Roman"/>
                <w:szCs w:val="21"/>
              </w:rPr>
            </w:pPr>
            <w:r>
              <w:rPr>
                <w:rFonts w:hint="eastAsia" w:eastAsia="黑体" w:cs="Times New Roman"/>
                <w:szCs w:val="21"/>
              </w:rPr>
              <w:t>30</w:t>
            </w:r>
          </w:p>
        </w:tc>
        <w:tc>
          <w:tcPr>
            <w:tcW w:w="0" w:type="auto"/>
            <w:vAlign w:val="center"/>
          </w:tcPr>
          <w:p>
            <w:pPr>
              <w:pStyle w:val="16"/>
              <w:rPr>
                <w:rFonts w:eastAsia="黑体" w:cs="Times New Roman"/>
                <w:szCs w:val="21"/>
              </w:rPr>
            </w:pPr>
            <w:r>
              <w:rPr>
                <w:rFonts w:hint="eastAsia" w:eastAsia="黑体" w:cs="Times New Roman"/>
                <w:szCs w:val="21"/>
              </w:rPr>
              <w:t>20</w:t>
            </w:r>
          </w:p>
        </w:tc>
        <w:tc>
          <w:tcPr>
            <w:tcW w:w="0" w:type="auto"/>
            <w:vAlign w:val="center"/>
          </w:tcPr>
          <w:p>
            <w:pPr>
              <w:pStyle w:val="16"/>
              <w:rPr>
                <w:rFonts w:eastAsia="黑体" w:cs="Times New Roman"/>
                <w:szCs w:val="21"/>
              </w:rPr>
            </w:pPr>
            <w:r>
              <w:rPr>
                <w:rFonts w:hint="eastAsia" w:eastAsia="黑体" w:cs="Times New Roman"/>
                <w:szCs w:val="21"/>
              </w:rPr>
              <w:t>10</w:t>
            </w:r>
          </w:p>
        </w:tc>
        <w:tc>
          <w:tcPr>
            <w:tcW w:w="0" w:type="auto"/>
            <w:vAlign w:val="center"/>
          </w:tcPr>
          <w:p>
            <w:pPr>
              <w:pStyle w:val="16"/>
              <w:rPr>
                <w:rFonts w:hint="eastAsia" w:ascii="黑体" w:hAnsi="黑体" w:eastAsia="黑体"/>
                <w:szCs w:val="21"/>
              </w:rPr>
            </w:pPr>
            <w:r>
              <w:rPr>
                <w:rFonts w:eastAsia="黑体" w:cs="Times New Roman"/>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16"/>
              <w:rPr>
                <w:rFonts w:hint="eastAsia" w:ascii="黑体" w:hAnsi="黑体" w:eastAsia="黑体"/>
                <w:b/>
                <w:bCs/>
                <w:szCs w:val="21"/>
                <w:lang w:val="en-GB"/>
              </w:rPr>
            </w:pPr>
            <w:r>
              <w:rPr>
                <w:rFonts w:hint="eastAsia"/>
                <w:b/>
                <w:bCs/>
                <w:lang w:bidi="ar"/>
              </w:rPr>
              <w:t>学生平均得分</w:t>
            </w:r>
          </w:p>
        </w:tc>
        <w:tc>
          <w:tcPr>
            <w:tcW w:w="0" w:type="auto"/>
            <w:vAlign w:val="center"/>
          </w:tcPr>
          <w:p>
            <w:pPr>
              <w:pStyle w:val="16"/>
              <w:rPr>
                <w:rFonts w:eastAsia="黑体" w:cs="Times New Roman"/>
                <w:szCs w:val="21"/>
              </w:rPr>
            </w:pPr>
            <w:r>
              <w:rPr>
                <w:rFonts w:eastAsia="黑体" w:cs="Times New Roman"/>
                <w:szCs w:val="21"/>
              </w:rPr>
              <w:t>A</w:t>
            </w:r>
          </w:p>
        </w:tc>
        <w:tc>
          <w:tcPr>
            <w:tcW w:w="0" w:type="auto"/>
            <w:vAlign w:val="center"/>
          </w:tcPr>
          <w:p>
            <w:pPr>
              <w:pStyle w:val="16"/>
              <w:rPr>
                <w:rFonts w:eastAsia="黑体" w:cs="Times New Roman"/>
                <w:szCs w:val="21"/>
              </w:rPr>
            </w:pPr>
            <w:r>
              <w:rPr>
                <w:rFonts w:eastAsia="黑体" w:cs="Times New Roman"/>
                <w:szCs w:val="21"/>
              </w:rPr>
              <w:t>B</w:t>
            </w:r>
          </w:p>
        </w:tc>
        <w:tc>
          <w:tcPr>
            <w:tcW w:w="0" w:type="auto"/>
            <w:vAlign w:val="center"/>
          </w:tcPr>
          <w:p>
            <w:pPr>
              <w:pStyle w:val="16"/>
              <w:rPr>
                <w:rFonts w:eastAsia="黑体" w:cs="Times New Roman"/>
                <w:szCs w:val="21"/>
              </w:rPr>
            </w:pPr>
            <w:r>
              <w:rPr>
                <w:rFonts w:eastAsia="黑体" w:cs="Times New Roman"/>
                <w:szCs w:val="21"/>
              </w:rPr>
              <w:t>C</w:t>
            </w:r>
            <w:r>
              <w:rPr>
                <w:rFonts w:eastAsia="黑体" w:cs="Times New Roman"/>
                <w:szCs w:val="21"/>
                <w:vertAlign w:val="subscript"/>
              </w:rPr>
              <w:t>1</w:t>
            </w:r>
          </w:p>
        </w:tc>
        <w:tc>
          <w:tcPr>
            <w:tcW w:w="0" w:type="auto"/>
            <w:vAlign w:val="center"/>
          </w:tcPr>
          <w:p>
            <w:pPr>
              <w:pStyle w:val="16"/>
              <w:rPr>
                <w:rFonts w:eastAsia="黑体" w:cs="Times New Roman"/>
                <w:szCs w:val="21"/>
              </w:rPr>
            </w:pPr>
            <w:r>
              <w:rPr>
                <w:rFonts w:eastAsia="黑体" w:cs="Times New Roman"/>
                <w:szCs w:val="21"/>
              </w:rPr>
              <w:t>C</w:t>
            </w:r>
            <w:r>
              <w:rPr>
                <w:rFonts w:eastAsia="黑体" w:cs="Times New Roman"/>
                <w:szCs w:val="21"/>
                <w:vertAlign w:val="subscript"/>
              </w:rPr>
              <w:t>2</w:t>
            </w:r>
          </w:p>
        </w:tc>
        <w:tc>
          <w:tcPr>
            <w:tcW w:w="0" w:type="auto"/>
            <w:vAlign w:val="center"/>
          </w:tcPr>
          <w:p>
            <w:pPr>
              <w:pStyle w:val="16"/>
              <w:rPr>
                <w:rFonts w:eastAsia="黑体" w:cs="Times New Roman"/>
                <w:szCs w:val="21"/>
              </w:rPr>
            </w:pPr>
            <w:r>
              <w:rPr>
                <w:rFonts w:eastAsia="黑体" w:cs="Times New Roman"/>
                <w:szCs w:val="21"/>
              </w:rPr>
              <w:t>C</w:t>
            </w:r>
            <w:r>
              <w:rPr>
                <w:rFonts w:eastAsia="黑体" w:cs="Times New Roman"/>
                <w:szCs w:val="21"/>
                <w:vertAlign w:val="subscript"/>
              </w:rPr>
              <w:t>3</w:t>
            </w:r>
          </w:p>
        </w:tc>
        <w:tc>
          <w:tcPr>
            <w:tcW w:w="0" w:type="auto"/>
            <w:vAlign w:val="center"/>
          </w:tcPr>
          <w:p>
            <w:pPr>
              <w:pStyle w:val="16"/>
              <w:rPr>
                <w:rFonts w:eastAsia="黑体" w:cs="Times New Roman"/>
                <w:szCs w:val="21"/>
              </w:rPr>
            </w:pPr>
            <w:r>
              <w:rPr>
                <w:rFonts w:eastAsia="黑体" w:cs="Times New Roman"/>
                <w:szCs w:val="21"/>
              </w:rPr>
              <w:t>C</w:t>
            </w:r>
            <w:r>
              <w:rPr>
                <w:rFonts w:hint="eastAsia" w:eastAsia="黑体" w:cs="Times New Roman"/>
                <w:szCs w:val="21"/>
                <w:vertAlign w:val="subscript"/>
              </w:rPr>
              <w:t>4</w:t>
            </w:r>
          </w:p>
        </w:tc>
        <w:tc>
          <w:tcPr>
            <w:tcW w:w="0" w:type="auto"/>
            <w:vAlign w:val="center"/>
          </w:tcPr>
          <w:p>
            <w:pPr>
              <w:pStyle w:val="16"/>
              <w:rPr>
                <w:rFonts w:eastAsia="黑体" w:cs="Times New Roman"/>
                <w:szCs w:val="21"/>
              </w:rPr>
            </w:pPr>
            <w:r>
              <w:rPr>
                <w:rFonts w:eastAsia="黑体" w:cs="Times New Roman"/>
                <w:szCs w:val="21"/>
              </w:rPr>
              <w:t>C</w:t>
            </w:r>
            <w:r>
              <w:rPr>
                <w:rFonts w:hint="eastAsia" w:eastAsia="黑体" w:cs="Times New Roman"/>
                <w:szCs w:val="21"/>
                <w:vertAlign w:val="subscript"/>
              </w:rPr>
              <w:t>5</w:t>
            </w:r>
          </w:p>
        </w:tc>
        <w:tc>
          <w:tcPr>
            <w:tcW w:w="0" w:type="auto"/>
            <w:vAlign w:val="center"/>
          </w:tcPr>
          <w:p>
            <w:pPr>
              <w:pStyle w:val="16"/>
              <w:rPr>
                <w:rFonts w:hint="eastAsia" w:ascii="黑体" w:hAnsi="黑体" w:eastAsia="黑体"/>
                <w:szCs w:val="21"/>
                <w:lang w:val="en-GB"/>
              </w:rPr>
            </w:pPr>
            <w:r>
              <w:rPr>
                <w:rFonts w:ascii="Symbol" w:hAnsi="Symbol" w:cs="Symbol"/>
                <w:lang w:bidi="ar"/>
              </w:rPr>
              <w:t></w:t>
            </w:r>
            <w:r>
              <w:rPr>
                <w:rFonts w:ascii="Symbol" w:hAnsi="Symbol" w:cs="Symbol"/>
                <w:sz w:val="11"/>
                <w:szCs w:val="11"/>
                <w:lang w:bidi="ar"/>
              </w:rPr>
              <w:t></w:t>
            </w:r>
            <w:r>
              <w:rPr>
                <w:rFonts w:cs="Times New Roman"/>
                <w:i/>
                <w:iCs/>
                <w:lang w:bidi="ar"/>
              </w:rPr>
              <w:t>A+</w:t>
            </w:r>
            <w:r>
              <w:rPr>
                <w:rFonts w:ascii="Symbol" w:hAnsi="Symbol" w:cs="Symbol"/>
                <w:lang w:bidi="ar"/>
              </w:rPr>
              <w:t></w:t>
            </w:r>
            <w:r>
              <w:rPr>
                <w:rFonts w:ascii="Symbol" w:hAnsi="Symbol" w:cs="Symbol"/>
                <w:sz w:val="11"/>
                <w:szCs w:val="11"/>
                <w:lang w:bidi="ar"/>
              </w:rPr>
              <w:t></w:t>
            </w:r>
            <w:r>
              <w:rPr>
                <w:rFonts w:cs="Times New Roman"/>
                <w:i/>
                <w:iCs/>
                <w:lang w:bidi="ar"/>
              </w:rPr>
              <w:t>B+</w:t>
            </w:r>
            <w:r>
              <w:rPr>
                <w:rFonts w:ascii="Symbol" w:hAnsi="Symbol" w:cs="Symbol"/>
                <w:lang w:bidi="ar"/>
              </w:rPr>
              <w:t></w:t>
            </w:r>
            <w:r>
              <w:rPr>
                <w:rFonts w:ascii="Symbol" w:hAnsi="Symbol" w:cs="Symbol"/>
                <w:sz w:val="11"/>
                <w:szCs w:val="11"/>
                <w:lang w:bidi="ar"/>
              </w:rPr>
              <w:t></w:t>
            </w:r>
            <w:r>
              <w:rPr>
                <w:rFonts w:cs="Times New Roman"/>
                <w:i/>
                <w:iCs/>
                <w:lang w:bidi="ar"/>
              </w:rPr>
              <w:t>C</w:t>
            </w:r>
          </w:p>
        </w:tc>
      </w:tr>
    </w:tbl>
    <w:p>
      <w:pPr>
        <w:ind w:firstLine="480"/>
        <w:rPr>
          <w:lang w:val="en-GB"/>
        </w:rPr>
      </w:pPr>
      <w:r>
        <w:rPr>
          <w:lang w:val="en-GB"/>
        </w:rPr>
        <w:t>（备注：表中字母 A、B、C 则分别表示学生平时成绩、</w:t>
      </w:r>
      <w:r>
        <w:t>作业</w:t>
      </w:r>
      <w:r>
        <w:rPr>
          <w:lang w:val="en-GB"/>
        </w:rPr>
        <w:t>成绩、考试成绩的实际平均得分，其中，C= C</w:t>
      </w:r>
      <w:r>
        <w:rPr>
          <w:vertAlign w:val="subscript"/>
          <w:lang w:val="en-GB"/>
        </w:rPr>
        <w:t>1</w:t>
      </w:r>
      <w:r>
        <w:rPr>
          <w:lang w:val="en-GB"/>
        </w:rPr>
        <w:t>+C</w:t>
      </w:r>
      <w:r>
        <w:rPr>
          <w:vertAlign w:val="subscript"/>
          <w:lang w:val="en-GB"/>
        </w:rPr>
        <w:t>2</w:t>
      </w:r>
      <w:r>
        <w:rPr>
          <w:lang w:val="en-GB"/>
        </w:rPr>
        <w:t>+C</w:t>
      </w:r>
      <w:r>
        <w:rPr>
          <w:vertAlign w:val="subscript"/>
        </w:rPr>
        <w:t>3</w:t>
      </w:r>
      <w:r>
        <w:rPr>
          <w:rFonts w:hint="eastAsia"/>
        </w:rPr>
        <w:t>+</w:t>
      </w:r>
      <w:r>
        <w:rPr>
          <w:rFonts w:eastAsia="黑体"/>
          <w:szCs w:val="21"/>
        </w:rPr>
        <w:t>C</w:t>
      </w:r>
      <w:r>
        <w:rPr>
          <w:rFonts w:hint="eastAsia" w:eastAsia="黑体"/>
          <w:szCs w:val="21"/>
          <w:vertAlign w:val="subscript"/>
        </w:rPr>
        <w:t>4</w:t>
      </w:r>
      <w:r>
        <w:rPr>
          <w:rFonts w:hint="eastAsia" w:eastAsia="黑体"/>
          <w:szCs w:val="21"/>
        </w:rPr>
        <w:t>+</w:t>
      </w:r>
      <w:r>
        <w:rPr>
          <w:rFonts w:eastAsia="黑体"/>
          <w:szCs w:val="21"/>
        </w:rPr>
        <w:t>C</w:t>
      </w:r>
      <w:r>
        <w:rPr>
          <w:rFonts w:hint="eastAsia" w:eastAsia="黑体"/>
          <w:szCs w:val="21"/>
          <w:vertAlign w:val="subscript"/>
        </w:rPr>
        <w:t>5</w:t>
      </w:r>
      <w:r>
        <w:rPr>
          <w:lang w:val="en-GB"/>
        </w:rPr>
        <w:t>；C</w:t>
      </w:r>
      <w:r>
        <w:rPr>
          <w:vertAlign w:val="subscript"/>
          <w:lang w:val="en-GB"/>
        </w:rPr>
        <w:t>1</w:t>
      </w:r>
      <w:r>
        <w:rPr>
          <w:lang w:val="en-GB"/>
        </w:rPr>
        <w:t>为课程结业考试中对应课程目标 1 的试题得分，C</w:t>
      </w:r>
      <w:r>
        <w:rPr>
          <w:vertAlign w:val="subscript"/>
          <w:lang w:val="en-GB"/>
        </w:rPr>
        <w:t>2</w:t>
      </w:r>
      <w:r>
        <w:rPr>
          <w:lang w:val="en-GB"/>
        </w:rPr>
        <w:t>为课程结业考试中对应课程目标 2 的试题得分，C</w:t>
      </w:r>
      <w:r>
        <w:rPr>
          <w:vertAlign w:val="subscript"/>
        </w:rPr>
        <w:t>3</w:t>
      </w:r>
      <w:r>
        <w:rPr>
          <w:lang w:val="en-GB"/>
        </w:rPr>
        <w:t xml:space="preserve">为课程结业考试中对应课程目标 </w:t>
      </w:r>
      <w:r>
        <w:t>3</w:t>
      </w:r>
      <w:r>
        <w:rPr>
          <w:lang w:val="en-GB"/>
        </w:rPr>
        <w:t xml:space="preserve"> 的试题得分</w:t>
      </w:r>
      <w:r>
        <w:rPr>
          <w:rFonts w:hint="eastAsia"/>
          <w:lang w:val="en-GB"/>
        </w:rPr>
        <w:t>、</w:t>
      </w:r>
      <w:r>
        <w:rPr>
          <w:lang w:val="en-GB"/>
        </w:rPr>
        <w:t>C</w:t>
      </w:r>
      <w:r>
        <w:rPr>
          <w:rFonts w:hint="eastAsia"/>
          <w:vertAlign w:val="subscript"/>
        </w:rPr>
        <w:t>4</w:t>
      </w:r>
      <w:r>
        <w:rPr>
          <w:lang w:val="en-GB"/>
        </w:rPr>
        <w:t xml:space="preserve">为课程结业考试中对应课程目标 </w:t>
      </w:r>
      <w:r>
        <w:rPr>
          <w:rFonts w:hint="eastAsia"/>
        </w:rPr>
        <w:t>4</w:t>
      </w:r>
      <w:r>
        <w:rPr>
          <w:lang w:val="en-GB"/>
        </w:rPr>
        <w:t xml:space="preserve"> 的试题得分</w:t>
      </w:r>
      <w:r>
        <w:rPr>
          <w:rFonts w:hint="eastAsia"/>
          <w:lang w:val="en-GB"/>
        </w:rPr>
        <w:t>、</w:t>
      </w:r>
      <w:r>
        <w:rPr>
          <w:lang w:val="en-GB"/>
        </w:rPr>
        <w:t>C</w:t>
      </w:r>
      <w:r>
        <w:rPr>
          <w:rFonts w:hint="eastAsia"/>
          <w:vertAlign w:val="subscript"/>
        </w:rPr>
        <w:t>5</w:t>
      </w:r>
      <w:r>
        <w:rPr>
          <w:lang w:val="en-GB"/>
        </w:rPr>
        <w:t xml:space="preserve">为课程结业考试中对应课程目标 </w:t>
      </w:r>
      <w:r>
        <w:rPr>
          <w:rFonts w:hint="eastAsia"/>
        </w:rPr>
        <w:t>5</w:t>
      </w:r>
      <w:r>
        <w:rPr>
          <w:lang w:val="en-GB"/>
        </w:rPr>
        <w:t xml:space="preserve"> 的试题得分。）</w:t>
      </w:r>
    </w:p>
    <w:p>
      <w:pPr>
        <w:ind w:firstLine="482"/>
        <w:rPr>
          <w:b/>
          <w:bCs/>
        </w:rPr>
      </w:pPr>
      <w:r>
        <w:rPr>
          <w:rFonts w:hint="eastAsia"/>
          <w:b/>
          <w:bCs/>
        </w:rPr>
        <w:t>2、课程目标达成度评价值计算方法</w:t>
      </w:r>
      <w:bookmarkStart w:id="0" w:name="_GoBack"/>
      <w:bookmarkEnd w:id="0"/>
    </w:p>
    <w:tbl>
      <w:tblPr>
        <w:tblStyle w:val="8"/>
        <w:tblpPr w:leftFromText="180" w:rightFromText="180" w:vertAnchor="text" w:horzAnchor="page" w:tblpXSpec="center" w:tblpY="15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883"/>
        <w:gridCol w:w="1107"/>
        <w:gridCol w:w="1360"/>
        <w:gridCol w:w="4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b/>
                <w:bCs/>
                <w:szCs w:val="21"/>
                <w:lang w:val="en-GB"/>
              </w:rPr>
            </w:pPr>
            <w:r>
              <w:rPr>
                <w:b/>
                <w:bCs/>
                <w:lang w:bidi="ar"/>
              </w:rPr>
              <w:t>课程目标</w:t>
            </w:r>
          </w:p>
        </w:tc>
        <w:tc>
          <w:tcPr>
            <w:tcW w:w="883" w:type="dxa"/>
            <w:vAlign w:val="center"/>
          </w:tcPr>
          <w:p>
            <w:pPr>
              <w:pStyle w:val="16"/>
              <w:rPr>
                <w:rFonts w:eastAsia="黑体"/>
                <w:b/>
                <w:bCs/>
                <w:szCs w:val="21"/>
                <w:lang w:val="en-GB"/>
              </w:rPr>
            </w:pPr>
            <w:r>
              <w:rPr>
                <w:b/>
                <w:bCs/>
                <w:lang w:bidi="ar"/>
              </w:rPr>
              <w:t>考核环节</w:t>
            </w:r>
          </w:p>
        </w:tc>
        <w:tc>
          <w:tcPr>
            <w:tcW w:w="1107" w:type="dxa"/>
            <w:vAlign w:val="center"/>
          </w:tcPr>
          <w:p>
            <w:pPr>
              <w:pStyle w:val="16"/>
              <w:rPr>
                <w:rFonts w:eastAsia="黑体"/>
                <w:b/>
                <w:bCs/>
                <w:szCs w:val="21"/>
                <w:lang w:val="en-GB"/>
              </w:rPr>
            </w:pPr>
            <w:r>
              <w:rPr>
                <w:b/>
                <w:bCs/>
                <w:lang w:bidi="ar"/>
              </w:rPr>
              <w:t>目标分值</w:t>
            </w:r>
          </w:p>
        </w:tc>
        <w:tc>
          <w:tcPr>
            <w:tcW w:w="1360" w:type="dxa"/>
            <w:vAlign w:val="center"/>
          </w:tcPr>
          <w:p>
            <w:pPr>
              <w:pStyle w:val="16"/>
              <w:rPr>
                <w:rFonts w:eastAsia="黑体"/>
                <w:b/>
                <w:bCs/>
                <w:szCs w:val="21"/>
                <w:lang w:val="en-GB"/>
              </w:rPr>
            </w:pPr>
            <w:r>
              <w:rPr>
                <w:b/>
                <w:bCs/>
                <w:lang w:bidi="ar"/>
              </w:rPr>
              <w:t>学生平均得分</w:t>
            </w:r>
          </w:p>
        </w:tc>
        <w:tc>
          <w:tcPr>
            <w:tcW w:w="4217" w:type="dxa"/>
            <w:vAlign w:val="center"/>
          </w:tcPr>
          <w:p>
            <w:pPr>
              <w:pStyle w:val="16"/>
              <w:rPr>
                <w:rFonts w:eastAsia="黑体"/>
                <w:b/>
                <w:bCs/>
                <w:szCs w:val="21"/>
                <w:lang w:val="en-GB"/>
              </w:rPr>
            </w:pPr>
            <w:r>
              <w:rPr>
                <w:b/>
                <w:bCs/>
                <w:lang w:bidi="ar"/>
              </w:rPr>
              <w:t>达成度计算示例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Merge w:val="restart"/>
            <w:vAlign w:val="center"/>
          </w:tcPr>
          <w:p>
            <w:pPr>
              <w:pStyle w:val="16"/>
              <w:rPr>
                <w:rFonts w:eastAsia="黑体"/>
                <w:szCs w:val="21"/>
                <w:lang w:val="en-GB"/>
              </w:rPr>
            </w:pPr>
            <w:r>
              <w:rPr>
                <w:lang w:bidi="ar"/>
              </w:rPr>
              <w:t>课程目标 1</w:t>
            </w:r>
          </w:p>
        </w:tc>
        <w:tc>
          <w:tcPr>
            <w:tcW w:w="883" w:type="dxa"/>
            <w:vAlign w:val="center"/>
          </w:tcPr>
          <w:p>
            <w:pPr>
              <w:pStyle w:val="16"/>
              <w:jc w:val="both"/>
              <w:rPr>
                <w:rFonts w:eastAsia="黑体"/>
                <w:szCs w:val="21"/>
                <w:lang w:val="en-GB"/>
              </w:rPr>
            </w:pPr>
            <w:r>
              <w:rPr>
                <w:lang w:bidi="ar"/>
              </w:rPr>
              <w:t>平时</w:t>
            </w:r>
          </w:p>
        </w:tc>
        <w:tc>
          <w:tcPr>
            <w:tcW w:w="1107" w:type="dxa"/>
            <w:vAlign w:val="center"/>
          </w:tcPr>
          <w:p>
            <w:pPr>
              <w:pStyle w:val="16"/>
              <w:rPr>
                <w:rFonts w:eastAsia="黑体"/>
                <w:szCs w:val="21"/>
              </w:rPr>
            </w:pPr>
            <w:r>
              <w:rPr>
                <w:rFonts w:eastAsia="黑体"/>
                <w:szCs w:val="21"/>
              </w:rPr>
              <w:t>100</w:t>
            </w:r>
          </w:p>
        </w:tc>
        <w:tc>
          <w:tcPr>
            <w:tcW w:w="1360" w:type="dxa"/>
            <w:vAlign w:val="center"/>
          </w:tcPr>
          <w:p>
            <w:pPr>
              <w:pStyle w:val="16"/>
              <w:rPr>
                <w:rFonts w:eastAsia="黑体"/>
                <w:szCs w:val="21"/>
                <w:lang w:val="en-GB"/>
              </w:rPr>
            </w:pPr>
            <w:r>
              <w:rPr>
                <w:i/>
                <w:iCs/>
                <w:lang w:bidi="ar"/>
              </w:rPr>
              <w:t>A</w:t>
            </w:r>
          </w:p>
        </w:tc>
        <w:tc>
          <w:tcPr>
            <w:tcW w:w="4217" w:type="dxa"/>
            <w:vMerge w:val="restart"/>
            <w:vAlign w:val="center"/>
          </w:tcPr>
          <w:p>
            <w:pPr>
              <w:pStyle w:val="16"/>
              <w:jc w:val="both"/>
            </w:pPr>
            <w:r>
              <w:rPr>
                <w:lang w:bidi="ar"/>
              </w:rPr>
              <w:t>课程目标1达成度</w:t>
            </w:r>
            <w:r>
              <w:rPr>
                <w:rFonts w:hint="eastAsia"/>
                <w:lang w:bidi="ar"/>
              </w:rPr>
              <w:t>=</w:t>
            </w:r>
            <w:r>
              <w:rPr>
                <w:lang w:bidi="ar"/>
              </w:rPr>
              <w:t>（</w:t>
            </w:r>
            <w:r>
              <w:rPr>
                <w:rFonts w:ascii="Symbol" w:hAnsi="Symbol" w:cs="Symbol"/>
                <w:lang w:bidi="ar"/>
              </w:rPr>
              <w:t></w:t>
            </w:r>
            <w:r>
              <w:rPr>
                <w:rFonts w:ascii="Symbol" w:hAnsi="Symbol" w:cs="Symbol"/>
                <w:vertAlign w:val="subscript"/>
                <w:lang w:bidi="ar"/>
              </w:rPr>
              <w:t></w:t>
            </w:r>
            <w:r>
              <w:rPr>
                <w:i/>
                <w:iCs/>
                <w:lang w:bidi="ar"/>
              </w:rPr>
              <w:t>A</w:t>
            </w:r>
            <w:r>
              <w:rPr>
                <w:rFonts w:hint="eastAsia"/>
                <w:i/>
                <w:iCs/>
                <w:lang w:bidi="ar"/>
              </w:rPr>
              <w:t>+</w:t>
            </w:r>
            <w:r>
              <w:rPr>
                <w:rFonts w:ascii="Symbol" w:hAnsi="Symbol" w:cs="Symbol"/>
                <w:lang w:bidi="ar"/>
              </w:rPr>
              <w:t></w:t>
            </w:r>
            <w:r>
              <w:rPr>
                <w:sz w:val="10"/>
                <w:szCs w:val="10"/>
                <w:lang w:bidi="ar"/>
              </w:rPr>
              <w:t>3</w:t>
            </w:r>
            <w:r>
              <w:rPr>
                <w:i/>
                <w:iCs/>
                <w:lang w:bidi="ar"/>
              </w:rPr>
              <w:t>C</w:t>
            </w:r>
            <w:r>
              <w:rPr>
                <w:sz w:val="10"/>
                <w:szCs w:val="10"/>
                <w:lang w:bidi="ar"/>
              </w:rPr>
              <w:t>1</w:t>
            </w:r>
            <w:r>
              <w:rPr>
                <w:lang w:bidi="ar"/>
              </w:rPr>
              <w:t>）/实际目标总分</w:t>
            </w:r>
          </w:p>
          <w:p>
            <w:pPr>
              <w:pStyle w:val="16"/>
              <w:jc w:val="both"/>
              <w:rPr>
                <w:sz w:val="21"/>
                <w:szCs w:val="20"/>
              </w:rPr>
            </w:pPr>
            <w:r>
              <w:rPr>
                <w:sz w:val="18"/>
                <w:szCs w:val="16"/>
                <w:lang w:bidi="ar"/>
              </w:rPr>
              <w:t>式中:实际目标总分为各项目标分值乘以权重后总数，如本门课程“实际目标总分”=</w:t>
            </w:r>
            <w:r>
              <w:rPr>
                <w:color w:val="FF0000"/>
                <w:sz w:val="18"/>
                <w:szCs w:val="16"/>
                <w:lang w:bidi="ar"/>
              </w:rPr>
              <w:t>100×0.3+</w:t>
            </w:r>
            <w:r>
              <w:rPr>
                <w:rFonts w:hint="eastAsia"/>
                <w:color w:val="FF0000"/>
                <w:sz w:val="18"/>
                <w:szCs w:val="16"/>
                <w:lang w:bidi="ar"/>
              </w:rPr>
              <w:t>1</w:t>
            </w:r>
            <w:r>
              <w:rPr>
                <w:color w:val="FF0000"/>
                <w:sz w:val="18"/>
                <w:szCs w:val="16"/>
                <w:lang w:bidi="ar"/>
              </w:rPr>
              <w:t>0× 0.5=</w:t>
            </w:r>
            <w:r>
              <w:rPr>
                <w:rFonts w:hint="eastAsia"/>
                <w:color w:val="FF0000"/>
                <w:sz w:val="18"/>
                <w:szCs w:val="16"/>
                <w:lang w:val="en-US" w:eastAsia="zh-CN" w:bidi="ar"/>
              </w:rPr>
              <w:t>3</w:t>
            </w:r>
            <w:r>
              <w:rPr>
                <w:color w:val="FF0000"/>
                <w:sz w:val="18"/>
                <w:szCs w:val="16"/>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Merge w:val="continue"/>
            <w:vAlign w:val="center"/>
          </w:tcPr>
          <w:p>
            <w:pPr>
              <w:pStyle w:val="16"/>
              <w:rPr>
                <w:rFonts w:eastAsia="黑体"/>
                <w:szCs w:val="21"/>
                <w:lang w:val="en-GB"/>
              </w:rPr>
            </w:pPr>
          </w:p>
        </w:tc>
        <w:tc>
          <w:tcPr>
            <w:tcW w:w="883" w:type="dxa"/>
            <w:vAlign w:val="center"/>
          </w:tcPr>
          <w:p>
            <w:pPr>
              <w:pStyle w:val="16"/>
              <w:jc w:val="both"/>
              <w:rPr>
                <w:rFonts w:eastAsia="黑体"/>
                <w:szCs w:val="21"/>
                <w:lang w:val="en-GB"/>
              </w:rPr>
            </w:pPr>
            <w:r>
              <w:rPr>
                <w:lang w:bidi="ar"/>
              </w:rPr>
              <w:t>目标1 试题</w:t>
            </w:r>
          </w:p>
        </w:tc>
        <w:tc>
          <w:tcPr>
            <w:tcW w:w="1107" w:type="dxa"/>
            <w:vAlign w:val="center"/>
          </w:tcPr>
          <w:p>
            <w:pPr>
              <w:pStyle w:val="16"/>
              <w:rPr>
                <w:rFonts w:eastAsia="黑体"/>
                <w:szCs w:val="21"/>
              </w:rPr>
            </w:pPr>
            <w:r>
              <w:rPr>
                <w:rFonts w:eastAsia="黑体"/>
                <w:szCs w:val="21"/>
              </w:rPr>
              <w:t>10</w:t>
            </w:r>
          </w:p>
        </w:tc>
        <w:tc>
          <w:tcPr>
            <w:tcW w:w="1360" w:type="dxa"/>
            <w:vAlign w:val="center"/>
          </w:tcPr>
          <w:p>
            <w:pPr>
              <w:pStyle w:val="16"/>
              <w:rPr>
                <w:rFonts w:eastAsia="黑体"/>
                <w:szCs w:val="21"/>
                <w:lang w:val="en-GB"/>
              </w:rPr>
            </w:pPr>
            <w:r>
              <w:rPr>
                <w:i/>
                <w:iCs/>
                <w:lang w:bidi="ar"/>
              </w:rPr>
              <w:t>C</w:t>
            </w:r>
            <w:r>
              <w:rPr>
                <w:sz w:val="11"/>
                <w:szCs w:val="11"/>
                <w:lang w:bidi="ar"/>
              </w:rPr>
              <w:t>1</w:t>
            </w:r>
          </w:p>
        </w:tc>
        <w:tc>
          <w:tcPr>
            <w:tcW w:w="4217" w:type="dxa"/>
            <w:vMerge w:val="continue"/>
            <w:vAlign w:val="center"/>
          </w:tcPr>
          <w:p>
            <w:pPr>
              <w:pStyle w:val="16"/>
              <w:rPr>
                <w:rFonts w:eastAsia="黑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lang w:val="en-GB"/>
              </w:rPr>
            </w:pPr>
            <w:r>
              <w:rPr>
                <w:lang w:bidi="ar"/>
              </w:rPr>
              <w:t>课程目标 2</w:t>
            </w:r>
          </w:p>
        </w:tc>
        <w:tc>
          <w:tcPr>
            <w:tcW w:w="883" w:type="dxa"/>
            <w:vAlign w:val="center"/>
          </w:tcPr>
          <w:p>
            <w:pPr>
              <w:pStyle w:val="16"/>
              <w:jc w:val="both"/>
              <w:rPr>
                <w:rFonts w:eastAsia="黑体"/>
                <w:szCs w:val="21"/>
                <w:lang w:val="en-GB"/>
              </w:rPr>
            </w:pPr>
            <w:r>
              <w:rPr>
                <w:lang w:bidi="ar"/>
              </w:rPr>
              <w:t>目标2试题</w:t>
            </w:r>
          </w:p>
        </w:tc>
        <w:tc>
          <w:tcPr>
            <w:tcW w:w="1107" w:type="dxa"/>
            <w:vAlign w:val="center"/>
          </w:tcPr>
          <w:p>
            <w:pPr>
              <w:pStyle w:val="16"/>
              <w:rPr>
                <w:rFonts w:eastAsia="黑体"/>
                <w:szCs w:val="21"/>
              </w:rPr>
            </w:pPr>
            <w:r>
              <w:rPr>
                <w:rFonts w:eastAsia="黑体"/>
                <w:szCs w:val="21"/>
              </w:rPr>
              <w:t>30</w:t>
            </w:r>
          </w:p>
        </w:tc>
        <w:tc>
          <w:tcPr>
            <w:tcW w:w="1360" w:type="dxa"/>
            <w:vAlign w:val="center"/>
          </w:tcPr>
          <w:p>
            <w:pPr>
              <w:pStyle w:val="16"/>
              <w:rPr>
                <w:rFonts w:eastAsia="黑体"/>
                <w:szCs w:val="21"/>
                <w:lang w:val="en-GB"/>
              </w:rPr>
            </w:pPr>
            <w:r>
              <w:rPr>
                <w:i/>
                <w:iCs/>
                <w:lang w:bidi="ar"/>
              </w:rPr>
              <w:t>C</w:t>
            </w:r>
            <w:r>
              <w:rPr>
                <w:sz w:val="11"/>
                <w:szCs w:val="11"/>
                <w:lang w:bidi="ar"/>
              </w:rPr>
              <w:t>2</w:t>
            </w:r>
          </w:p>
        </w:tc>
        <w:tc>
          <w:tcPr>
            <w:tcW w:w="4217" w:type="dxa"/>
            <w:vAlign w:val="center"/>
          </w:tcPr>
          <w:p>
            <w:pPr>
              <w:pStyle w:val="16"/>
              <w:jc w:val="both"/>
            </w:pPr>
            <w:r>
              <w:t>课程目标2达成度=</w:t>
            </w:r>
            <w:r>
              <w:rPr>
                <w:rFonts w:hint="eastAsia"/>
                <w:lang w:val="en-US" w:eastAsia="zh-CN"/>
              </w:rPr>
              <w:t xml:space="preserve"> </w:t>
            </w:r>
            <w:r>
              <w:t>C</w:t>
            </w:r>
            <w:r>
              <w:rPr>
                <w:vertAlign w:val="subscript"/>
              </w:rPr>
              <w:t>2</w:t>
            </w: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lang w:val="en-GB"/>
              </w:rPr>
            </w:pPr>
            <w:r>
              <w:rPr>
                <w:lang w:bidi="ar"/>
              </w:rPr>
              <w:t xml:space="preserve">课程目标 </w:t>
            </w:r>
            <w:r>
              <w:rPr>
                <w:rFonts w:hint="eastAsia"/>
                <w:lang w:bidi="ar"/>
              </w:rPr>
              <w:t>3</w:t>
            </w:r>
          </w:p>
        </w:tc>
        <w:tc>
          <w:tcPr>
            <w:tcW w:w="883" w:type="dxa"/>
            <w:vAlign w:val="center"/>
          </w:tcPr>
          <w:p>
            <w:pPr>
              <w:pStyle w:val="16"/>
              <w:jc w:val="both"/>
              <w:rPr>
                <w:rFonts w:eastAsia="黑体"/>
                <w:szCs w:val="21"/>
                <w:lang w:val="en-GB"/>
              </w:rPr>
            </w:pPr>
            <w:r>
              <w:rPr>
                <w:lang w:bidi="ar"/>
              </w:rPr>
              <w:t>目标3 试题</w:t>
            </w:r>
          </w:p>
        </w:tc>
        <w:tc>
          <w:tcPr>
            <w:tcW w:w="1107" w:type="dxa"/>
            <w:vAlign w:val="center"/>
          </w:tcPr>
          <w:p>
            <w:pPr>
              <w:pStyle w:val="16"/>
              <w:rPr>
                <w:rFonts w:eastAsia="黑体"/>
                <w:szCs w:val="21"/>
              </w:rPr>
            </w:pPr>
            <w:r>
              <w:rPr>
                <w:rFonts w:eastAsia="黑体"/>
                <w:szCs w:val="21"/>
              </w:rPr>
              <w:t>30</w:t>
            </w:r>
          </w:p>
        </w:tc>
        <w:tc>
          <w:tcPr>
            <w:tcW w:w="1360" w:type="dxa"/>
            <w:vAlign w:val="center"/>
          </w:tcPr>
          <w:p>
            <w:pPr>
              <w:pStyle w:val="16"/>
              <w:rPr>
                <w:rFonts w:eastAsia="黑体"/>
                <w:szCs w:val="21"/>
              </w:rPr>
            </w:pPr>
            <w:r>
              <w:rPr>
                <w:i/>
                <w:iCs/>
                <w:lang w:bidi="ar"/>
              </w:rPr>
              <w:t>C</w:t>
            </w:r>
            <w:r>
              <w:rPr>
                <w:sz w:val="11"/>
                <w:szCs w:val="11"/>
                <w:lang w:bidi="ar"/>
              </w:rPr>
              <w:t>3</w:t>
            </w:r>
          </w:p>
        </w:tc>
        <w:tc>
          <w:tcPr>
            <w:tcW w:w="4217" w:type="dxa"/>
            <w:vAlign w:val="center"/>
          </w:tcPr>
          <w:p>
            <w:pPr>
              <w:pStyle w:val="16"/>
              <w:jc w:val="both"/>
            </w:pPr>
            <w:r>
              <w:t>课程目标3达成度=</w:t>
            </w:r>
            <w:r>
              <w:rPr>
                <w:rFonts w:hint="eastAsia"/>
                <w:lang w:val="en-US" w:eastAsia="zh-CN"/>
              </w:rPr>
              <w:t xml:space="preserve"> </w:t>
            </w:r>
            <w:r>
              <w:t>C</w:t>
            </w:r>
            <w:r>
              <w:rPr>
                <w:vertAlign w:val="subscript"/>
              </w:rPr>
              <w:t>3</w:t>
            </w: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lang w:val="en-GB"/>
              </w:rPr>
            </w:pPr>
            <w:r>
              <w:rPr>
                <w:lang w:bidi="ar"/>
              </w:rPr>
              <w:t xml:space="preserve">课程目标 </w:t>
            </w:r>
            <w:r>
              <w:rPr>
                <w:rFonts w:hint="eastAsia"/>
                <w:lang w:bidi="ar"/>
              </w:rPr>
              <w:t>4</w:t>
            </w:r>
          </w:p>
        </w:tc>
        <w:tc>
          <w:tcPr>
            <w:tcW w:w="883" w:type="dxa"/>
            <w:vAlign w:val="center"/>
          </w:tcPr>
          <w:p>
            <w:pPr>
              <w:pStyle w:val="16"/>
              <w:jc w:val="both"/>
              <w:rPr>
                <w:lang w:bidi="ar"/>
              </w:rPr>
            </w:pPr>
            <w:r>
              <w:rPr>
                <w:lang w:bidi="ar"/>
              </w:rPr>
              <w:t>目标4 试题</w:t>
            </w:r>
          </w:p>
        </w:tc>
        <w:tc>
          <w:tcPr>
            <w:tcW w:w="1107" w:type="dxa"/>
            <w:vAlign w:val="center"/>
          </w:tcPr>
          <w:p>
            <w:pPr>
              <w:pStyle w:val="16"/>
              <w:rPr>
                <w:rFonts w:eastAsia="黑体"/>
                <w:szCs w:val="21"/>
              </w:rPr>
            </w:pPr>
            <w:r>
              <w:rPr>
                <w:rFonts w:eastAsia="黑体"/>
                <w:szCs w:val="21"/>
              </w:rPr>
              <w:t>20</w:t>
            </w:r>
          </w:p>
        </w:tc>
        <w:tc>
          <w:tcPr>
            <w:tcW w:w="1360" w:type="dxa"/>
            <w:vAlign w:val="center"/>
          </w:tcPr>
          <w:p>
            <w:pPr>
              <w:pStyle w:val="16"/>
              <w:rPr>
                <w:rFonts w:eastAsia="黑体"/>
                <w:szCs w:val="21"/>
              </w:rPr>
            </w:pPr>
            <w:r>
              <w:rPr>
                <w:i/>
                <w:iCs/>
                <w:lang w:bidi="ar"/>
              </w:rPr>
              <w:t>C</w:t>
            </w:r>
            <w:r>
              <w:rPr>
                <w:sz w:val="11"/>
                <w:szCs w:val="11"/>
                <w:lang w:bidi="ar"/>
              </w:rPr>
              <w:t>4</w:t>
            </w:r>
          </w:p>
        </w:tc>
        <w:tc>
          <w:tcPr>
            <w:tcW w:w="4217" w:type="dxa"/>
            <w:vAlign w:val="center"/>
          </w:tcPr>
          <w:p>
            <w:pPr>
              <w:pStyle w:val="16"/>
              <w:jc w:val="both"/>
            </w:pPr>
            <w:r>
              <w:t>课程目标4达成度=</w:t>
            </w:r>
            <w:r>
              <w:rPr>
                <w:rFonts w:hint="eastAsia"/>
                <w:lang w:val="en-US" w:eastAsia="zh-CN"/>
              </w:rPr>
              <w:t xml:space="preserve"> </w:t>
            </w:r>
            <w:r>
              <w:t>C</w:t>
            </w:r>
            <w:r>
              <w:rPr>
                <w:vertAlign w:val="subscript"/>
              </w:rPr>
              <w:t>4</w:t>
            </w: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lang w:val="en-GB"/>
              </w:rPr>
            </w:pPr>
            <w:r>
              <w:rPr>
                <w:lang w:bidi="ar"/>
              </w:rPr>
              <w:t xml:space="preserve">课程目标 </w:t>
            </w:r>
            <w:r>
              <w:rPr>
                <w:rFonts w:hint="eastAsia"/>
                <w:lang w:bidi="ar"/>
              </w:rPr>
              <w:t>5</w:t>
            </w:r>
          </w:p>
        </w:tc>
        <w:tc>
          <w:tcPr>
            <w:tcW w:w="883" w:type="dxa"/>
            <w:vAlign w:val="center"/>
          </w:tcPr>
          <w:p>
            <w:pPr>
              <w:pStyle w:val="16"/>
              <w:jc w:val="both"/>
              <w:rPr>
                <w:lang w:bidi="ar"/>
              </w:rPr>
            </w:pPr>
            <w:r>
              <w:rPr>
                <w:lang w:bidi="ar"/>
              </w:rPr>
              <w:t>目标5 试题</w:t>
            </w:r>
          </w:p>
        </w:tc>
        <w:tc>
          <w:tcPr>
            <w:tcW w:w="1107" w:type="dxa"/>
            <w:vAlign w:val="center"/>
          </w:tcPr>
          <w:p>
            <w:pPr>
              <w:pStyle w:val="16"/>
              <w:rPr>
                <w:rFonts w:eastAsia="黑体"/>
                <w:szCs w:val="21"/>
              </w:rPr>
            </w:pPr>
            <w:r>
              <w:rPr>
                <w:rFonts w:eastAsia="黑体"/>
                <w:szCs w:val="21"/>
              </w:rPr>
              <w:t>10</w:t>
            </w:r>
          </w:p>
        </w:tc>
        <w:tc>
          <w:tcPr>
            <w:tcW w:w="1360" w:type="dxa"/>
            <w:vAlign w:val="center"/>
          </w:tcPr>
          <w:p>
            <w:pPr>
              <w:pStyle w:val="16"/>
              <w:rPr>
                <w:rFonts w:eastAsia="黑体"/>
                <w:szCs w:val="21"/>
              </w:rPr>
            </w:pPr>
            <w:r>
              <w:rPr>
                <w:i/>
                <w:iCs/>
                <w:lang w:bidi="ar"/>
              </w:rPr>
              <w:t>C</w:t>
            </w:r>
            <w:r>
              <w:rPr>
                <w:sz w:val="11"/>
                <w:szCs w:val="11"/>
                <w:lang w:bidi="ar"/>
              </w:rPr>
              <w:t>5</w:t>
            </w:r>
          </w:p>
        </w:tc>
        <w:tc>
          <w:tcPr>
            <w:tcW w:w="4217" w:type="dxa"/>
            <w:vAlign w:val="center"/>
          </w:tcPr>
          <w:p>
            <w:pPr>
              <w:pStyle w:val="16"/>
              <w:jc w:val="both"/>
            </w:pPr>
            <w:r>
              <w:t>课程目标5达成度=</w:t>
            </w:r>
            <w:r>
              <w:rPr>
                <w:rFonts w:hint="eastAsia"/>
                <w:lang w:val="en-US" w:eastAsia="zh-CN"/>
              </w:rPr>
              <w:t xml:space="preserve"> </w:t>
            </w:r>
            <w:r>
              <w:t>C</w:t>
            </w:r>
            <w:r>
              <w:rPr>
                <w:vertAlign w:val="subscript"/>
              </w:rPr>
              <w:t>5</w:t>
            </w: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rPr>
            </w:pPr>
            <w:r>
              <w:rPr>
                <w:lang w:bidi="ar"/>
              </w:rPr>
              <w:t xml:space="preserve">课程目标 </w:t>
            </w:r>
            <w:r>
              <w:rPr>
                <w:rFonts w:hint="eastAsia"/>
                <w:lang w:bidi="ar"/>
              </w:rPr>
              <w:t>1-5</w:t>
            </w:r>
          </w:p>
        </w:tc>
        <w:tc>
          <w:tcPr>
            <w:tcW w:w="883" w:type="dxa"/>
            <w:vAlign w:val="center"/>
          </w:tcPr>
          <w:p>
            <w:pPr>
              <w:pStyle w:val="16"/>
              <w:jc w:val="both"/>
              <w:rPr>
                <w:rFonts w:eastAsia="黑体"/>
                <w:szCs w:val="21"/>
                <w:lang w:val="en-GB"/>
              </w:rPr>
            </w:pPr>
            <w:r>
              <w:rPr>
                <w:lang w:bidi="ar"/>
              </w:rPr>
              <w:t>作业</w:t>
            </w:r>
          </w:p>
        </w:tc>
        <w:tc>
          <w:tcPr>
            <w:tcW w:w="1107" w:type="dxa"/>
            <w:vAlign w:val="center"/>
          </w:tcPr>
          <w:p>
            <w:pPr>
              <w:pStyle w:val="16"/>
              <w:rPr>
                <w:rFonts w:eastAsia="黑体"/>
                <w:szCs w:val="21"/>
              </w:rPr>
            </w:pPr>
            <w:r>
              <w:rPr>
                <w:rFonts w:eastAsia="黑体"/>
                <w:szCs w:val="21"/>
              </w:rPr>
              <w:t>100</w:t>
            </w:r>
          </w:p>
        </w:tc>
        <w:tc>
          <w:tcPr>
            <w:tcW w:w="1360" w:type="dxa"/>
            <w:vAlign w:val="center"/>
          </w:tcPr>
          <w:p>
            <w:pPr>
              <w:pStyle w:val="16"/>
              <w:rPr>
                <w:rFonts w:eastAsia="黑体"/>
                <w:szCs w:val="21"/>
                <w:lang w:val="en-GB"/>
              </w:rPr>
            </w:pPr>
            <w:r>
              <w:rPr>
                <w:rFonts w:eastAsia="黑体"/>
                <w:szCs w:val="21"/>
              </w:rPr>
              <w:t>B</w:t>
            </w:r>
          </w:p>
        </w:tc>
        <w:tc>
          <w:tcPr>
            <w:tcW w:w="4217" w:type="dxa"/>
            <w:vAlign w:val="center"/>
          </w:tcPr>
          <w:p>
            <w:pPr>
              <w:pStyle w:val="16"/>
              <w:jc w:val="both"/>
              <w:rPr>
                <w:rFonts w:eastAsia="黑体"/>
                <w:szCs w:val="21"/>
              </w:rPr>
            </w:pPr>
            <w:r>
              <w:rPr>
                <w:lang w:bidi="ar"/>
              </w:rPr>
              <w:t>课程目标</w:t>
            </w:r>
            <w:r>
              <w:rPr>
                <w:rFonts w:hint="eastAsia"/>
                <w:lang w:bidi="ar"/>
              </w:rPr>
              <w:t>1-5</w:t>
            </w:r>
            <w:r>
              <w:rPr>
                <w:lang w:bidi="ar"/>
              </w:rPr>
              <w:t>达成度=</w:t>
            </w:r>
            <w:r>
              <w:rPr>
                <w:rFonts w:hint="eastAsia"/>
                <w:lang w:val="en-US" w:eastAsia="zh-CN" w:bidi="ar"/>
              </w:rPr>
              <w:t xml:space="preserve"> </w:t>
            </w:r>
            <w:r>
              <w:rPr>
                <w:lang w:bidi="ar"/>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pPr>
              <w:pStyle w:val="16"/>
              <w:rPr>
                <w:rFonts w:eastAsia="黑体"/>
                <w:szCs w:val="21"/>
                <w:lang w:val="en-GB"/>
              </w:rPr>
            </w:pPr>
            <w:r>
              <w:rPr>
                <w:lang w:bidi="ar"/>
              </w:rPr>
              <w:t>课程总体目标</w:t>
            </w:r>
          </w:p>
        </w:tc>
        <w:tc>
          <w:tcPr>
            <w:tcW w:w="883" w:type="dxa"/>
            <w:vAlign w:val="center"/>
          </w:tcPr>
          <w:p>
            <w:pPr>
              <w:pStyle w:val="16"/>
              <w:jc w:val="left"/>
              <w:rPr>
                <w:rFonts w:eastAsia="黑体"/>
                <w:szCs w:val="21"/>
                <w:lang w:val="en-GB"/>
              </w:rPr>
            </w:pPr>
            <w:r>
              <w:rPr>
                <w:lang w:bidi="ar"/>
              </w:rPr>
              <w:t>总评成绩</w:t>
            </w:r>
          </w:p>
        </w:tc>
        <w:tc>
          <w:tcPr>
            <w:tcW w:w="1107" w:type="dxa"/>
            <w:vAlign w:val="center"/>
          </w:tcPr>
          <w:p>
            <w:pPr>
              <w:pStyle w:val="16"/>
              <w:rPr>
                <w:rFonts w:eastAsia="黑体"/>
                <w:szCs w:val="21"/>
              </w:rPr>
            </w:pPr>
            <w:r>
              <w:rPr>
                <w:rFonts w:eastAsia="黑体"/>
                <w:szCs w:val="21"/>
              </w:rPr>
              <w:t>100</w:t>
            </w:r>
          </w:p>
        </w:tc>
        <w:tc>
          <w:tcPr>
            <w:tcW w:w="1360" w:type="dxa"/>
            <w:vAlign w:val="center"/>
          </w:tcPr>
          <w:p>
            <w:pPr>
              <w:pStyle w:val="16"/>
              <w:rPr>
                <w:rFonts w:eastAsia="黑体"/>
                <w:szCs w:val="21"/>
                <w:lang w:val="en-GB"/>
              </w:rPr>
            </w:pPr>
            <w:r>
              <w:rPr>
                <w:rFonts w:ascii="Symbol" w:hAnsi="Symbol" w:cs="Symbol"/>
                <w:lang w:bidi="ar"/>
              </w:rPr>
              <w:t></w:t>
            </w:r>
            <w:r>
              <w:rPr>
                <w:rFonts w:ascii="Symbol" w:hAnsi="Symbol" w:cs="Symbol"/>
                <w:vertAlign w:val="subscript"/>
                <w:lang w:bidi="ar"/>
              </w:rPr>
              <w:t></w:t>
            </w:r>
            <w:r>
              <w:rPr>
                <w:i/>
                <w:iCs/>
                <w:lang w:bidi="ar"/>
              </w:rPr>
              <w:t xml:space="preserve">A </w:t>
            </w:r>
            <w:r>
              <w:rPr>
                <w:rFonts w:hint="eastAsia"/>
                <w:i/>
                <w:iCs/>
                <w:lang w:bidi="ar"/>
              </w:rPr>
              <w:t>+</w:t>
            </w:r>
            <w:r>
              <w:rPr>
                <w:rFonts w:ascii="Symbol" w:hAnsi="Symbol" w:cs="Symbol"/>
                <w:lang w:bidi="ar"/>
              </w:rPr>
              <w:t></w:t>
            </w:r>
            <w:r>
              <w:rPr>
                <w:rFonts w:hint="eastAsia" w:ascii="Symbol" w:hAnsi="Symbol" w:cs="Symbol"/>
                <w:vertAlign w:val="subscript"/>
                <w:lang w:bidi="ar"/>
              </w:rPr>
              <w:t>2</w:t>
            </w:r>
            <w:r>
              <w:rPr>
                <w:i/>
                <w:iCs/>
                <w:lang w:bidi="ar"/>
              </w:rPr>
              <w:t>B+</w:t>
            </w:r>
            <w:r>
              <w:rPr>
                <w:rFonts w:ascii="Symbol" w:hAnsi="Symbol" w:cs="Symbol"/>
                <w:lang w:bidi="ar"/>
              </w:rPr>
              <w:t></w:t>
            </w:r>
            <w:r>
              <w:rPr>
                <w:rFonts w:hint="eastAsia" w:ascii="Symbol" w:hAnsi="Symbol" w:cs="Symbol"/>
                <w:vertAlign w:val="subscript"/>
                <w:lang w:bidi="ar"/>
              </w:rPr>
              <w:t>3</w:t>
            </w:r>
            <w:r>
              <w:rPr>
                <w:i/>
                <w:iCs/>
                <w:lang w:bidi="ar"/>
              </w:rPr>
              <w:t>C</w:t>
            </w:r>
          </w:p>
        </w:tc>
        <w:tc>
          <w:tcPr>
            <w:tcW w:w="4217" w:type="dxa"/>
            <w:vAlign w:val="center"/>
          </w:tcPr>
          <w:p>
            <w:pPr>
              <w:pStyle w:val="16"/>
              <w:jc w:val="both"/>
            </w:pPr>
            <w:r>
              <w:t>课程总目标达成度</w:t>
            </w:r>
            <w:r>
              <w:rPr>
                <w:rFonts w:hint="eastAsia"/>
              </w:rPr>
              <w:t>=</w:t>
            </w:r>
            <w:r>
              <w:t>（</w:t>
            </w:r>
            <w:r>
              <w:rPr>
                <w:rFonts w:ascii="Symbol" w:hAnsi="Symbol" w:cs="Symbol"/>
                <w:lang w:bidi="ar"/>
              </w:rPr>
              <w:t></w:t>
            </w:r>
            <w:r>
              <w:rPr>
                <w:rFonts w:ascii="Symbol" w:hAnsi="Symbol" w:cs="Symbol"/>
                <w:vertAlign w:val="subscript"/>
                <w:lang w:bidi="ar"/>
              </w:rPr>
              <w:t></w:t>
            </w:r>
            <w:r>
              <w:t xml:space="preserve">A + </w:t>
            </w:r>
            <w:r>
              <w:rPr>
                <w:rFonts w:ascii="Symbol" w:hAnsi="Symbol" w:cs="Symbol"/>
                <w:lang w:bidi="ar"/>
              </w:rPr>
              <w:t></w:t>
            </w:r>
            <w:r>
              <w:rPr>
                <w:rFonts w:hint="eastAsia" w:ascii="Symbol" w:hAnsi="Symbol" w:cs="Symbol"/>
                <w:vertAlign w:val="subscript"/>
                <w:lang w:bidi="ar"/>
              </w:rPr>
              <w:t>2</w:t>
            </w:r>
            <w:r>
              <w:rPr>
                <w:rFonts w:ascii="Symbol" w:hAnsi="Symbol" w:cs="Symbol"/>
              </w:rPr>
              <w:t>B</w:t>
            </w:r>
            <w:r>
              <w:t xml:space="preserve"> + </w:t>
            </w:r>
            <w:r>
              <w:rPr>
                <w:rFonts w:ascii="Symbol" w:hAnsi="Symbol" w:cs="Symbol"/>
                <w:lang w:bidi="ar"/>
              </w:rPr>
              <w:t></w:t>
            </w:r>
            <w:r>
              <w:rPr>
                <w:rFonts w:hint="eastAsia" w:ascii="Symbol" w:hAnsi="Symbol" w:cs="Symbol"/>
                <w:vertAlign w:val="subscript"/>
                <w:lang w:bidi="ar"/>
              </w:rPr>
              <w:t>3</w:t>
            </w:r>
            <w:r>
              <w:t>C）/100</w:t>
            </w:r>
          </w:p>
        </w:tc>
      </w:tr>
    </w:tbl>
    <w:p>
      <w:pPr>
        <w:pStyle w:val="2"/>
        <w:spacing w:before="156" w:after="156"/>
        <w:ind w:firstLine="562"/>
        <w:rPr>
          <w:lang w:val="en-GB"/>
        </w:rPr>
      </w:pPr>
      <w:r>
        <w:rPr>
          <w:rFonts w:hint="eastAsia"/>
          <w:lang w:val="en-GB"/>
        </w:rPr>
        <w:t>八、安全教育</w:t>
      </w:r>
    </w:p>
    <w:p>
      <w:pPr>
        <w:tabs>
          <w:tab w:val="left" w:pos="-5670"/>
          <w:tab w:val="left" w:pos="-5245"/>
          <w:tab w:val="left" w:pos="1134"/>
        </w:tabs>
        <w:spacing w:before="156" w:beforeLines="50" w:after="156" w:afterLines="50"/>
        <w:ind w:firstLine="480"/>
        <w:rPr>
          <w:rFonts w:hint="eastAsia" w:ascii="仿宋" w:hAnsi="仿宋" w:eastAsia="仿宋"/>
          <w:color w:val="000000"/>
        </w:rPr>
      </w:pPr>
      <w:r>
        <w:rPr>
          <w:rFonts w:hint="eastAsia" w:ascii="仿宋" w:hAnsi="仿宋" w:eastAsia="仿宋"/>
          <w:color w:val="000000"/>
        </w:rPr>
        <w:t>《公差与互换性》为理论+实践课程，主要树立学生在从事机械设计相关工作和学习时，严格遵守标准的意识，通过课程教学与实践，培养学生养成严谨的工作作风，严把质量与安全的红线。</w:t>
      </w:r>
    </w:p>
    <w:p>
      <w:pPr>
        <w:pStyle w:val="2"/>
        <w:spacing w:before="156" w:after="156"/>
        <w:ind w:firstLine="562"/>
      </w:pPr>
      <w:r>
        <w:rPr>
          <w:rFonts w:hint="eastAsia"/>
          <w:lang w:val="en-GB"/>
        </w:rPr>
        <w:t>九、</w:t>
      </w:r>
      <w:r>
        <w:rPr>
          <w:rFonts w:hint="eastAsia"/>
        </w:rPr>
        <w:t>学习建议</w:t>
      </w:r>
    </w:p>
    <w:p>
      <w:pPr>
        <w:snapToGrid w:val="0"/>
        <w:spacing w:line="300" w:lineRule="auto"/>
        <w:ind w:firstLine="480"/>
        <w:rPr>
          <w:rFonts w:hint="eastAsia" w:ascii="仿宋" w:hAnsi="仿宋" w:eastAsia="仿宋"/>
        </w:rPr>
      </w:pPr>
      <w:r>
        <w:rPr>
          <w:rFonts w:ascii="仿宋" w:hAnsi="仿宋" w:eastAsia="仿宋"/>
        </w:rPr>
        <w:t xml:space="preserve">(1) </w:t>
      </w:r>
      <w:r>
        <w:rPr>
          <w:rFonts w:hint="eastAsia" w:ascii="仿宋" w:hAnsi="仿宋" w:eastAsia="仿宋"/>
        </w:rPr>
        <w:t>学习过程先复习</w:t>
      </w:r>
      <w:r>
        <w:rPr>
          <w:rFonts w:hint="eastAsia"/>
        </w:rPr>
        <w:t>画法几何与机械制图、机械原理、机械设计</w:t>
      </w:r>
      <w:r>
        <w:rPr>
          <w:rFonts w:hint="eastAsia" w:ascii="仿宋" w:hAnsi="仿宋" w:eastAsia="仿宋"/>
        </w:rPr>
        <w:t>等机械专业基础课程，对相关术语与机械结构进行回顾。</w:t>
      </w:r>
    </w:p>
    <w:p>
      <w:pPr>
        <w:snapToGrid w:val="0"/>
        <w:spacing w:line="300" w:lineRule="auto"/>
        <w:ind w:firstLine="480"/>
        <w:rPr>
          <w:rFonts w:hint="eastAsia" w:ascii="仿宋" w:hAnsi="仿宋" w:eastAsia="仿宋"/>
        </w:rPr>
      </w:pPr>
      <w:r>
        <w:rPr>
          <w:rFonts w:ascii="仿宋" w:hAnsi="仿宋" w:eastAsia="仿宋"/>
        </w:rPr>
        <w:t xml:space="preserve">(2) </w:t>
      </w:r>
      <w:r>
        <w:rPr>
          <w:rFonts w:hint="eastAsia" w:ascii="仿宋" w:hAnsi="仿宋" w:eastAsia="仿宋"/>
        </w:rPr>
        <w:t>课下及时完成作业练习；</w:t>
      </w:r>
    </w:p>
    <w:p>
      <w:pPr>
        <w:snapToGrid w:val="0"/>
        <w:spacing w:line="300" w:lineRule="auto"/>
        <w:ind w:firstLine="480"/>
        <w:rPr>
          <w:rFonts w:hint="eastAsia" w:ascii="仿宋" w:hAnsi="仿宋" w:eastAsia="仿宋"/>
        </w:rPr>
      </w:pPr>
      <w:r>
        <w:rPr>
          <w:rFonts w:ascii="仿宋" w:hAnsi="仿宋" w:eastAsia="仿宋"/>
        </w:rPr>
        <w:t xml:space="preserve">(3) </w:t>
      </w:r>
      <w:r>
        <w:rPr>
          <w:rFonts w:hint="eastAsia" w:ascii="仿宋" w:hAnsi="仿宋" w:eastAsia="仿宋"/>
        </w:rPr>
        <w:t>充分利用好网络学习资源，不断加强在工作中熟练应用公差与互换性知识的能力。</w:t>
      </w:r>
    </w:p>
    <w:p>
      <w:pPr>
        <w:pStyle w:val="2"/>
        <w:spacing w:before="156" w:after="156"/>
        <w:ind w:firstLine="562"/>
        <w:rPr>
          <w:lang w:val="en-GB"/>
        </w:rPr>
      </w:pPr>
      <w:r>
        <w:rPr>
          <w:rFonts w:hint="eastAsia"/>
        </w:rPr>
        <w:t>十</w:t>
      </w:r>
      <w:r>
        <w:rPr>
          <w:rFonts w:hint="eastAsia"/>
          <w:lang w:val="en-GB"/>
        </w:rPr>
        <w:t>、教材与参考书</w:t>
      </w:r>
    </w:p>
    <w:p>
      <w:pPr>
        <w:pStyle w:val="3"/>
      </w:pPr>
      <w:r>
        <w:rPr>
          <w:rFonts w:hint="eastAsia"/>
        </w:rPr>
        <w:t>（一）教材</w:t>
      </w:r>
    </w:p>
    <w:tbl>
      <w:tblPr>
        <w:tblStyle w:val="7"/>
        <w:tblW w:w="0" w:type="auto"/>
        <w:tblInd w:w="0" w:type="dxa"/>
        <w:tblLayout w:type="autofit"/>
        <w:tblCellMar>
          <w:top w:w="0" w:type="dxa"/>
          <w:left w:w="108" w:type="dxa"/>
          <w:bottom w:w="0" w:type="dxa"/>
          <w:right w:w="108" w:type="dxa"/>
        </w:tblCellMar>
      </w:tblPr>
      <w:tblGrid>
        <w:gridCol w:w="1838"/>
        <w:gridCol w:w="851"/>
        <w:gridCol w:w="742"/>
        <w:gridCol w:w="598"/>
        <w:gridCol w:w="1520"/>
        <w:gridCol w:w="1912"/>
        <w:gridCol w:w="1543"/>
      </w:tblGrid>
      <w:tr>
        <w:tblPrEx>
          <w:tblCellMar>
            <w:top w:w="0" w:type="dxa"/>
            <w:left w:w="108" w:type="dxa"/>
            <w:bottom w:w="0" w:type="dxa"/>
            <w:right w:w="108" w:type="dxa"/>
          </w:tblCellMar>
        </w:tblPrEx>
        <w:trPr>
          <w:trHeight w:val="55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教材名称</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19"/>
                <w:rFonts w:hint="default" w:ascii="Times New Roman" w:hAnsi="Times New Roman" w:eastAsia="仿宋" w:cstheme="minorBidi"/>
                <w:color w:val="auto"/>
                <w:sz w:val="24"/>
                <w:szCs w:val="22"/>
              </w:rPr>
              <w:t>版次</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20"/>
                <w:rFonts w:hint="default" w:ascii="Times New Roman" w:hAnsi="Times New Roman" w:eastAsia="仿宋" w:cstheme="minorBidi"/>
                <w:color w:val="auto"/>
                <w:sz w:val="24"/>
                <w:szCs w:val="22"/>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作者</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出版社</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20"/>
                <w:rFonts w:hint="default" w:ascii="Times New Roman" w:hAnsi="Times New Roman" w:eastAsia="仿宋" w:cstheme="minorBidi"/>
                <w:color w:val="auto"/>
                <w:sz w:val="24"/>
                <w:szCs w:val="22"/>
              </w:rPr>
              <w:t>教材级别</w:t>
            </w:r>
          </w:p>
        </w:tc>
      </w:tr>
      <w:tr>
        <w:tblPrEx>
          <w:tblCellMar>
            <w:top w:w="0" w:type="dxa"/>
            <w:left w:w="108" w:type="dxa"/>
            <w:bottom w:w="0" w:type="dxa"/>
            <w:right w:w="108" w:type="dxa"/>
          </w:tblCellMar>
        </w:tblPrEx>
        <w:trPr>
          <w:trHeight w:val="49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机械精度设计与检测</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第3版</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2015</w:t>
            </w:r>
            <w: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陈晓华</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中国质检出版社</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9787502641061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“十二五”普通高等教育划教材</w:t>
            </w:r>
          </w:p>
        </w:tc>
      </w:tr>
    </w:tbl>
    <w:p>
      <w:pPr>
        <w:pStyle w:val="3"/>
      </w:pPr>
      <w:r>
        <w:rPr>
          <w:rFonts w:hint="eastAsia"/>
        </w:rPr>
        <w:t>（二）参考书目或文献</w:t>
      </w:r>
    </w:p>
    <w:tbl>
      <w:tblPr>
        <w:tblStyle w:val="7"/>
        <w:tblW w:w="0" w:type="auto"/>
        <w:tblInd w:w="0" w:type="dxa"/>
        <w:tblLayout w:type="autofit"/>
        <w:tblCellMar>
          <w:top w:w="0" w:type="dxa"/>
          <w:left w:w="108" w:type="dxa"/>
          <w:bottom w:w="0" w:type="dxa"/>
          <w:right w:w="108" w:type="dxa"/>
        </w:tblCellMar>
      </w:tblPr>
      <w:tblGrid>
        <w:gridCol w:w="1838"/>
        <w:gridCol w:w="851"/>
        <w:gridCol w:w="742"/>
        <w:gridCol w:w="862"/>
        <w:gridCol w:w="1520"/>
        <w:gridCol w:w="1912"/>
        <w:gridCol w:w="1279"/>
      </w:tblGrid>
      <w:tr>
        <w:tblPrEx>
          <w:tblCellMar>
            <w:top w:w="0" w:type="dxa"/>
            <w:left w:w="108" w:type="dxa"/>
            <w:bottom w:w="0" w:type="dxa"/>
            <w:right w:w="108" w:type="dxa"/>
          </w:tblCellMar>
        </w:tblPrEx>
        <w:trPr>
          <w:trHeight w:val="55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教材名称</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19"/>
                <w:rFonts w:hint="default" w:ascii="Times New Roman" w:hAnsi="Times New Roman" w:eastAsia="仿宋" w:cstheme="minorBidi"/>
                <w:color w:val="auto"/>
                <w:sz w:val="24"/>
                <w:szCs w:val="22"/>
              </w:rPr>
              <w:t>版次</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20"/>
                <w:rFonts w:hint="default" w:ascii="Times New Roman" w:hAnsi="Times New Roman" w:eastAsia="仿宋" w:cstheme="minorBidi"/>
                <w:color w:val="auto"/>
                <w:sz w:val="24"/>
                <w:szCs w:val="22"/>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作者</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出版社</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Fonts w:hint="eastAsia"/>
                <w:b/>
                <w:bCs/>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rPr>
                <w:b/>
                <w:bCs/>
              </w:rPr>
            </w:pPr>
            <w:r>
              <w:rPr>
                <w:rStyle w:val="20"/>
                <w:rFonts w:hint="default" w:ascii="Times New Roman" w:hAnsi="Times New Roman" w:eastAsia="仿宋" w:cstheme="minorBidi"/>
                <w:color w:val="auto"/>
                <w:sz w:val="24"/>
                <w:szCs w:val="22"/>
              </w:rPr>
              <w:t>教材级别</w:t>
            </w:r>
          </w:p>
        </w:tc>
      </w:tr>
      <w:tr>
        <w:tblPrEx>
          <w:tblCellMar>
            <w:top w:w="0" w:type="dxa"/>
            <w:left w:w="108" w:type="dxa"/>
            <w:bottom w:w="0" w:type="dxa"/>
            <w:right w:w="108" w:type="dxa"/>
          </w:tblCellMar>
        </w:tblPrEx>
        <w:trPr>
          <w:trHeight w:val="49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互换性与测量技术</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第2版</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2022</w:t>
            </w:r>
            <w: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胡业发，张宏主编</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机械工业出版社</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9787111706441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普通高等教育“十二五”卓越工程能力培养规划教材</w:t>
            </w:r>
          </w:p>
        </w:tc>
      </w:tr>
      <w:tr>
        <w:tblPrEx>
          <w:tblCellMar>
            <w:top w:w="0" w:type="dxa"/>
            <w:left w:w="108" w:type="dxa"/>
            <w:bottom w:w="0" w:type="dxa"/>
            <w:right w:w="108" w:type="dxa"/>
          </w:tblCellMar>
        </w:tblPrEx>
        <w:trPr>
          <w:trHeight w:val="49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互换性与测量技术</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第2</w:t>
            </w:r>
            <w:r>
              <w:t>版</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2018</w:t>
            </w:r>
            <w: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张铁，李旻主编</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清华大学出版社</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t>9787302518754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pPr>
            <w:r>
              <w:rPr>
                <w:rFonts w:hint="eastAsia"/>
              </w:rPr>
              <w:t>中国机械工程学科教程配套系列教材</w:t>
            </w:r>
          </w:p>
        </w:tc>
      </w:tr>
    </w:tbl>
    <w:p>
      <w:pPr>
        <w:ind w:firstLine="482"/>
        <w:rPr>
          <w:b/>
          <w:bCs/>
        </w:rPr>
      </w:pPr>
      <w:r>
        <w:rPr>
          <w:rFonts w:hint="eastAsia"/>
          <w:b/>
          <w:bCs/>
          <w:lang w:val="en-GB"/>
        </w:rPr>
        <w:t>3、</w:t>
      </w:r>
      <w:r>
        <w:rPr>
          <w:b/>
          <w:bCs/>
        </w:rPr>
        <w:t>其他学习资源</w:t>
      </w:r>
    </w:p>
    <w:tbl>
      <w:tblPr>
        <w:tblStyle w:val="8"/>
        <w:tblpPr w:leftFromText="180" w:rightFromText="180" w:vertAnchor="text" w:horzAnchor="margin" w:tblpY="66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69"/>
        <w:gridCol w:w="3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926" w:type="pct"/>
            <w:vAlign w:val="center"/>
          </w:tcPr>
          <w:p>
            <w:pPr>
              <w:ind w:firstLine="480"/>
              <w:rPr>
                <w:rFonts w:hint="eastAsia" w:ascii="黑体" w:hAnsi="黑体" w:eastAsia="黑体"/>
                <w:szCs w:val="21"/>
                <w:lang w:val="en-GB"/>
              </w:rPr>
            </w:pPr>
          </w:p>
        </w:tc>
        <w:tc>
          <w:tcPr>
            <w:tcW w:w="2074" w:type="pct"/>
            <w:vAlign w:val="center"/>
          </w:tcPr>
          <w:p>
            <w:pPr>
              <w:ind w:firstLine="0" w:firstLineChars="0"/>
              <w:rPr>
                <w:rFonts w:hint="eastAsia" w:ascii="黑体" w:hAnsi="黑体" w:eastAsia="黑体"/>
                <w:szCs w:val="21"/>
                <w:lang w:val="en-GB"/>
              </w:rPr>
            </w:pPr>
            <w:r>
              <w:rPr>
                <w:rFonts w:hint="eastAsia" w:ascii="仿宋" w:hAnsi="仿宋" w:eastAsia="仿宋"/>
                <w:szCs w:val="21"/>
                <w:lang w:val="en-GB"/>
              </w:rPr>
              <w:t>制定人：储开宇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926" w:type="pct"/>
            <w:vAlign w:val="center"/>
          </w:tcPr>
          <w:p>
            <w:pPr>
              <w:ind w:firstLine="480"/>
              <w:rPr>
                <w:rFonts w:hint="eastAsia" w:ascii="黑体" w:hAnsi="黑体" w:eastAsia="黑体"/>
                <w:szCs w:val="21"/>
                <w:lang w:val="en-GB"/>
              </w:rPr>
            </w:pPr>
          </w:p>
        </w:tc>
        <w:tc>
          <w:tcPr>
            <w:tcW w:w="2074" w:type="pct"/>
            <w:vAlign w:val="center"/>
          </w:tcPr>
          <w:p>
            <w:pPr>
              <w:ind w:firstLine="0" w:firstLineChars="0"/>
              <w:rPr>
                <w:rFonts w:hint="eastAsia" w:ascii="仿宋" w:hAnsi="仿宋" w:eastAsia="仿宋"/>
                <w:szCs w:val="21"/>
                <w:lang w:val="en-GB"/>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926" w:type="pct"/>
            <w:vAlign w:val="center"/>
          </w:tcPr>
          <w:p>
            <w:pPr>
              <w:ind w:firstLine="480"/>
              <w:rPr>
                <w:rFonts w:hint="eastAsia" w:ascii="黑体" w:hAnsi="黑体" w:eastAsia="黑体"/>
                <w:szCs w:val="21"/>
                <w:lang w:val="en-GB"/>
              </w:rPr>
            </w:pPr>
          </w:p>
        </w:tc>
        <w:tc>
          <w:tcPr>
            <w:tcW w:w="2074" w:type="pct"/>
            <w:vAlign w:val="center"/>
          </w:tcPr>
          <w:p>
            <w:pPr>
              <w:ind w:firstLine="0" w:firstLineChars="0"/>
              <w:rPr>
                <w:rFonts w:hint="eastAsia"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rPr>
              <w:t>4</w:t>
            </w:r>
            <w:r>
              <w:rPr>
                <w:rFonts w:hint="eastAsia" w:ascii="仿宋" w:hAnsi="仿宋" w:eastAsia="仿宋"/>
                <w:szCs w:val="21"/>
                <w:lang w:val="en-GB"/>
              </w:rPr>
              <w:t>年</w:t>
            </w:r>
            <w:r>
              <w:rPr>
                <w:rFonts w:hint="eastAsia" w:ascii="仿宋" w:hAnsi="仿宋" w:eastAsia="仿宋"/>
                <w:szCs w:val="21"/>
              </w:rPr>
              <w:t>6</w:t>
            </w:r>
            <w:r>
              <w:rPr>
                <w:rFonts w:hint="eastAsia" w:ascii="仿宋" w:hAnsi="仿宋" w:eastAsia="仿宋"/>
                <w:szCs w:val="21"/>
                <w:lang w:val="en-GB"/>
              </w:rPr>
              <w:t>月</w:t>
            </w:r>
          </w:p>
        </w:tc>
      </w:tr>
    </w:tbl>
    <w:p>
      <w:pPr>
        <w:ind w:firstLine="480"/>
      </w:pPr>
      <w:r>
        <w:rPr>
          <w:rFonts w:hint="eastAsia"/>
        </w:rPr>
        <w:t>大学慕课mooc</w:t>
      </w:r>
    </w:p>
    <w:sectPr>
      <w:footerReference r:id="rId5" w:type="default"/>
      <w:pgSz w:w="11906" w:h="16838"/>
      <w:pgMar w:top="1440" w:right="1417"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6207729"/>
    </w:sdtPr>
    <w:sdtContent>
      <w:p>
        <w:pPr>
          <w:pStyle w:val="5"/>
          <w:ind w:firstLine="360"/>
          <w:jc w:val="center"/>
        </w:pPr>
        <w:r>
          <w:fldChar w:fldCharType="begin"/>
        </w:r>
        <w:r>
          <w:instrText xml:space="preserve">PAGE   \* MERGEFORMAT</w:instrText>
        </w:r>
        <w:r>
          <w:fldChar w:fldCharType="separate"/>
        </w:r>
        <w:r>
          <w:rPr>
            <w:lang w:val="zh-CN"/>
          </w:rPr>
          <w:t>2</w:t>
        </w:r>
        <w:r>
          <w:fldChar w:fldCharType="end"/>
        </w:r>
      </w:p>
    </w:sdtContent>
  </w:sdt>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0BC67B7"/>
    <w:rsid w:val="000012F6"/>
    <w:rsid w:val="00007A3D"/>
    <w:rsid w:val="0002163E"/>
    <w:rsid w:val="000222D2"/>
    <w:rsid w:val="000225C6"/>
    <w:rsid w:val="00024024"/>
    <w:rsid w:val="000505FC"/>
    <w:rsid w:val="00050806"/>
    <w:rsid w:val="00063270"/>
    <w:rsid w:val="00064FAB"/>
    <w:rsid w:val="00081627"/>
    <w:rsid w:val="00096978"/>
    <w:rsid w:val="00097821"/>
    <w:rsid w:val="000A206D"/>
    <w:rsid w:val="000A6985"/>
    <w:rsid w:val="000A75B6"/>
    <w:rsid w:val="000B586C"/>
    <w:rsid w:val="000D1497"/>
    <w:rsid w:val="000E3D42"/>
    <w:rsid w:val="000E7B45"/>
    <w:rsid w:val="000F1964"/>
    <w:rsid w:val="000F34B1"/>
    <w:rsid w:val="000F3B78"/>
    <w:rsid w:val="000F531F"/>
    <w:rsid w:val="00107891"/>
    <w:rsid w:val="0011028A"/>
    <w:rsid w:val="00120828"/>
    <w:rsid w:val="0012261C"/>
    <w:rsid w:val="0012350D"/>
    <w:rsid w:val="00135B87"/>
    <w:rsid w:val="00140108"/>
    <w:rsid w:val="00142CA1"/>
    <w:rsid w:val="00152FF0"/>
    <w:rsid w:val="00157375"/>
    <w:rsid w:val="00164A0A"/>
    <w:rsid w:val="001753DB"/>
    <w:rsid w:val="001764A2"/>
    <w:rsid w:val="00191AC2"/>
    <w:rsid w:val="001A0F38"/>
    <w:rsid w:val="001A2471"/>
    <w:rsid w:val="001C7304"/>
    <w:rsid w:val="001D3504"/>
    <w:rsid w:val="001E1D14"/>
    <w:rsid w:val="001E44EF"/>
    <w:rsid w:val="001E6A37"/>
    <w:rsid w:val="001E7080"/>
    <w:rsid w:val="00210D3F"/>
    <w:rsid w:val="00213E0A"/>
    <w:rsid w:val="00216075"/>
    <w:rsid w:val="00224556"/>
    <w:rsid w:val="00224CDE"/>
    <w:rsid w:val="00232D6E"/>
    <w:rsid w:val="002342D8"/>
    <w:rsid w:val="002376A3"/>
    <w:rsid w:val="0024262F"/>
    <w:rsid w:val="002626E5"/>
    <w:rsid w:val="0028273B"/>
    <w:rsid w:val="00290E99"/>
    <w:rsid w:val="002940F0"/>
    <w:rsid w:val="002A0C1A"/>
    <w:rsid w:val="002A408B"/>
    <w:rsid w:val="002D4898"/>
    <w:rsid w:val="002E3ECA"/>
    <w:rsid w:val="002F257A"/>
    <w:rsid w:val="002F7478"/>
    <w:rsid w:val="00301FA0"/>
    <w:rsid w:val="003066C2"/>
    <w:rsid w:val="00312ED9"/>
    <w:rsid w:val="00316D6E"/>
    <w:rsid w:val="00323C78"/>
    <w:rsid w:val="00331BD3"/>
    <w:rsid w:val="00347821"/>
    <w:rsid w:val="00367F49"/>
    <w:rsid w:val="003753AB"/>
    <w:rsid w:val="003954D6"/>
    <w:rsid w:val="00397C67"/>
    <w:rsid w:val="003B15CF"/>
    <w:rsid w:val="003B38A8"/>
    <w:rsid w:val="003C2033"/>
    <w:rsid w:val="003C358E"/>
    <w:rsid w:val="003C57BA"/>
    <w:rsid w:val="003E2190"/>
    <w:rsid w:val="0040155C"/>
    <w:rsid w:val="00405367"/>
    <w:rsid w:val="00410749"/>
    <w:rsid w:val="00410A74"/>
    <w:rsid w:val="0041659A"/>
    <w:rsid w:val="0042597A"/>
    <w:rsid w:val="0043026A"/>
    <w:rsid w:val="004570C3"/>
    <w:rsid w:val="00457D3B"/>
    <w:rsid w:val="00464C96"/>
    <w:rsid w:val="004721C6"/>
    <w:rsid w:val="00476224"/>
    <w:rsid w:val="00480E5B"/>
    <w:rsid w:val="004874F4"/>
    <w:rsid w:val="004904BB"/>
    <w:rsid w:val="004A0FBE"/>
    <w:rsid w:val="004A4A83"/>
    <w:rsid w:val="004A514A"/>
    <w:rsid w:val="004C3A3A"/>
    <w:rsid w:val="004C4578"/>
    <w:rsid w:val="004C4F8B"/>
    <w:rsid w:val="004C62F2"/>
    <w:rsid w:val="004E09C9"/>
    <w:rsid w:val="004E1B86"/>
    <w:rsid w:val="004E2539"/>
    <w:rsid w:val="004F230A"/>
    <w:rsid w:val="005028CC"/>
    <w:rsid w:val="00503321"/>
    <w:rsid w:val="00534749"/>
    <w:rsid w:val="0053526B"/>
    <w:rsid w:val="005439DA"/>
    <w:rsid w:val="005466C4"/>
    <w:rsid w:val="00571584"/>
    <w:rsid w:val="00577F32"/>
    <w:rsid w:val="00584464"/>
    <w:rsid w:val="0059727D"/>
    <w:rsid w:val="005A2D7B"/>
    <w:rsid w:val="005C0AEB"/>
    <w:rsid w:val="005C2583"/>
    <w:rsid w:val="005D0EB7"/>
    <w:rsid w:val="005D55D3"/>
    <w:rsid w:val="005D7033"/>
    <w:rsid w:val="005E2877"/>
    <w:rsid w:val="005F40E2"/>
    <w:rsid w:val="0060338A"/>
    <w:rsid w:val="00603934"/>
    <w:rsid w:val="00607927"/>
    <w:rsid w:val="00607D70"/>
    <w:rsid w:val="00613316"/>
    <w:rsid w:val="00613396"/>
    <w:rsid w:val="006177D4"/>
    <w:rsid w:val="00620730"/>
    <w:rsid w:val="006230CE"/>
    <w:rsid w:val="00626821"/>
    <w:rsid w:val="00637EF0"/>
    <w:rsid w:val="00646053"/>
    <w:rsid w:val="00661093"/>
    <w:rsid w:val="006713CC"/>
    <w:rsid w:val="006802FC"/>
    <w:rsid w:val="0069571D"/>
    <w:rsid w:val="00695B84"/>
    <w:rsid w:val="00696E5C"/>
    <w:rsid w:val="006A5CB0"/>
    <w:rsid w:val="006C19CF"/>
    <w:rsid w:val="006E3C90"/>
    <w:rsid w:val="006E6047"/>
    <w:rsid w:val="006E61EC"/>
    <w:rsid w:val="006F22B1"/>
    <w:rsid w:val="007228F2"/>
    <w:rsid w:val="00725486"/>
    <w:rsid w:val="00741175"/>
    <w:rsid w:val="007430B6"/>
    <w:rsid w:val="007512F6"/>
    <w:rsid w:val="00753477"/>
    <w:rsid w:val="00784BB5"/>
    <w:rsid w:val="00791422"/>
    <w:rsid w:val="007937E3"/>
    <w:rsid w:val="00797197"/>
    <w:rsid w:val="007A25CB"/>
    <w:rsid w:val="007A3624"/>
    <w:rsid w:val="007C1EBB"/>
    <w:rsid w:val="007D1E51"/>
    <w:rsid w:val="007D34CF"/>
    <w:rsid w:val="007E37D9"/>
    <w:rsid w:val="007E7088"/>
    <w:rsid w:val="007F2C4C"/>
    <w:rsid w:val="007F680A"/>
    <w:rsid w:val="007F7A70"/>
    <w:rsid w:val="00807D2F"/>
    <w:rsid w:val="00814BC8"/>
    <w:rsid w:val="00817338"/>
    <w:rsid w:val="00846B4E"/>
    <w:rsid w:val="00857636"/>
    <w:rsid w:val="00857C94"/>
    <w:rsid w:val="00867BE2"/>
    <w:rsid w:val="0087104A"/>
    <w:rsid w:val="008846BC"/>
    <w:rsid w:val="00890FDB"/>
    <w:rsid w:val="008A41F6"/>
    <w:rsid w:val="008A69DF"/>
    <w:rsid w:val="008B5CCB"/>
    <w:rsid w:val="008C3341"/>
    <w:rsid w:val="008E0297"/>
    <w:rsid w:val="008E4046"/>
    <w:rsid w:val="008E5A7E"/>
    <w:rsid w:val="008F46EA"/>
    <w:rsid w:val="008F5A53"/>
    <w:rsid w:val="00903624"/>
    <w:rsid w:val="00926B18"/>
    <w:rsid w:val="00946A20"/>
    <w:rsid w:val="00947B78"/>
    <w:rsid w:val="00962475"/>
    <w:rsid w:val="009631F6"/>
    <w:rsid w:val="00970FC4"/>
    <w:rsid w:val="009823A0"/>
    <w:rsid w:val="00990883"/>
    <w:rsid w:val="00992EA1"/>
    <w:rsid w:val="009A7D33"/>
    <w:rsid w:val="009B3F4E"/>
    <w:rsid w:val="009C135F"/>
    <w:rsid w:val="009D4283"/>
    <w:rsid w:val="009D43BB"/>
    <w:rsid w:val="009F74F7"/>
    <w:rsid w:val="00A222CE"/>
    <w:rsid w:val="00A52B28"/>
    <w:rsid w:val="00A5411F"/>
    <w:rsid w:val="00A639D1"/>
    <w:rsid w:val="00A65CD2"/>
    <w:rsid w:val="00A74F54"/>
    <w:rsid w:val="00A869CB"/>
    <w:rsid w:val="00A93E4B"/>
    <w:rsid w:val="00A95C06"/>
    <w:rsid w:val="00AB02CE"/>
    <w:rsid w:val="00AB6D61"/>
    <w:rsid w:val="00AB7E60"/>
    <w:rsid w:val="00AC5BFF"/>
    <w:rsid w:val="00AD383F"/>
    <w:rsid w:val="00AD3D23"/>
    <w:rsid w:val="00AD4E6D"/>
    <w:rsid w:val="00AE0F00"/>
    <w:rsid w:val="00AE243A"/>
    <w:rsid w:val="00AF269A"/>
    <w:rsid w:val="00B012E1"/>
    <w:rsid w:val="00B03799"/>
    <w:rsid w:val="00B041B7"/>
    <w:rsid w:val="00B10112"/>
    <w:rsid w:val="00B3682A"/>
    <w:rsid w:val="00B36916"/>
    <w:rsid w:val="00B87279"/>
    <w:rsid w:val="00BA17C9"/>
    <w:rsid w:val="00BC67B7"/>
    <w:rsid w:val="00BD7624"/>
    <w:rsid w:val="00C11B02"/>
    <w:rsid w:val="00C15464"/>
    <w:rsid w:val="00C25C32"/>
    <w:rsid w:val="00C42886"/>
    <w:rsid w:val="00C450FB"/>
    <w:rsid w:val="00C50494"/>
    <w:rsid w:val="00C51E83"/>
    <w:rsid w:val="00C67709"/>
    <w:rsid w:val="00C84427"/>
    <w:rsid w:val="00C978D0"/>
    <w:rsid w:val="00CA4EBC"/>
    <w:rsid w:val="00CB5C80"/>
    <w:rsid w:val="00CD03E8"/>
    <w:rsid w:val="00CE1C18"/>
    <w:rsid w:val="00CF0E4E"/>
    <w:rsid w:val="00D1344C"/>
    <w:rsid w:val="00D137B5"/>
    <w:rsid w:val="00D173E5"/>
    <w:rsid w:val="00D2634B"/>
    <w:rsid w:val="00D352B2"/>
    <w:rsid w:val="00D400E1"/>
    <w:rsid w:val="00D65782"/>
    <w:rsid w:val="00D738D4"/>
    <w:rsid w:val="00D769CC"/>
    <w:rsid w:val="00D816BB"/>
    <w:rsid w:val="00D81961"/>
    <w:rsid w:val="00D8667E"/>
    <w:rsid w:val="00DA6167"/>
    <w:rsid w:val="00DB7506"/>
    <w:rsid w:val="00DC10CC"/>
    <w:rsid w:val="00DC165C"/>
    <w:rsid w:val="00DC2CF1"/>
    <w:rsid w:val="00DF0653"/>
    <w:rsid w:val="00DF3FEB"/>
    <w:rsid w:val="00E00990"/>
    <w:rsid w:val="00E05B06"/>
    <w:rsid w:val="00E10ABD"/>
    <w:rsid w:val="00E14173"/>
    <w:rsid w:val="00E14A82"/>
    <w:rsid w:val="00E23736"/>
    <w:rsid w:val="00E26166"/>
    <w:rsid w:val="00E324F7"/>
    <w:rsid w:val="00E53C11"/>
    <w:rsid w:val="00E6041B"/>
    <w:rsid w:val="00E64372"/>
    <w:rsid w:val="00E73909"/>
    <w:rsid w:val="00E816B4"/>
    <w:rsid w:val="00E868CC"/>
    <w:rsid w:val="00E97447"/>
    <w:rsid w:val="00EA1986"/>
    <w:rsid w:val="00EA66BF"/>
    <w:rsid w:val="00EB7E26"/>
    <w:rsid w:val="00EE4894"/>
    <w:rsid w:val="00EE48AF"/>
    <w:rsid w:val="00EF028A"/>
    <w:rsid w:val="00EF40DA"/>
    <w:rsid w:val="00F03488"/>
    <w:rsid w:val="00F07993"/>
    <w:rsid w:val="00F1749D"/>
    <w:rsid w:val="00F32802"/>
    <w:rsid w:val="00F3319E"/>
    <w:rsid w:val="00F52F38"/>
    <w:rsid w:val="00F9285C"/>
    <w:rsid w:val="00FA70BB"/>
    <w:rsid w:val="00FE4593"/>
    <w:rsid w:val="00FE6015"/>
    <w:rsid w:val="00FF7BD5"/>
    <w:rsid w:val="02BE7E99"/>
    <w:rsid w:val="0D67775B"/>
    <w:rsid w:val="0E5363C0"/>
    <w:rsid w:val="19181A3A"/>
    <w:rsid w:val="19515BF5"/>
    <w:rsid w:val="1E1E54FA"/>
    <w:rsid w:val="316C3B16"/>
    <w:rsid w:val="3E7F74BD"/>
    <w:rsid w:val="3F135889"/>
    <w:rsid w:val="60883EF9"/>
    <w:rsid w:val="72BB34C4"/>
    <w:rsid w:val="738E4A43"/>
    <w:rsid w:val="74373B73"/>
    <w:rsid w:val="76297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heme="minorBidi"/>
      <w:kern w:val="2"/>
      <w:sz w:val="24"/>
      <w:szCs w:val="22"/>
      <w:lang w:val="en-US" w:eastAsia="zh-CN" w:bidi="ar-SA"/>
    </w:rPr>
  </w:style>
  <w:style w:type="paragraph" w:styleId="2">
    <w:name w:val="heading 1"/>
    <w:basedOn w:val="1"/>
    <w:next w:val="1"/>
    <w:link w:val="15"/>
    <w:qFormat/>
    <w:uiPriority w:val="9"/>
    <w:pPr>
      <w:keepNext/>
      <w:keepLines/>
      <w:spacing w:before="50" w:beforeLines="50" w:after="50" w:afterLines="50"/>
      <w:jc w:val="left"/>
      <w:outlineLvl w:val="0"/>
    </w:pPr>
    <w:rPr>
      <w:rFonts w:eastAsia="黑体"/>
      <w:b/>
      <w:bCs/>
      <w:kern w:val="44"/>
      <w:sz w:val="28"/>
      <w:szCs w:val="44"/>
    </w:rPr>
  </w:style>
  <w:style w:type="paragraph" w:styleId="3">
    <w:name w:val="heading 2"/>
    <w:basedOn w:val="1"/>
    <w:next w:val="1"/>
    <w:link w:val="18"/>
    <w:unhideWhenUsed/>
    <w:qFormat/>
    <w:uiPriority w:val="9"/>
    <w:pPr>
      <w:keepNext/>
      <w:keepLines/>
      <w:ind w:firstLine="482"/>
      <w:outlineLvl w:val="1"/>
    </w:pPr>
    <w:rPr>
      <w:rFonts w:ascii="仿宋_GB2312" w:cs="Times New Roman" w:hAnsiTheme="majorHAnsi"/>
      <w:b/>
      <w:bCs/>
      <w:szCs w:val="2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批注框文本 字符"/>
    <w:basedOn w:val="9"/>
    <w:link w:val="4"/>
    <w:semiHidden/>
    <w:qFormat/>
    <w:uiPriority w:val="99"/>
    <w:rPr>
      <w:sz w:val="18"/>
      <w:szCs w:val="18"/>
    </w:rPr>
  </w:style>
  <w:style w:type="paragraph" w:styleId="13">
    <w:name w:val="List Paragraph"/>
    <w:basedOn w:val="1"/>
    <w:qFormat/>
    <w:uiPriority w:val="34"/>
    <w:pPr>
      <w:ind w:firstLine="420"/>
    </w:pPr>
  </w:style>
  <w:style w:type="table" w:customStyle="1" w:styleId="14">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1 字符"/>
    <w:basedOn w:val="9"/>
    <w:link w:val="2"/>
    <w:uiPriority w:val="9"/>
    <w:rPr>
      <w:rFonts w:eastAsia="黑体" w:cstheme="minorBidi"/>
      <w:b/>
      <w:bCs/>
      <w:kern w:val="44"/>
      <w:sz w:val="28"/>
      <w:szCs w:val="44"/>
    </w:rPr>
  </w:style>
  <w:style w:type="paragraph" w:customStyle="1" w:styleId="16">
    <w:name w:val="图表正文"/>
    <w:basedOn w:val="1"/>
    <w:link w:val="17"/>
    <w:qFormat/>
    <w:uiPriority w:val="0"/>
    <w:pPr>
      <w:spacing w:line="240" w:lineRule="auto"/>
      <w:ind w:firstLine="0" w:firstLineChars="0"/>
      <w:jc w:val="center"/>
    </w:pPr>
    <w:rPr>
      <w:rFonts w:eastAsia="仿宋"/>
    </w:rPr>
  </w:style>
  <w:style w:type="character" w:customStyle="1" w:styleId="17">
    <w:name w:val="图表正文 字符"/>
    <w:basedOn w:val="9"/>
    <w:link w:val="16"/>
    <w:uiPriority w:val="0"/>
    <w:rPr>
      <w:rFonts w:eastAsia="仿宋" w:cstheme="minorBidi"/>
      <w:kern w:val="2"/>
      <w:sz w:val="24"/>
      <w:szCs w:val="22"/>
    </w:rPr>
  </w:style>
  <w:style w:type="character" w:customStyle="1" w:styleId="18">
    <w:name w:val="标题 2 字符"/>
    <w:basedOn w:val="9"/>
    <w:link w:val="3"/>
    <w:uiPriority w:val="9"/>
    <w:rPr>
      <w:rFonts w:ascii="仿宋_GB2312" w:eastAsia="仿宋_GB2312" w:hAnsiTheme="majorHAnsi"/>
      <w:b/>
      <w:bCs/>
      <w:kern w:val="2"/>
      <w:sz w:val="24"/>
      <w:szCs w:val="24"/>
    </w:rPr>
  </w:style>
  <w:style w:type="character" w:customStyle="1" w:styleId="19">
    <w:name w:val="font31"/>
    <w:autoRedefine/>
    <w:qFormat/>
    <w:uiPriority w:val="0"/>
    <w:rPr>
      <w:rFonts w:hint="eastAsia" w:ascii="宋体" w:hAnsi="宋体" w:eastAsia="宋体" w:cs="宋体"/>
      <w:b/>
      <w:bCs/>
      <w:color w:val="000000"/>
      <w:sz w:val="20"/>
      <w:szCs w:val="20"/>
      <w:u w:val="none"/>
    </w:rPr>
  </w:style>
  <w:style w:type="character" w:customStyle="1" w:styleId="20">
    <w:name w:val="font11"/>
    <w:autoRedefine/>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A6CED-9432-476C-8D0A-0438AE6C7B5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5489</Words>
  <Characters>5847</Characters>
  <Lines>45</Lines>
  <Paragraphs>12</Paragraphs>
  <TotalTime>750</TotalTime>
  <ScaleCrop>false</ScaleCrop>
  <LinksUpToDate>false</LinksUpToDate>
  <CharactersWithSpaces>5913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2024-07-15T09:36:00Z</dcterms:created>
  <dc:creator>Admin</dc:creator>
  <cp:lastModifiedBy>cky666</cp:lastModifiedBy>
  <dcterms:modified xsi:type="dcterms:W3CDTF">2024-08-28T11:44:19Z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647551A4C6F1493DB0D233A16186CA64_13</vt:lpwstr>
  </property>
</Properties>
</file>