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3E425">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DD4176A">
      <w:pPr>
        <w:spacing w:line="480" w:lineRule="auto"/>
        <w:rPr>
          <w:rFonts w:ascii="宋体" w:hAnsi="宋体"/>
          <w:color w:val="000000"/>
          <w:sz w:val="44"/>
          <w:szCs w:val="20"/>
        </w:rPr>
      </w:pPr>
    </w:p>
    <w:p w14:paraId="3C930B49">
      <w:pPr>
        <w:tabs>
          <w:tab w:val="left" w:pos="880"/>
        </w:tabs>
        <w:spacing w:line="480" w:lineRule="auto"/>
        <w:rPr>
          <w:rFonts w:ascii="宋体" w:hAnsi="宋体"/>
          <w:color w:val="000000"/>
          <w:sz w:val="44"/>
          <w:szCs w:val="20"/>
        </w:rPr>
      </w:pPr>
      <w:r>
        <w:rPr>
          <w:rFonts w:ascii="宋体" w:hAnsi="宋体"/>
          <w:color w:val="000000"/>
          <w:sz w:val="44"/>
          <w:szCs w:val="20"/>
        </w:rPr>
        <w:tab/>
      </w:r>
    </w:p>
    <w:p w14:paraId="7024B7D3">
      <w:pPr>
        <w:spacing w:line="480" w:lineRule="auto"/>
        <w:rPr>
          <w:rFonts w:ascii="宋体" w:hAnsi="宋体"/>
          <w:color w:val="000000"/>
          <w:sz w:val="44"/>
          <w:szCs w:val="20"/>
        </w:rPr>
      </w:pPr>
    </w:p>
    <w:p w14:paraId="4BACFE5B">
      <w:pPr>
        <w:spacing w:line="480" w:lineRule="auto"/>
        <w:jc w:val="center"/>
        <w:rPr>
          <w:rFonts w:eastAsia="黑体"/>
          <w:color w:val="000000"/>
          <w:sz w:val="44"/>
        </w:rPr>
      </w:pPr>
      <w:r>
        <w:rPr>
          <w:rFonts w:hint="eastAsia" w:eastAsia="黑体"/>
          <w:color w:val="000000"/>
          <w:sz w:val="44"/>
        </w:rPr>
        <w:t>《</w:t>
      </w:r>
      <w:r>
        <w:rPr>
          <w:rFonts w:hint="eastAsia" w:eastAsia="黑体"/>
          <w:color w:val="0070C0"/>
          <w:sz w:val="44"/>
        </w:rPr>
        <w:t>燃烧与爆炸学</w:t>
      </w:r>
      <w:r>
        <w:rPr>
          <w:rFonts w:hint="eastAsia" w:eastAsia="黑体"/>
          <w:color w:val="0070C0"/>
          <w:sz w:val="44"/>
          <w:lang w:val="en-US" w:eastAsia="zh-CN"/>
        </w:rPr>
        <w:t>课程设计</w:t>
      </w:r>
      <w:r>
        <w:rPr>
          <w:rFonts w:hint="eastAsia" w:eastAsia="黑体"/>
          <w:color w:val="000000"/>
          <w:sz w:val="44"/>
        </w:rPr>
        <w:t>》教学大纲</w:t>
      </w:r>
    </w:p>
    <w:p w14:paraId="46A6C7B1">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（第1版）</w:t>
      </w:r>
    </w:p>
    <w:p w14:paraId="0747BAF4">
      <w:pPr>
        <w:spacing w:line="480" w:lineRule="auto"/>
        <w:rPr>
          <w:color w:val="000000"/>
          <w:sz w:val="32"/>
          <w:szCs w:val="20"/>
        </w:rPr>
      </w:pPr>
    </w:p>
    <w:p w14:paraId="65DBDA76">
      <w:pPr>
        <w:spacing w:line="480" w:lineRule="auto"/>
        <w:rPr>
          <w:color w:val="000000"/>
          <w:sz w:val="32"/>
          <w:szCs w:val="20"/>
        </w:rPr>
      </w:pPr>
    </w:p>
    <w:p w14:paraId="3E58C712">
      <w:pPr>
        <w:spacing w:line="480" w:lineRule="auto"/>
        <w:rPr>
          <w:color w:val="000000"/>
          <w:sz w:val="32"/>
          <w:szCs w:val="20"/>
        </w:rPr>
      </w:pPr>
    </w:p>
    <w:p w14:paraId="6ED9CE16">
      <w:pPr>
        <w:spacing w:line="480" w:lineRule="auto"/>
        <w:rPr>
          <w:color w:val="000000"/>
          <w:sz w:val="32"/>
          <w:szCs w:val="20"/>
        </w:rPr>
      </w:pPr>
    </w:p>
    <w:p w14:paraId="34C405F3">
      <w:pPr>
        <w:spacing w:line="480" w:lineRule="auto"/>
        <w:rPr>
          <w:color w:val="000000"/>
          <w:sz w:val="32"/>
          <w:szCs w:val="20"/>
        </w:rPr>
      </w:pPr>
    </w:p>
    <w:p w14:paraId="5F24FABD">
      <w:pPr>
        <w:spacing w:line="480" w:lineRule="auto"/>
        <w:rPr>
          <w:color w:val="000000"/>
          <w:sz w:val="32"/>
          <w:szCs w:val="20"/>
        </w:rPr>
      </w:pPr>
    </w:p>
    <w:p w14:paraId="28B41F18">
      <w:pPr>
        <w:spacing w:line="480" w:lineRule="auto"/>
        <w:rPr>
          <w:color w:val="000000"/>
          <w:sz w:val="32"/>
          <w:szCs w:val="20"/>
        </w:rPr>
      </w:pPr>
    </w:p>
    <w:p w14:paraId="2119ADEB">
      <w:pPr>
        <w:spacing w:line="480" w:lineRule="auto"/>
        <w:rPr>
          <w:color w:val="000000"/>
          <w:sz w:val="28"/>
          <w:u w:val="single"/>
        </w:rPr>
      </w:pPr>
    </w:p>
    <w:tbl>
      <w:tblPr>
        <w:tblStyle w:val="11"/>
        <w:tblW w:w="0" w:type="auto"/>
        <w:jc w:val="center"/>
        <w:tblLayout w:type="autofit"/>
        <w:tblCellMar>
          <w:top w:w="0" w:type="dxa"/>
          <w:left w:w="108" w:type="dxa"/>
          <w:bottom w:w="0" w:type="dxa"/>
          <w:right w:w="108" w:type="dxa"/>
        </w:tblCellMar>
      </w:tblPr>
      <w:tblGrid>
        <w:gridCol w:w="2376"/>
        <w:gridCol w:w="3969"/>
      </w:tblGrid>
      <w:tr w14:paraId="19FA8ACA">
        <w:tblPrEx>
          <w:tblCellMar>
            <w:top w:w="0" w:type="dxa"/>
            <w:left w:w="108" w:type="dxa"/>
            <w:bottom w:w="0" w:type="dxa"/>
            <w:right w:w="108" w:type="dxa"/>
          </w:tblCellMar>
        </w:tblPrEx>
        <w:trPr>
          <w:jc w:val="center"/>
        </w:trPr>
        <w:tc>
          <w:tcPr>
            <w:tcW w:w="2376" w:type="dxa"/>
            <w:shd w:val="clear" w:color="auto" w:fill="auto"/>
            <w:vAlign w:val="bottom"/>
          </w:tcPr>
          <w:p w14:paraId="7131CDCF">
            <w:pPr>
              <w:keepNext w:val="0"/>
              <w:keepLines w:val="0"/>
              <w:suppressLineNumbers w:val="0"/>
              <w:spacing w:before="0" w:beforeAutospacing="0" w:after="0" w:afterAutospacing="0" w:line="480" w:lineRule="auto"/>
              <w:ind w:left="0" w:right="0"/>
              <w:jc w:val="right"/>
              <w:rPr>
                <w:rFonts w:hint="default"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1EB17C4E">
            <w:pPr>
              <w:keepNext w:val="0"/>
              <w:keepLines w:val="0"/>
              <w:suppressLineNumbers w:val="0"/>
              <w:spacing w:before="0" w:beforeAutospacing="0" w:after="0" w:afterAutospacing="0" w:line="480" w:lineRule="auto"/>
              <w:ind w:left="0" w:right="0"/>
              <w:jc w:val="center"/>
              <w:rPr>
                <w:rFonts w:hint="default"/>
                <w:color w:val="000000"/>
                <w:sz w:val="28"/>
              </w:rPr>
            </w:pPr>
            <w:r>
              <w:rPr>
                <w:rFonts w:hint="eastAsia"/>
                <w:color w:val="000000"/>
                <w:sz w:val="28"/>
              </w:rPr>
              <w:t>杨玉山</w:t>
            </w:r>
          </w:p>
        </w:tc>
      </w:tr>
      <w:tr w14:paraId="0B2CB3A9">
        <w:tblPrEx>
          <w:tblCellMar>
            <w:top w:w="0" w:type="dxa"/>
            <w:left w:w="108" w:type="dxa"/>
            <w:bottom w:w="0" w:type="dxa"/>
            <w:right w:w="108" w:type="dxa"/>
          </w:tblCellMar>
        </w:tblPrEx>
        <w:trPr>
          <w:jc w:val="center"/>
        </w:trPr>
        <w:tc>
          <w:tcPr>
            <w:tcW w:w="2376" w:type="dxa"/>
            <w:shd w:val="clear" w:color="auto" w:fill="auto"/>
            <w:vAlign w:val="bottom"/>
          </w:tcPr>
          <w:p w14:paraId="3BAB21AD">
            <w:pPr>
              <w:keepNext w:val="0"/>
              <w:keepLines w:val="0"/>
              <w:suppressLineNumbers w:val="0"/>
              <w:spacing w:before="0" w:beforeAutospacing="0" w:after="0" w:afterAutospacing="0" w:line="480" w:lineRule="auto"/>
              <w:ind w:left="0" w:right="0"/>
              <w:jc w:val="right"/>
              <w:rPr>
                <w:rFonts w:hint="default"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2F37CFD4">
            <w:pPr>
              <w:keepNext w:val="0"/>
              <w:keepLines w:val="0"/>
              <w:suppressLineNumbers w:val="0"/>
              <w:spacing w:before="0" w:beforeAutospacing="0" w:after="0" w:afterAutospacing="0" w:line="480" w:lineRule="auto"/>
              <w:ind w:left="0" w:right="0"/>
              <w:jc w:val="center"/>
              <w:rPr>
                <w:rFonts w:hint="default"/>
                <w:color w:val="000000"/>
                <w:sz w:val="28"/>
              </w:rPr>
            </w:pPr>
          </w:p>
        </w:tc>
      </w:tr>
    </w:tbl>
    <w:p w14:paraId="4CF52459">
      <w:pPr>
        <w:jc w:val="center"/>
        <w:rPr>
          <w:rFonts w:ascii="仿宋" w:hAnsi="仿宋" w:eastAsia="仿宋"/>
          <w:color w:val="000000"/>
          <w:sz w:val="28"/>
          <w:u w:val="single"/>
        </w:rPr>
      </w:pPr>
    </w:p>
    <w:p w14:paraId="73804EE2">
      <w:pPr>
        <w:jc w:val="center"/>
        <w:rPr>
          <w:rFonts w:ascii="仿宋" w:hAnsi="仿宋" w:eastAsia="仿宋"/>
          <w:color w:val="000000"/>
          <w:sz w:val="28"/>
          <w:u w:val="single"/>
        </w:rPr>
      </w:pPr>
    </w:p>
    <w:p w14:paraId="737F118F">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24年6月制定</w:t>
      </w:r>
      <w:r>
        <w:rPr>
          <w:rFonts w:ascii="仿宋_GB2312" w:eastAsia="仿宋_GB2312"/>
          <w:b/>
          <w:bCs/>
          <w:color w:val="000000"/>
          <w:sz w:val="28"/>
          <w:szCs w:val="28"/>
        </w:rPr>
        <w:br w:type="page"/>
      </w:r>
      <w:bookmarkStart w:id="0" w:name="_Toc231228604"/>
    </w:p>
    <w:p w14:paraId="6CD19DFF">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2"/>
        <w:gridCol w:w="2660"/>
        <w:gridCol w:w="1484"/>
        <w:gridCol w:w="254"/>
        <w:gridCol w:w="2122"/>
      </w:tblGrid>
      <w:tr w14:paraId="2DF6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A73400">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6982C149">
            <w:pPr>
              <w:keepNext w:val="0"/>
              <w:keepLines w:val="0"/>
              <w:suppressLineNumbers w:val="0"/>
              <w:spacing w:before="0" w:beforeAutospacing="0" w:after="0" w:afterAutospacing="0"/>
              <w:ind w:left="0" w:right="0"/>
              <w:jc w:val="center"/>
              <w:rPr>
                <w:rFonts w:hint="default" w:ascii="仿宋" w:hAnsi="仿宋" w:eastAsia="仿宋"/>
                <w:color w:val="000000"/>
                <w:sz w:val="24"/>
              </w:rPr>
            </w:pPr>
            <w:r>
              <w:rPr>
                <w:rFonts w:hint="default" w:ascii="仿宋" w:hAnsi="仿宋" w:eastAsia="仿宋"/>
                <w:color w:val="000000"/>
                <w:sz w:val="24"/>
              </w:rPr>
              <w:t>160411E003</w:t>
            </w:r>
          </w:p>
        </w:tc>
        <w:tc>
          <w:tcPr>
            <w:tcW w:w="1446" w:type="dxa"/>
            <w:vAlign w:val="center"/>
          </w:tcPr>
          <w:p w14:paraId="583DECD4">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5AB35CA7">
            <w:pPr>
              <w:keepNext w:val="0"/>
              <w:keepLines w:val="0"/>
              <w:suppressLineNumbers w:val="0"/>
              <w:spacing w:before="0" w:beforeAutospacing="0" w:after="0" w:afterAutospacing="0"/>
              <w:ind w:left="0" w:right="0"/>
              <w:jc w:val="center"/>
              <w:rPr>
                <w:rFonts w:hint="default" w:ascii="仿宋" w:hAnsi="仿宋" w:eastAsia="仿宋"/>
                <w:color w:val="000000"/>
                <w:sz w:val="24"/>
              </w:rPr>
            </w:pPr>
            <w:r>
              <w:rPr>
                <w:rFonts w:hint="eastAsia" w:ascii="仿宋" w:hAnsi="仿宋" w:eastAsia="仿宋"/>
                <w:color w:val="000000"/>
                <w:sz w:val="24"/>
              </w:rPr>
              <w:t>工学院</w:t>
            </w:r>
          </w:p>
        </w:tc>
      </w:tr>
      <w:tr w14:paraId="4643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1FF4D3">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课程名称</w:t>
            </w:r>
          </w:p>
          <w:p w14:paraId="5DB97F33">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（中文）</w:t>
            </w:r>
          </w:p>
        </w:tc>
        <w:tc>
          <w:tcPr>
            <w:tcW w:w="6352" w:type="dxa"/>
            <w:gridSpan w:val="4"/>
            <w:vAlign w:val="center"/>
          </w:tcPr>
          <w:p w14:paraId="30519EBF">
            <w:pPr>
              <w:keepNext w:val="0"/>
              <w:keepLines w:val="0"/>
              <w:suppressLineNumbers w:val="0"/>
              <w:spacing w:before="0" w:beforeAutospacing="0" w:after="0" w:afterAutospacing="0"/>
              <w:ind w:left="0" w:right="0"/>
              <w:jc w:val="center"/>
              <w:rPr>
                <w:rFonts w:hint="default" w:ascii="仿宋" w:hAnsi="仿宋" w:eastAsia="仿宋"/>
                <w:color w:val="000000"/>
                <w:sz w:val="24"/>
                <w:lang w:val="en-US" w:eastAsia="zh-CN"/>
              </w:rPr>
            </w:pPr>
            <w:r>
              <w:rPr>
                <w:rFonts w:hint="eastAsia" w:ascii="仿宋" w:hAnsi="仿宋" w:eastAsia="仿宋"/>
                <w:color w:val="000000"/>
                <w:sz w:val="24"/>
              </w:rPr>
              <w:t>燃烧与爆炸学</w:t>
            </w:r>
            <w:r>
              <w:rPr>
                <w:rFonts w:hint="eastAsia" w:ascii="仿宋" w:hAnsi="仿宋" w:eastAsia="仿宋"/>
                <w:color w:val="000000"/>
                <w:sz w:val="24"/>
                <w:lang w:val="en-US" w:eastAsia="zh-CN"/>
              </w:rPr>
              <w:t>课程设计</w:t>
            </w:r>
          </w:p>
        </w:tc>
      </w:tr>
      <w:tr w14:paraId="2DA8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B92F48">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课程名称</w:t>
            </w:r>
          </w:p>
          <w:p w14:paraId="31902B82">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（英文）</w:t>
            </w:r>
          </w:p>
        </w:tc>
        <w:tc>
          <w:tcPr>
            <w:tcW w:w="6352" w:type="dxa"/>
            <w:gridSpan w:val="4"/>
            <w:vAlign w:val="center"/>
          </w:tcPr>
          <w:p w14:paraId="02E1DB58">
            <w:pPr>
              <w:keepNext w:val="0"/>
              <w:keepLines w:val="0"/>
              <w:suppressLineNumbers w:val="0"/>
              <w:spacing w:before="0" w:beforeAutospacing="0" w:after="0" w:afterAutospacing="0"/>
              <w:ind w:left="0" w:right="0"/>
              <w:jc w:val="center"/>
              <w:rPr>
                <w:rFonts w:hint="eastAsia" w:eastAsia="微软雅黑"/>
                <w:color w:val="000000"/>
                <w:sz w:val="24"/>
                <w:lang w:val="en-US" w:eastAsia="zh-CN"/>
              </w:rPr>
            </w:pPr>
            <w:r>
              <w:rPr>
                <w:rFonts w:hint="default" w:eastAsia="微软雅黑"/>
                <w:color w:val="333333"/>
                <w:sz w:val="24"/>
              </w:rPr>
              <w:t>Combustion and Explosion</w:t>
            </w:r>
            <w:r>
              <w:rPr>
                <w:rFonts w:hint="eastAsia" w:eastAsia="微软雅黑"/>
                <w:color w:val="333333"/>
                <w:sz w:val="24"/>
                <w:lang w:val="en-US" w:eastAsia="zh-CN"/>
              </w:rPr>
              <w:t xml:space="preserve"> Course Design</w:t>
            </w:r>
          </w:p>
        </w:tc>
      </w:tr>
      <w:tr w14:paraId="2ECB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1583B4E">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16F4220E">
            <w:pPr>
              <w:keepNext w:val="0"/>
              <w:keepLines w:val="0"/>
              <w:suppressLineNumbers w:val="0"/>
              <w:spacing w:before="0" w:beforeAutospacing="0" w:after="0" w:afterAutospacing="0"/>
              <w:ind w:left="0" w:right="0"/>
              <w:jc w:val="center"/>
              <w:rPr>
                <w:rFonts w:hint="default" w:ascii="仿宋" w:hAnsi="仿宋" w:eastAsia="仿宋"/>
                <w:color w:val="FF0000"/>
                <w:sz w:val="24"/>
              </w:rPr>
            </w:pPr>
            <w:r>
              <w:rPr>
                <w:rFonts w:hint="eastAsia" w:ascii="仿宋" w:hAnsi="仿宋" w:eastAsia="仿宋"/>
                <w:color w:val="000000" w:themeColor="text1"/>
                <w:sz w:val="24"/>
                <w14:textFill>
                  <w14:solidFill>
                    <w14:schemeClr w14:val="tx1"/>
                  </w14:solidFill>
                </w14:textFill>
              </w:rPr>
              <w:t>专业必修课</w:t>
            </w:r>
          </w:p>
        </w:tc>
      </w:tr>
      <w:tr w14:paraId="75B0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FAAF54">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适用</w:t>
            </w:r>
            <w:r>
              <w:rPr>
                <w:rFonts w:hint="default" w:ascii="仿宋" w:hAnsi="仿宋" w:eastAsia="仿宋"/>
                <w:b/>
                <w:color w:val="000000"/>
                <w:sz w:val="24"/>
              </w:rPr>
              <w:t>专业</w:t>
            </w:r>
          </w:p>
        </w:tc>
        <w:tc>
          <w:tcPr>
            <w:tcW w:w="6352" w:type="dxa"/>
            <w:gridSpan w:val="4"/>
            <w:vAlign w:val="center"/>
          </w:tcPr>
          <w:p w14:paraId="26250801">
            <w:pPr>
              <w:keepNext w:val="0"/>
              <w:keepLines w:val="0"/>
              <w:suppressLineNumbers w:val="0"/>
              <w:spacing w:before="0" w:beforeAutospacing="0" w:after="0" w:afterAutospacing="0"/>
              <w:ind w:left="0" w:right="0"/>
              <w:jc w:val="center"/>
              <w:rPr>
                <w:rFonts w:hint="default" w:ascii="仿宋" w:hAnsi="仿宋" w:eastAsia="仿宋"/>
                <w:color w:val="0070C0"/>
                <w:sz w:val="24"/>
              </w:rPr>
            </w:pPr>
            <w:r>
              <w:rPr>
                <w:rFonts w:hint="eastAsia" w:ascii="仿宋" w:hAnsi="仿宋" w:eastAsia="仿宋"/>
                <w:color w:val="000000" w:themeColor="text1"/>
                <w:sz w:val="24"/>
                <w14:textFill>
                  <w14:solidFill>
                    <w14:schemeClr w14:val="tx1"/>
                  </w14:solidFill>
                </w14:textFill>
              </w:rPr>
              <w:t>安全工程</w:t>
            </w:r>
          </w:p>
        </w:tc>
      </w:tr>
      <w:tr w14:paraId="0CC4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951038C">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总</w:t>
            </w:r>
            <w:r>
              <w:rPr>
                <w:rFonts w:hint="default" w:ascii="仿宋" w:hAnsi="仿宋" w:eastAsia="仿宋"/>
                <w:b/>
                <w:color w:val="000000"/>
                <w:sz w:val="24"/>
              </w:rPr>
              <w:t>学分</w:t>
            </w:r>
          </w:p>
        </w:tc>
        <w:tc>
          <w:tcPr>
            <w:tcW w:w="2592" w:type="dxa"/>
            <w:vAlign w:val="center"/>
          </w:tcPr>
          <w:p w14:paraId="5401D106">
            <w:pPr>
              <w:keepNext w:val="0"/>
              <w:keepLines w:val="0"/>
              <w:suppressLineNumbers w:val="0"/>
              <w:spacing w:before="0" w:beforeAutospacing="0" w:after="0" w:afterAutospacing="0"/>
              <w:ind w:left="0" w:right="0"/>
              <w:jc w:val="center"/>
              <w:rPr>
                <w:rFonts w:hint="eastAsia" w:ascii="仿宋" w:hAnsi="仿宋" w:eastAsia="仿宋"/>
                <w:color w:val="000000"/>
                <w:sz w:val="24"/>
                <w:lang w:eastAsia="zh-CN"/>
              </w:rPr>
            </w:pPr>
            <w:r>
              <w:rPr>
                <w:rFonts w:hint="eastAsia" w:ascii="仿宋" w:hAnsi="仿宋" w:eastAsia="仿宋"/>
                <w:color w:val="000000"/>
                <w:sz w:val="24"/>
                <w:lang w:val="en-US" w:eastAsia="zh-CN"/>
              </w:rPr>
              <w:t>2</w:t>
            </w:r>
          </w:p>
        </w:tc>
        <w:tc>
          <w:tcPr>
            <w:tcW w:w="1693" w:type="dxa"/>
            <w:gridSpan w:val="2"/>
            <w:vAlign w:val="center"/>
          </w:tcPr>
          <w:p w14:paraId="64BCB1BD">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总</w:t>
            </w:r>
            <w:r>
              <w:rPr>
                <w:rFonts w:hint="default" w:ascii="仿宋" w:hAnsi="仿宋" w:eastAsia="仿宋"/>
                <w:b/>
                <w:color w:val="000000"/>
                <w:sz w:val="24"/>
              </w:rPr>
              <w:t>学时</w:t>
            </w:r>
          </w:p>
        </w:tc>
        <w:tc>
          <w:tcPr>
            <w:tcW w:w="2067" w:type="dxa"/>
            <w:vAlign w:val="center"/>
          </w:tcPr>
          <w:p w14:paraId="35FB8257">
            <w:pPr>
              <w:keepNext w:val="0"/>
              <w:keepLines w:val="0"/>
              <w:suppressLineNumbers w:val="0"/>
              <w:spacing w:before="0" w:beforeAutospacing="0" w:after="0" w:afterAutospacing="0"/>
              <w:ind w:left="0" w:right="0"/>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2周</w:t>
            </w:r>
          </w:p>
        </w:tc>
      </w:tr>
      <w:tr w14:paraId="1F2A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BEF4178">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理论学时</w:t>
            </w:r>
          </w:p>
        </w:tc>
        <w:tc>
          <w:tcPr>
            <w:tcW w:w="2592" w:type="dxa"/>
            <w:vAlign w:val="center"/>
          </w:tcPr>
          <w:p w14:paraId="04AF9308">
            <w:pPr>
              <w:keepNext w:val="0"/>
              <w:keepLines w:val="0"/>
              <w:suppressLineNumbers w:val="0"/>
              <w:spacing w:before="0" w:beforeAutospacing="0" w:after="0" w:afterAutospacing="0"/>
              <w:ind w:left="0" w:right="0"/>
              <w:jc w:val="center"/>
              <w:rPr>
                <w:rFonts w:hint="eastAsia" w:ascii="仿宋" w:hAnsi="仿宋" w:eastAsia="仿宋"/>
                <w:color w:val="000000"/>
                <w:sz w:val="24"/>
                <w:lang w:eastAsia="zh-CN"/>
              </w:rPr>
            </w:pPr>
            <w:r>
              <w:rPr>
                <w:rFonts w:hint="eastAsia" w:ascii="仿宋" w:hAnsi="仿宋" w:eastAsia="仿宋"/>
                <w:color w:val="000000"/>
                <w:sz w:val="24"/>
                <w:lang w:val="en-US" w:eastAsia="zh-CN"/>
              </w:rPr>
              <w:t>0</w:t>
            </w:r>
          </w:p>
        </w:tc>
        <w:tc>
          <w:tcPr>
            <w:tcW w:w="1693" w:type="dxa"/>
            <w:gridSpan w:val="2"/>
            <w:vAlign w:val="center"/>
          </w:tcPr>
          <w:p w14:paraId="5EA845BD">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实验学时</w:t>
            </w:r>
          </w:p>
        </w:tc>
        <w:tc>
          <w:tcPr>
            <w:tcW w:w="2067" w:type="dxa"/>
            <w:vAlign w:val="center"/>
          </w:tcPr>
          <w:p w14:paraId="78884776">
            <w:pPr>
              <w:keepNext w:val="0"/>
              <w:keepLines w:val="0"/>
              <w:suppressLineNumbers w:val="0"/>
              <w:spacing w:before="0" w:beforeAutospacing="0" w:after="0" w:afterAutospacing="0"/>
              <w:ind w:left="0" w:right="0"/>
              <w:jc w:val="center"/>
              <w:rPr>
                <w:rFonts w:hint="eastAsia" w:ascii="仿宋" w:hAnsi="仿宋" w:eastAsia="仿宋"/>
                <w:color w:val="000000"/>
                <w:sz w:val="24"/>
                <w:lang w:eastAsia="zh-CN"/>
              </w:rPr>
            </w:pPr>
            <w:r>
              <w:rPr>
                <w:rFonts w:hint="eastAsia" w:ascii="仿宋" w:hAnsi="仿宋" w:eastAsia="仿宋"/>
                <w:color w:val="000000"/>
                <w:sz w:val="24"/>
                <w:lang w:val="en-US" w:eastAsia="zh-CN"/>
              </w:rPr>
              <w:t>0</w:t>
            </w:r>
          </w:p>
        </w:tc>
      </w:tr>
      <w:tr w14:paraId="0F01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B4959E8">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080AF9F1">
            <w:pPr>
              <w:keepNext w:val="0"/>
              <w:keepLines w:val="0"/>
              <w:suppressLineNumbers w:val="0"/>
              <w:spacing w:before="0" w:beforeAutospacing="0" w:after="0" w:afterAutospacing="0"/>
              <w:ind w:left="0" w:right="0"/>
              <w:jc w:val="center"/>
              <w:rPr>
                <w:rFonts w:hint="default"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2823522B">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E13F743">
            <w:pPr>
              <w:keepNext w:val="0"/>
              <w:keepLines w:val="0"/>
              <w:suppressLineNumbers w:val="0"/>
              <w:spacing w:before="0" w:beforeAutospacing="0" w:after="0" w:afterAutospacing="0"/>
              <w:ind w:left="0" w:right="0"/>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2周</w:t>
            </w:r>
          </w:p>
        </w:tc>
      </w:tr>
      <w:tr w14:paraId="0C2F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FA2D2A9">
            <w:pPr>
              <w:keepNext w:val="0"/>
              <w:keepLines w:val="0"/>
              <w:suppressLineNumbers w:val="0"/>
              <w:spacing w:before="0" w:beforeAutospacing="0" w:after="0" w:afterAutospacing="0"/>
              <w:ind w:left="0" w:right="0"/>
              <w:jc w:val="center"/>
              <w:rPr>
                <w:rFonts w:hint="default" w:ascii="仿宋" w:hAnsi="仿宋" w:eastAsia="仿宋"/>
                <w:b/>
                <w:color w:val="000000"/>
                <w:sz w:val="24"/>
              </w:rPr>
            </w:pPr>
            <w:r>
              <w:rPr>
                <w:rFonts w:hint="default" w:ascii="仿宋" w:hAnsi="仿宋" w:eastAsia="仿宋"/>
                <w:b/>
                <w:color w:val="000000"/>
                <w:sz w:val="24"/>
              </w:rPr>
              <w:t>先修课程</w:t>
            </w:r>
          </w:p>
        </w:tc>
        <w:tc>
          <w:tcPr>
            <w:tcW w:w="6352" w:type="dxa"/>
            <w:gridSpan w:val="4"/>
            <w:vAlign w:val="center"/>
          </w:tcPr>
          <w:p w14:paraId="34787510">
            <w:pPr>
              <w:keepNext w:val="0"/>
              <w:keepLines w:val="0"/>
              <w:suppressLineNumbers w:val="0"/>
              <w:spacing w:before="0" w:beforeAutospacing="0" w:after="0" w:afterAutospacing="0"/>
              <w:ind w:left="0" w:right="0"/>
              <w:jc w:val="center"/>
              <w:rPr>
                <w:rFonts w:hint="default" w:ascii="仿宋" w:hAnsi="仿宋" w:eastAsia="仿宋"/>
                <w:color w:val="000000"/>
                <w:sz w:val="24"/>
              </w:rPr>
            </w:pPr>
            <w:r>
              <w:rPr>
                <w:rFonts w:hint="eastAsia" w:ascii="仿宋" w:hAnsi="仿宋" w:eastAsia="仿宋"/>
                <w:color w:val="000000"/>
                <w:sz w:val="24"/>
                <w:lang w:val="en-US" w:eastAsia="zh-CN"/>
              </w:rPr>
              <w:t>燃烧与爆炸学</w:t>
            </w:r>
            <w:r>
              <w:rPr>
                <w:rFonts w:hint="eastAsia" w:ascii="仿宋" w:hAnsi="仿宋" w:eastAsia="仿宋"/>
                <w:color w:val="000000"/>
                <w:sz w:val="24"/>
              </w:rPr>
              <w:t>、</w:t>
            </w:r>
            <w:r>
              <w:rPr>
                <w:rFonts w:hint="eastAsia" w:ascii="仿宋" w:hAnsi="仿宋" w:eastAsia="仿宋"/>
                <w:color w:val="000000"/>
                <w:sz w:val="24"/>
                <w:lang w:val="en-US" w:eastAsia="zh-CN"/>
              </w:rPr>
              <w:t>化工原理</w:t>
            </w:r>
            <w:r>
              <w:rPr>
                <w:rFonts w:hint="eastAsia" w:ascii="仿宋" w:hAnsi="仿宋" w:eastAsia="仿宋"/>
                <w:color w:val="000000"/>
                <w:sz w:val="24"/>
              </w:rPr>
              <w:t>、</w:t>
            </w:r>
            <w:r>
              <w:rPr>
                <w:rFonts w:hint="eastAsia" w:ascii="仿宋" w:hAnsi="仿宋" w:eastAsia="仿宋"/>
                <w:color w:val="000000"/>
                <w:sz w:val="24"/>
                <w:lang w:val="en-US" w:eastAsia="zh-CN"/>
              </w:rPr>
              <w:t>安全系统工程</w:t>
            </w:r>
            <w:r>
              <w:rPr>
                <w:rFonts w:hint="eastAsia" w:ascii="仿宋" w:hAnsi="仿宋" w:eastAsia="仿宋"/>
                <w:color w:val="000000"/>
                <w:sz w:val="24"/>
              </w:rPr>
              <w:t>等</w:t>
            </w:r>
          </w:p>
        </w:tc>
      </w:tr>
    </w:tbl>
    <w:p w14:paraId="1C3B782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2CFD22EF">
      <w:pPr>
        <w:spacing w:line="360" w:lineRule="auto"/>
        <w:ind w:firstLine="480" w:firstLineChars="200"/>
        <w:rPr>
          <w:rFonts w:hint="eastAsia"/>
          <w:lang w:val="zh-CN"/>
        </w:rPr>
      </w:pPr>
      <w:r>
        <w:rPr>
          <w:rFonts w:eastAsia="仿宋"/>
          <w:color w:val="000000" w:themeColor="text1"/>
          <w:sz w:val="24"/>
          <w14:textFill>
            <w14:solidFill>
              <w14:schemeClr w14:val="tx1"/>
            </w14:solidFill>
          </w14:textFill>
        </w:rPr>
        <w:t>《燃烧与爆炸学</w:t>
      </w:r>
      <w:r>
        <w:rPr>
          <w:rFonts w:hint="eastAsia" w:eastAsia="仿宋"/>
          <w:color w:val="000000" w:themeColor="text1"/>
          <w:sz w:val="24"/>
          <w:lang w:val="en-US" w:eastAsia="zh-CN"/>
          <w14:textFill>
            <w14:solidFill>
              <w14:schemeClr w14:val="tx1"/>
            </w14:solidFill>
          </w14:textFill>
        </w:rPr>
        <w:t>课程设计</w:t>
      </w:r>
      <w:r>
        <w:rPr>
          <w:rFonts w:eastAsia="仿宋"/>
          <w:color w:val="000000" w:themeColor="text1"/>
          <w:sz w:val="24"/>
          <w14:textFill>
            <w14:solidFill>
              <w14:schemeClr w14:val="tx1"/>
            </w14:solidFill>
          </w14:textFill>
        </w:rPr>
        <w:t>》是安全工程专业核心课程</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燃烧与爆炸学</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的实践延伸拓展课程</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zh-CN" w:eastAsia="zh-CN"/>
          <w14:textFill>
            <w14:solidFill>
              <w14:schemeClr w14:val="tx1"/>
            </w14:solidFill>
          </w14:textFill>
        </w:rPr>
        <w:t>通过具体的工程案例的分析和设计，使学生更好地熟悉和理解</w:t>
      </w:r>
      <w:r>
        <w:rPr>
          <w:rFonts w:hint="eastAsia" w:eastAsia="仿宋"/>
          <w:color w:val="000000" w:themeColor="text1"/>
          <w:sz w:val="24"/>
          <w:lang w:val="en-US" w:eastAsia="zh-CN"/>
          <w14:textFill>
            <w14:solidFill>
              <w14:schemeClr w14:val="tx1"/>
            </w14:solidFill>
          </w14:textFill>
        </w:rPr>
        <w:t>燃烧与爆炸</w:t>
      </w:r>
      <w:r>
        <w:rPr>
          <w:rFonts w:hint="eastAsia" w:eastAsia="仿宋"/>
          <w:color w:val="000000" w:themeColor="text1"/>
          <w:sz w:val="24"/>
          <w:lang w:val="zh-CN" w:eastAsia="zh-CN"/>
          <w14:textFill>
            <w14:solidFill>
              <w14:schemeClr w14:val="tx1"/>
            </w14:solidFill>
          </w14:textFill>
        </w:rPr>
        <w:t>安全技术的基本理论。通过</w:t>
      </w:r>
      <w:r>
        <w:rPr>
          <w:rFonts w:hint="eastAsia" w:eastAsia="仿宋"/>
          <w:color w:val="000000" w:themeColor="text1"/>
          <w:sz w:val="24"/>
          <w:lang w:val="en-US" w:eastAsia="zh-CN"/>
          <w14:textFill>
            <w14:solidFill>
              <w14:schemeClr w14:val="tx1"/>
            </w14:solidFill>
          </w14:textFill>
        </w:rPr>
        <w:t>燃烧与爆炸学</w:t>
      </w:r>
      <w:r>
        <w:rPr>
          <w:rFonts w:hint="eastAsia" w:eastAsia="仿宋"/>
          <w:color w:val="000000" w:themeColor="text1"/>
          <w:sz w:val="24"/>
          <w:lang w:val="zh-CN" w:eastAsia="zh-CN"/>
          <w14:textFill>
            <w14:solidFill>
              <w14:schemeClr w14:val="tx1"/>
            </w14:solidFill>
          </w14:textFill>
        </w:rPr>
        <w:t>课程设计，掌握生产过程中引起火灾爆炸的原因和基本规律，为分析和解决生产过程中的火灾爆炸隐患打下坚实的实践基础。</w:t>
      </w:r>
    </w:p>
    <w:p w14:paraId="16664208">
      <w:pPr>
        <w:pStyle w:val="34"/>
        <w:numPr>
          <w:ilvl w:val="0"/>
          <w:numId w:val="0"/>
        </w:numPr>
        <w:snapToGrid w:val="0"/>
        <w:spacing w:line="360" w:lineRule="auto"/>
        <w:ind w:left="480" w:leftChars="0"/>
        <w:rPr>
          <w:rFonts w:eastAsia="仿宋"/>
          <w:color w:val="000000" w:themeColor="text1"/>
          <w:sz w:val="24"/>
          <w14:textFill>
            <w14:solidFill>
              <w14:schemeClr w14:val="tx1"/>
            </w14:solidFill>
          </w14:textFill>
        </w:rPr>
      </w:pPr>
      <w:r>
        <w:rPr>
          <w:rFonts w:eastAsia="仿宋"/>
          <w:color w:val="000000" w:themeColor="text1"/>
          <w:sz w:val="24"/>
          <w14:textFill>
            <w14:solidFill>
              <w14:schemeClr w14:val="tx1"/>
            </w14:solidFill>
          </w14:textFill>
        </w:rPr>
        <w:t>通过本课程的学习，学生应达到</w:t>
      </w:r>
      <w:r>
        <w:rPr>
          <w:rFonts w:hint="eastAsia" w:eastAsia="仿宋"/>
          <w:color w:val="000000" w:themeColor="text1"/>
          <w:sz w:val="24"/>
          <w:lang w:val="en-US" w:eastAsia="zh-CN"/>
          <w14:textFill>
            <w14:solidFill>
              <w14:schemeClr w14:val="tx1"/>
            </w14:solidFill>
          </w14:textFill>
        </w:rPr>
        <w:t>如</w:t>
      </w:r>
      <w:r>
        <w:rPr>
          <w:rFonts w:eastAsia="仿宋"/>
          <w:color w:val="000000" w:themeColor="text1"/>
          <w:sz w:val="24"/>
          <w14:textFill>
            <w14:solidFill>
              <w14:schemeClr w14:val="tx1"/>
            </w14:solidFill>
          </w14:textFill>
        </w:rPr>
        <w:t>下几个主要目标：</w:t>
      </w:r>
    </w:p>
    <w:p w14:paraId="17A81FD2">
      <w:pPr>
        <w:pStyle w:val="34"/>
        <w:numPr>
          <w:ilvl w:val="0"/>
          <w:numId w:val="0"/>
        </w:numPr>
        <w:snapToGrid w:val="0"/>
        <w:spacing w:line="360" w:lineRule="auto"/>
        <w:ind w:left="480" w:leftChars="0"/>
        <w:rPr>
          <w:rFonts w:hint="eastAsia" w:eastAsia="仿宋"/>
          <w:color w:val="000000" w:themeColor="text1"/>
          <w:sz w:val="24"/>
          <w14:textFill>
            <w14:solidFill>
              <w14:schemeClr w14:val="tx1"/>
            </w14:solidFill>
          </w14:textFill>
        </w:rPr>
      </w:pP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1</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14:textFill>
            <w14:solidFill>
              <w14:schemeClr w14:val="tx1"/>
            </w14:solidFill>
          </w14:textFill>
        </w:rPr>
        <w:t>进一步理解和掌握防火防爆的基本理论；</w:t>
      </w:r>
    </w:p>
    <w:p w14:paraId="03B474A1">
      <w:pPr>
        <w:pStyle w:val="34"/>
        <w:numPr>
          <w:ilvl w:val="0"/>
          <w:numId w:val="0"/>
        </w:numPr>
        <w:snapToGrid w:val="0"/>
        <w:spacing w:line="360" w:lineRule="auto"/>
        <w:ind w:left="480" w:leftChars="0"/>
        <w:rPr>
          <w:rFonts w:hint="eastAsia" w:eastAsia="仿宋"/>
          <w:color w:val="000000" w:themeColor="text1"/>
          <w:sz w:val="24"/>
          <w14:textFill>
            <w14:solidFill>
              <w14:schemeClr w14:val="tx1"/>
            </w14:solidFill>
          </w14:textFill>
        </w:rPr>
      </w:pP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2</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14:textFill>
            <w14:solidFill>
              <w14:schemeClr w14:val="tx1"/>
            </w14:solidFill>
          </w14:textFill>
        </w:rPr>
        <w:t>熟悉危险性生产或储存装置或场所存在的主要危险、有害因素；</w:t>
      </w:r>
    </w:p>
    <w:p w14:paraId="0078D3B1">
      <w:pPr>
        <w:pStyle w:val="34"/>
        <w:numPr>
          <w:ilvl w:val="0"/>
          <w:numId w:val="0"/>
        </w:numPr>
        <w:snapToGrid w:val="0"/>
        <w:spacing w:line="360" w:lineRule="auto"/>
        <w:ind w:left="480" w:leftChars="0"/>
        <w:rPr>
          <w:rFonts w:hint="eastAsia" w:eastAsia="仿宋"/>
          <w:color w:val="000000" w:themeColor="text1"/>
          <w:sz w:val="24"/>
          <w14:textFill>
            <w14:solidFill>
              <w14:schemeClr w14:val="tx1"/>
            </w14:solidFill>
          </w14:textFill>
        </w:rPr>
      </w:pP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3</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14:textFill>
            <w14:solidFill>
              <w14:schemeClr w14:val="tx1"/>
            </w14:solidFill>
          </w14:textFill>
        </w:rPr>
        <w:t>了解生产工艺流程、熟悉安全生产规程和安全管理制度；</w:t>
      </w:r>
    </w:p>
    <w:p w14:paraId="56D20011">
      <w:pPr>
        <w:pStyle w:val="34"/>
        <w:numPr>
          <w:ilvl w:val="0"/>
          <w:numId w:val="0"/>
        </w:numPr>
        <w:snapToGrid w:val="0"/>
        <w:spacing w:line="360" w:lineRule="auto"/>
        <w:ind w:left="480" w:leftChars="0"/>
        <w:rPr>
          <w:rFonts w:hint="eastAsia" w:eastAsia="仿宋"/>
          <w:color w:val="000000" w:themeColor="text1"/>
          <w:sz w:val="24"/>
          <w14:textFill>
            <w14:solidFill>
              <w14:schemeClr w14:val="tx1"/>
            </w14:solidFill>
          </w14:textFill>
        </w:rPr>
      </w:pP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lang w:val="en-US" w:eastAsia="zh-CN"/>
          <w14:textFill>
            <w14:solidFill>
              <w14:schemeClr w14:val="tx1"/>
            </w14:solidFill>
          </w14:textFill>
        </w:rPr>
        <w:t>4</w:t>
      </w:r>
      <w:r>
        <w:rPr>
          <w:rFonts w:hint="eastAsia" w:eastAsia="仿宋"/>
          <w:color w:val="000000" w:themeColor="text1"/>
          <w:sz w:val="24"/>
          <w:lang w:eastAsia="zh-CN"/>
          <w14:textFill>
            <w14:solidFill>
              <w14:schemeClr w14:val="tx1"/>
            </w14:solidFill>
          </w14:textFill>
        </w:rPr>
        <w:t>）</w:t>
      </w:r>
      <w:r>
        <w:rPr>
          <w:rFonts w:hint="eastAsia" w:eastAsia="仿宋"/>
          <w:color w:val="000000" w:themeColor="text1"/>
          <w:sz w:val="24"/>
          <w14:textFill>
            <w14:solidFill>
              <w14:schemeClr w14:val="tx1"/>
            </w14:solidFill>
          </w14:textFill>
        </w:rPr>
        <w:t>运用防火防爆安全技术的基本理论和安全管理原理提出针对性的安全对策措施。</w:t>
      </w:r>
    </w:p>
    <w:p w14:paraId="53EE64F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D49A89F">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0DD6E290">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仿宋" w:hAnsi="仿宋" w:eastAsia="仿宋"/>
          <w:bCs/>
          <w:color w:val="000000"/>
          <w:sz w:val="24"/>
          <w:lang w:val="en-US" w:eastAsia="zh-CN"/>
        </w:rPr>
        <w:t>知识</w:t>
      </w:r>
      <w:r>
        <w:rPr>
          <w:rFonts w:hint="eastAsia" w:ascii="仿宋" w:hAnsi="仿宋" w:eastAsia="仿宋"/>
          <w:bCs/>
          <w:color w:val="000000"/>
          <w:sz w:val="24"/>
        </w:rPr>
        <w:t>层面</w:t>
      </w:r>
    </w:p>
    <w:p w14:paraId="2D469AD3">
      <w:pPr>
        <w:snapToGrid w:val="0"/>
        <w:spacing w:line="360" w:lineRule="auto"/>
        <w:ind w:firstLine="480" w:firstLineChars="200"/>
        <w:rPr>
          <w:rFonts w:ascii="仿宋" w:hAnsi="仿宋" w:eastAsia="仿宋"/>
          <w:bCs/>
          <w:color w:val="000000"/>
          <w:sz w:val="24"/>
        </w:rPr>
      </w:pPr>
      <w:r>
        <w:rPr>
          <w:rFonts w:hint="eastAsia" w:eastAsia="仿宋"/>
          <w:color w:val="000000" w:themeColor="text1"/>
          <w:sz w:val="24"/>
          <w:lang w:val="en-US" w:eastAsia="zh-CN"/>
          <w14:textFill>
            <w14:solidFill>
              <w14:schemeClr w14:val="tx1"/>
            </w14:solidFill>
          </w14:textFill>
        </w:rPr>
        <w:t>了解石油化工相关企业的生产场所、附属设施、存储区的建（构）筑物功能；掌握如何确定建（构）筑物的耐火等级和防火间距；能够对相关企业厂房进行爆炸危险区域划分，并主要防爆电气设备进行分析、选型；能够对有爆炸危险的厂房计算其泄爆面积，并选择确定泄爆方式；了解当前主流的防火防爆对策措施，并能够针对特定企业厂房选择相对应防火防爆措施</w:t>
      </w:r>
      <w:r>
        <w:rPr>
          <w:rFonts w:eastAsia="仿宋"/>
          <w:color w:val="000000" w:themeColor="text1"/>
          <w:sz w:val="24"/>
          <w14:textFill>
            <w14:solidFill>
              <w14:schemeClr w14:val="tx1"/>
            </w14:solidFill>
          </w14:textFill>
        </w:rPr>
        <w:t>。</w:t>
      </w:r>
    </w:p>
    <w:p w14:paraId="4C349D06">
      <w:pPr>
        <w:spacing w:line="360" w:lineRule="auto"/>
        <w:ind w:firstLine="482" w:firstLineChars="200"/>
        <w:rPr>
          <w:rFonts w:ascii="仿宋" w:hAnsi="仿宋" w:eastAsia="仿宋"/>
          <w:bCs/>
          <w:color w:val="000000"/>
          <w:sz w:val="24"/>
        </w:rPr>
      </w:pPr>
      <w:r>
        <w:rPr>
          <w:rFonts w:hint="eastAsia" w:ascii="仿宋" w:hAnsi="仿宋" w:eastAsia="仿宋"/>
          <w:b/>
          <w:color w:val="000000"/>
          <w:sz w:val="24"/>
        </w:rPr>
        <w:t>课程目标2：</w:t>
      </w:r>
      <w:r>
        <w:rPr>
          <w:rFonts w:hint="eastAsia" w:ascii="仿宋" w:hAnsi="仿宋" w:eastAsia="仿宋"/>
          <w:bCs/>
          <w:color w:val="000000"/>
          <w:sz w:val="24"/>
        </w:rPr>
        <w:t>技能/能力层面</w:t>
      </w:r>
    </w:p>
    <w:p w14:paraId="0DFAB919">
      <w:pPr>
        <w:spacing w:line="360" w:lineRule="auto"/>
        <w:ind w:firstLine="480" w:firstLineChars="200"/>
        <w:rPr>
          <w:rFonts w:hint="default" w:ascii="宋体" w:hAnsi="宋体" w:eastAsia="宋体" w:cs="宋体"/>
          <w:sz w:val="24"/>
          <w:szCs w:val="24"/>
          <w:lang w:val="en-US"/>
        </w:rPr>
      </w:pPr>
      <w:r>
        <w:rPr>
          <w:rFonts w:hint="eastAsia" w:ascii="仿宋" w:hAnsi="仿宋" w:eastAsia="仿宋"/>
          <w:bCs/>
          <w:color w:val="000000"/>
          <w:sz w:val="24"/>
          <w:lang w:val="en-US" w:eastAsia="zh-CN"/>
        </w:rPr>
        <w:t>熟悉火灾和爆炸防护设计的基本原则和方法，具备进行火灾和爆炸防护设计的能力，掌握耐火等级、防火间距、</w:t>
      </w:r>
      <w:r>
        <w:rPr>
          <w:rFonts w:hint="eastAsia" w:eastAsia="仿宋"/>
          <w:color w:val="000000" w:themeColor="text1"/>
          <w:sz w:val="24"/>
          <w:lang w:val="en-US" w:eastAsia="zh-CN"/>
          <w14:textFill>
            <w14:solidFill>
              <w14:schemeClr w14:val="tx1"/>
            </w14:solidFill>
          </w14:textFill>
        </w:rPr>
        <w:t>泄爆方式和面积</w:t>
      </w:r>
      <w:r>
        <w:rPr>
          <w:rFonts w:hint="eastAsia" w:ascii="仿宋" w:hAnsi="仿宋" w:eastAsia="仿宋"/>
          <w:bCs/>
          <w:color w:val="000000"/>
          <w:sz w:val="24"/>
          <w:lang w:val="en-US" w:eastAsia="zh-CN"/>
        </w:rPr>
        <w:t>设计原则和计算方法，了解各种防火材料、防爆设备的选型及其应用场景，能够根据具体情况设计合理的防火防爆系统。</w:t>
      </w:r>
      <w:r>
        <w:rPr>
          <w:rFonts w:hint="eastAsia" w:ascii="仿宋" w:hAnsi="仿宋" w:eastAsia="仿宋"/>
          <w:bCs/>
          <w:color w:val="000000"/>
          <w:sz w:val="24"/>
        </w:rPr>
        <w:t>具备</w:t>
      </w:r>
      <w:r>
        <w:rPr>
          <w:rFonts w:hint="eastAsia" w:ascii="仿宋" w:hAnsi="仿宋" w:eastAsia="仿宋"/>
          <w:bCs/>
          <w:color w:val="000000"/>
          <w:sz w:val="24"/>
          <w:lang w:val="en-US" w:eastAsia="zh-CN"/>
        </w:rPr>
        <w:t>防火防爆方面信息检索、资料搜集能力与案例分析能力。强化语言表达能力和逻辑系统思维。</w:t>
      </w:r>
    </w:p>
    <w:p w14:paraId="1D69A30F">
      <w:pPr>
        <w:spacing w:line="360" w:lineRule="auto"/>
        <w:ind w:firstLine="482" w:firstLineChars="200"/>
        <w:rPr>
          <w:rFonts w:ascii="仿宋" w:hAnsi="仿宋" w:eastAsia="仿宋"/>
          <w:bCs/>
          <w:color w:val="000000"/>
          <w:sz w:val="24"/>
        </w:rPr>
      </w:pPr>
      <w:r>
        <w:rPr>
          <w:rFonts w:hint="eastAsia" w:ascii="仿宋" w:hAnsi="仿宋" w:eastAsia="仿宋"/>
          <w:b/>
          <w:color w:val="000000"/>
          <w:sz w:val="24"/>
        </w:rPr>
        <w:t>课程目标3：</w:t>
      </w:r>
      <w:r>
        <w:rPr>
          <w:rFonts w:hint="eastAsia" w:ascii="仿宋" w:hAnsi="仿宋" w:eastAsia="仿宋"/>
          <w:bCs/>
          <w:color w:val="000000"/>
          <w:sz w:val="24"/>
        </w:rPr>
        <w:t>素养层面</w:t>
      </w:r>
    </w:p>
    <w:p w14:paraId="4578D12C">
      <w:pPr>
        <w:spacing w:line="360" w:lineRule="auto"/>
        <w:ind w:firstLine="480" w:firstLineChars="200"/>
        <w:rPr>
          <w:rFonts w:hint="eastAsia" w:eastAsia="黑体"/>
          <w:color w:val="000000"/>
          <w:sz w:val="28"/>
          <w:szCs w:val="28"/>
        </w:rPr>
      </w:pPr>
      <w:r>
        <w:rPr>
          <w:rFonts w:hint="eastAsia" w:ascii="仿宋" w:hAnsi="仿宋" w:eastAsia="仿宋"/>
          <w:bCs/>
          <w:color w:val="000000"/>
          <w:sz w:val="24"/>
        </w:rPr>
        <w:t>具有</w:t>
      </w:r>
      <w:r>
        <w:rPr>
          <w:rFonts w:hint="eastAsia" w:ascii="仿宋" w:hAnsi="仿宋" w:eastAsia="仿宋"/>
          <w:bCs/>
          <w:color w:val="000000"/>
          <w:sz w:val="24"/>
          <w:lang w:val="en-US" w:eastAsia="zh-CN"/>
        </w:rPr>
        <w:t>设计防火防爆</w:t>
      </w:r>
      <w:r>
        <w:rPr>
          <w:rFonts w:hint="eastAsia" w:ascii="仿宋" w:hAnsi="仿宋" w:eastAsia="仿宋"/>
          <w:bCs/>
          <w:color w:val="000000"/>
          <w:sz w:val="24"/>
        </w:rPr>
        <w:t>系统的知识结构，通过课程中的分析、讨论、</w:t>
      </w:r>
      <w:r>
        <w:rPr>
          <w:rFonts w:hint="eastAsia" w:ascii="仿宋" w:hAnsi="仿宋" w:eastAsia="仿宋"/>
          <w:bCs/>
          <w:color w:val="000000"/>
          <w:sz w:val="24"/>
          <w:lang w:val="en-US" w:eastAsia="zh-CN"/>
        </w:rPr>
        <w:t>答辩</w:t>
      </w:r>
      <w:r>
        <w:rPr>
          <w:rFonts w:hint="eastAsia" w:ascii="仿宋" w:hAnsi="仿宋" w:eastAsia="仿宋"/>
          <w:bCs/>
          <w:color w:val="000000"/>
          <w:sz w:val="24"/>
        </w:rPr>
        <w:t>，培养分析沟通交流素质，使学生具备工程知识应用能力、工程问题分析能力、设计开发能力和科学研究能力，达到自主</w:t>
      </w:r>
      <w:bookmarkStart w:id="1" w:name="_GoBack"/>
      <w:bookmarkEnd w:id="1"/>
      <w:r>
        <w:rPr>
          <w:rFonts w:hint="eastAsia" w:ascii="仿宋" w:hAnsi="仿宋" w:eastAsia="仿宋"/>
          <w:bCs/>
          <w:color w:val="000000"/>
          <w:sz w:val="24"/>
        </w:rPr>
        <w:t>学习、创新发展的素质要求。注重提高学生思想水平、政治觉悟、道德品质、文化素养等的培养。</w:t>
      </w:r>
    </w:p>
    <w:p w14:paraId="70C21F9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926"/>
        <w:gridCol w:w="1702"/>
        <w:gridCol w:w="517"/>
        <w:gridCol w:w="2044"/>
        <w:gridCol w:w="938"/>
        <w:gridCol w:w="938"/>
        <w:gridCol w:w="940"/>
      </w:tblGrid>
      <w:tr w14:paraId="38F0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624270D1">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序号</w:t>
            </w:r>
          </w:p>
        </w:tc>
        <w:tc>
          <w:tcPr>
            <w:tcW w:w="543" w:type="pct"/>
            <w:shd w:val="clear" w:color="auto" w:fill="auto"/>
            <w:vAlign w:val="center"/>
          </w:tcPr>
          <w:p w14:paraId="29EEEC1A">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章节/教学单元</w:t>
            </w:r>
          </w:p>
        </w:tc>
        <w:tc>
          <w:tcPr>
            <w:tcW w:w="998" w:type="pct"/>
            <w:shd w:val="clear" w:color="auto" w:fill="auto"/>
            <w:vAlign w:val="center"/>
          </w:tcPr>
          <w:p w14:paraId="4DE463AE">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教学内容</w:t>
            </w:r>
          </w:p>
        </w:tc>
        <w:tc>
          <w:tcPr>
            <w:tcW w:w="303" w:type="pct"/>
            <w:vAlign w:val="center"/>
          </w:tcPr>
          <w:p w14:paraId="4DD0F9EE">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学时</w:t>
            </w:r>
          </w:p>
        </w:tc>
        <w:tc>
          <w:tcPr>
            <w:tcW w:w="1198" w:type="pct"/>
            <w:vAlign w:val="center"/>
          </w:tcPr>
          <w:p w14:paraId="6510F2A1">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授课要点</w:t>
            </w:r>
          </w:p>
          <w:p w14:paraId="5638FC27">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13"/>
                <w:szCs w:val="13"/>
                <w:lang w:val="en-GB"/>
              </w:rPr>
              <w:t>（重点、难点、课程思政元素等）</w:t>
            </w:r>
          </w:p>
        </w:tc>
        <w:tc>
          <w:tcPr>
            <w:tcW w:w="550" w:type="pct"/>
            <w:vAlign w:val="center"/>
          </w:tcPr>
          <w:p w14:paraId="632E530F">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教学方法</w:t>
            </w:r>
          </w:p>
        </w:tc>
        <w:tc>
          <w:tcPr>
            <w:tcW w:w="550" w:type="pct"/>
            <w:vAlign w:val="center"/>
          </w:tcPr>
          <w:p w14:paraId="03356010">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考核形式</w:t>
            </w:r>
          </w:p>
        </w:tc>
        <w:tc>
          <w:tcPr>
            <w:tcW w:w="551" w:type="pct"/>
            <w:vAlign w:val="center"/>
          </w:tcPr>
          <w:p w14:paraId="31B2F1B9">
            <w:pPr>
              <w:keepNext w:val="0"/>
              <w:keepLines w:val="0"/>
              <w:suppressLineNumbers w:val="0"/>
              <w:suppressAutoHyphens/>
              <w:spacing w:before="156" w:beforeLines="50" w:beforeAutospacing="0" w:after="156" w:afterLines="50" w:afterAutospacing="0" w:line="276" w:lineRule="auto"/>
              <w:ind w:left="0" w:right="0"/>
              <w:jc w:val="center"/>
              <w:rPr>
                <w:rFonts w:hint="default" w:eastAsia="仿宋"/>
                <w:b/>
                <w:spacing w:val="-3"/>
                <w:sz w:val="24"/>
                <w:lang w:val="en-GB"/>
              </w:rPr>
            </w:pPr>
            <w:r>
              <w:rPr>
                <w:rFonts w:hint="eastAsia" w:eastAsia="仿宋"/>
                <w:b/>
                <w:spacing w:val="-3"/>
                <w:sz w:val="24"/>
                <w:lang w:val="en-GB"/>
              </w:rPr>
              <w:t>课程目标</w:t>
            </w:r>
          </w:p>
        </w:tc>
      </w:tr>
      <w:tr w14:paraId="4538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6BD43A05">
            <w:pPr>
              <w:keepNext w:val="0"/>
              <w:keepLines w:val="0"/>
              <w:widowControl/>
              <w:suppressLineNumbers w:val="0"/>
              <w:spacing w:before="0" w:beforeAutospacing="0" w:after="0" w:afterAutospacing="0"/>
              <w:ind w:left="0" w:right="0"/>
              <w:rPr>
                <w:rFonts w:hint="default" w:ascii="仿宋" w:hAnsi="仿宋" w:eastAsia="仿宋"/>
                <w:color w:val="000000"/>
                <w:kern w:val="0"/>
                <w:sz w:val="18"/>
                <w:szCs w:val="18"/>
              </w:rPr>
            </w:pPr>
            <w:r>
              <w:rPr>
                <w:rFonts w:hint="default" w:ascii="仿宋" w:hAnsi="仿宋" w:eastAsia="仿宋"/>
                <w:color w:val="000000"/>
                <w:kern w:val="0"/>
                <w:sz w:val="18"/>
                <w:szCs w:val="18"/>
              </w:rPr>
              <w:t>1</w:t>
            </w:r>
          </w:p>
        </w:tc>
        <w:tc>
          <w:tcPr>
            <w:tcW w:w="543" w:type="pct"/>
            <w:shd w:val="clear" w:color="auto" w:fill="auto"/>
            <w:vAlign w:val="center"/>
          </w:tcPr>
          <w:p w14:paraId="47C2BDDD">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第1章</w:t>
            </w:r>
          </w:p>
        </w:tc>
        <w:tc>
          <w:tcPr>
            <w:tcW w:w="998" w:type="pct"/>
            <w:shd w:val="clear" w:color="auto" w:fill="auto"/>
            <w:vAlign w:val="center"/>
          </w:tcPr>
          <w:p w14:paraId="14FA9E6E">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lang w:val="en-US"/>
              </w:rPr>
            </w:pPr>
            <w:r>
              <w:rPr>
                <w:rFonts w:hint="eastAsia" w:ascii="仿宋" w:hAnsi="仿宋" w:eastAsia="仿宋" w:cs="仿宋"/>
                <w:color w:val="000000"/>
                <w:kern w:val="0"/>
                <w:sz w:val="18"/>
                <w:szCs w:val="18"/>
                <w:lang w:val="en-US" w:eastAsia="zh-CN" w:bidi="ar"/>
              </w:rPr>
              <w:t>总平面布置</w:t>
            </w:r>
          </w:p>
        </w:tc>
        <w:tc>
          <w:tcPr>
            <w:tcW w:w="303" w:type="pct"/>
            <w:vAlign w:val="center"/>
          </w:tcPr>
          <w:p w14:paraId="6D9C9EF3">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2</w:t>
            </w:r>
          </w:p>
        </w:tc>
        <w:tc>
          <w:tcPr>
            <w:tcW w:w="1198" w:type="pct"/>
            <w:vAlign w:val="center"/>
          </w:tcPr>
          <w:p w14:paraId="2C8ACAF0">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厂址确定及布置原则、火灾危险类别的确定、耐火等级的确定、防火间距的确定</w:t>
            </w:r>
          </w:p>
        </w:tc>
        <w:tc>
          <w:tcPr>
            <w:tcW w:w="550" w:type="pct"/>
            <w:vAlign w:val="center"/>
          </w:tcPr>
          <w:p w14:paraId="63981A00">
            <w:pPr>
              <w:keepNext w:val="0"/>
              <w:keepLines w:val="0"/>
              <w:widowControl/>
              <w:suppressLineNumbers w:val="0"/>
              <w:spacing w:before="0" w:beforeAutospacing="0" w:after="0" w:afterAutospacing="0"/>
              <w:ind w:left="0" w:right="0"/>
              <w:jc w:val="center"/>
              <w:rPr>
                <w:rFonts w:hint="default" w:ascii="仿宋" w:hAnsi="仿宋" w:eastAsia="仿宋"/>
                <w:b/>
                <w:spacing w:val="-3"/>
                <w:sz w:val="24"/>
                <w:lang w:val="en-GB"/>
              </w:rPr>
            </w:pPr>
            <w:r>
              <w:rPr>
                <w:rFonts w:hint="default" w:ascii="仿宋" w:hAnsi="仿宋" w:eastAsia="仿宋"/>
                <w:color w:val="000000"/>
                <w:kern w:val="0"/>
                <w:sz w:val="18"/>
                <w:szCs w:val="18"/>
              </w:rPr>
              <w:t>讲授</w:t>
            </w:r>
          </w:p>
        </w:tc>
        <w:tc>
          <w:tcPr>
            <w:tcW w:w="550" w:type="pct"/>
            <w:vAlign w:val="center"/>
          </w:tcPr>
          <w:p w14:paraId="0EC9A9F3">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设计报告</w:t>
            </w:r>
            <w:r>
              <w:rPr>
                <w:rFonts w:hint="eastAsia" w:ascii="仿宋" w:hAnsi="仿宋" w:eastAsia="仿宋"/>
                <w:color w:val="000000"/>
                <w:kern w:val="0"/>
                <w:sz w:val="18"/>
                <w:szCs w:val="18"/>
              </w:rPr>
              <w:t>+</w:t>
            </w:r>
          </w:p>
          <w:p w14:paraId="5D2A5068">
            <w:pPr>
              <w:keepNext w:val="0"/>
              <w:keepLines w:val="0"/>
              <w:widowControl/>
              <w:suppressLineNumbers w:val="0"/>
              <w:spacing w:before="0" w:beforeAutospacing="0" w:after="0" w:afterAutospacing="0"/>
              <w:ind w:left="0" w:right="0"/>
              <w:jc w:val="center"/>
              <w:rPr>
                <w:rFonts w:hint="default" w:ascii="仿宋" w:hAnsi="仿宋" w:eastAsia="仿宋"/>
                <w:b/>
                <w:spacing w:val="-3"/>
                <w:sz w:val="24"/>
                <w:lang w:val="en-US" w:eastAsia="zh-CN"/>
              </w:rPr>
            </w:pPr>
            <w:r>
              <w:rPr>
                <w:rFonts w:hint="eastAsia" w:ascii="仿宋" w:hAnsi="仿宋" w:eastAsia="仿宋"/>
                <w:color w:val="000000"/>
                <w:kern w:val="0"/>
                <w:sz w:val="18"/>
                <w:szCs w:val="18"/>
                <w:lang w:val="en-US" w:eastAsia="zh-CN"/>
              </w:rPr>
              <w:t>课程答辩</w:t>
            </w:r>
          </w:p>
        </w:tc>
        <w:tc>
          <w:tcPr>
            <w:tcW w:w="551" w:type="pct"/>
            <w:vAlign w:val="center"/>
          </w:tcPr>
          <w:p w14:paraId="480A8845">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目标1</w:t>
            </w:r>
          </w:p>
          <w:p w14:paraId="69DF30FB">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目标2</w:t>
            </w:r>
          </w:p>
          <w:p w14:paraId="3B5BA0E4">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目标3</w:t>
            </w:r>
          </w:p>
        </w:tc>
      </w:tr>
      <w:tr w14:paraId="7BC4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12A4CB2C">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2</w:t>
            </w:r>
          </w:p>
        </w:tc>
        <w:tc>
          <w:tcPr>
            <w:tcW w:w="543" w:type="pct"/>
            <w:shd w:val="clear" w:color="auto" w:fill="auto"/>
            <w:vAlign w:val="center"/>
          </w:tcPr>
          <w:p w14:paraId="57130BBC">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第2章</w:t>
            </w:r>
          </w:p>
        </w:tc>
        <w:tc>
          <w:tcPr>
            <w:tcW w:w="998" w:type="pct"/>
            <w:shd w:val="clear" w:color="auto" w:fill="auto"/>
            <w:vAlign w:val="center"/>
          </w:tcPr>
          <w:p w14:paraId="781B5AC1">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防爆电气的设计</w:t>
            </w:r>
          </w:p>
        </w:tc>
        <w:tc>
          <w:tcPr>
            <w:tcW w:w="303" w:type="pct"/>
            <w:vAlign w:val="center"/>
          </w:tcPr>
          <w:p w14:paraId="3137E9AA">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lang w:val="en-US"/>
              </w:rPr>
            </w:pPr>
            <w:r>
              <w:rPr>
                <w:rFonts w:hint="eastAsia" w:ascii="仿宋" w:hAnsi="仿宋" w:eastAsia="仿宋" w:cs="仿宋"/>
                <w:color w:val="000000"/>
                <w:kern w:val="0"/>
                <w:sz w:val="18"/>
                <w:szCs w:val="18"/>
                <w:lang w:val="en-US" w:eastAsia="zh-CN" w:bidi="ar"/>
              </w:rPr>
              <w:t>1.5</w:t>
            </w:r>
          </w:p>
        </w:tc>
        <w:tc>
          <w:tcPr>
            <w:tcW w:w="1198" w:type="pct"/>
            <w:vAlign w:val="center"/>
          </w:tcPr>
          <w:p w14:paraId="72E6B8D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爆炸危险场所区域的划分、防爆电气的选择</w:t>
            </w:r>
          </w:p>
          <w:p w14:paraId="0938E8A1">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p>
        </w:tc>
        <w:tc>
          <w:tcPr>
            <w:tcW w:w="550" w:type="pct"/>
            <w:vAlign w:val="center"/>
          </w:tcPr>
          <w:p w14:paraId="6A83A04E">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讲授</w:t>
            </w:r>
          </w:p>
        </w:tc>
        <w:tc>
          <w:tcPr>
            <w:tcW w:w="550" w:type="pct"/>
            <w:vAlign w:val="center"/>
          </w:tcPr>
          <w:p w14:paraId="5D4904D2">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设计报告</w:t>
            </w:r>
            <w:r>
              <w:rPr>
                <w:rFonts w:hint="eastAsia" w:ascii="仿宋" w:hAnsi="仿宋" w:eastAsia="仿宋"/>
                <w:color w:val="000000"/>
                <w:kern w:val="0"/>
                <w:sz w:val="18"/>
                <w:szCs w:val="18"/>
              </w:rPr>
              <w:t>+</w:t>
            </w:r>
          </w:p>
          <w:p w14:paraId="0B05AA37">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课程答辩</w:t>
            </w:r>
          </w:p>
        </w:tc>
        <w:tc>
          <w:tcPr>
            <w:tcW w:w="551" w:type="pct"/>
            <w:vAlign w:val="center"/>
          </w:tcPr>
          <w:p w14:paraId="1BC47452">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目标1</w:t>
            </w:r>
          </w:p>
          <w:p w14:paraId="5AAF3D96">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目标2</w:t>
            </w:r>
          </w:p>
          <w:p w14:paraId="48DDB065">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目标3</w:t>
            </w:r>
          </w:p>
        </w:tc>
      </w:tr>
      <w:tr w14:paraId="261D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4D092B33">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3</w:t>
            </w:r>
          </w:p>
        </w:tc>
        <w:tc>
          <w:tcPr>
            <w:tcW w:w="543" w:type="pct"/>
            <w:shd w:val="clear" w:color="auto" w:fill="auto"/>
            <w:vAlign w:val="center"/>
          </w:tcPr>
          <w:p w14:paraId="73CB145F">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第3章</w:t>
            </w:r>
          </w:p>
        </w:tc>
        <w:tc>
          <w:tcPr>
            <w:tcW w:w="998" w:type="pct"/>
            <w:shd w:val="clear" w:color="auto" w:fill="auto"/>
            <w:vAlign w:val="center"/>
          </w:tcPr>
          <w:p w14:paraId="50D98057">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泄爆方式确定及泄爆面积计算</w:t>
            </w:r>
          </w:p>
        </w:tc>
        <w:tc>
          <w:tcPr>
            <w:tcW w:w="303" w:type="pct"/>
            <w:vAlign w:val="center"/>
          </w:tcPr>
          <w:p w14:paraId="431D5EF3">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lang w:val="en-US"/>
              </w:rPr>
            </w:pPr>
            <w:r>
              <w:rPr>
                <w:rFonts w:hint="eastAsia" w:ascii="仿宋" w:hAnsi="仿宋" w:eastAsia="仿宋" w:cs="仿宋"/>
                <w:color w:val="000000"/>
                <w:kern w:val="0"/>
                <w:sz w:val="18"/>
                <w:szCs w:val="18"/>
                <w:lang w:val="en-US" w:eastAsia="zh-CN" w:bidi="ar"/>
              </w:rPr>
              <w:t>0.5</w:t>
            </w:r>
          </w:p>
        </w:tc>
        <w:tc>
          <w:tcPr>
            <w:tcW w:w="1198" w:type="pct"/>
            <w:vAlign w:val="center"/>
          </w:tcPr>
          <w:p w14:paraId="349DF4E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泄爆方式和泄爆面积的计算</w:t>
            </w:r>
          </w:p>
          <w:p w14:paraId="58D065D8">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p>
        </w:tc>
        <w:tc>
          <w:tcPr>
            <w:tcW w:w="550" w:type="pct"/>
            <w:vAlign w:val="center"/>
          </w:tcPr>
          <w:p w14:paraId="4DDFF9F1">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讲授</w:t>
            </w:r>
          </w:p>
        </w:tc>
        <w:tc>
          <w:tcPr>
            <w:tcW w:w="550" w:type="pct"/>
            <w:vAlign w:val="center"/>
          </w:tcPr>
          <w:p w14:paraId="24B5C8F9">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设计报告</w:t>
            </w:r>
            <w:r>
              <w:rPr>
                <w:rFonts w:hint="eastAsia" w:ascii="仿宋" w:hAnsi="仿宋" w:eastAsia="仿宋"/>
                <w:color w:val="000000"/>
                <w:kern w:val="0"/>
                <w:sz w:val="18"/>
                <w:szCs w:val="18"/>
              </w:rPr>
              <w:t>+</w:t>
            </w:r>
          </w:p>
          <w:p w14:paraId="6671FA35">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课程答辩</w:t>
            </w:r>
          </w:p>
        </w:tc>
        <w:tc>
          <w:tcPr>
            <w:tcW w:w="551" w:type="pct"/>
            <w:vAlign w:val="center"/>
          </w:tcPr>
          <w:p w14:paraId="000F5FC6">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目标1</w:t>
            </w:r>
          </w:p>
          <w:p w14:paraId="68D9DE95">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目标2</w:t>
            </w:r>
          </w:p>
          <w:p w14:paraId="07E2E2A2">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目标3</w:t>
            </w:r>
          </w:p>
        </w:tc>
      </w:tr>
      <w:tr w14:paraId="4229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754FE951">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4</w:t>
            </w:r>
          </w:p>
        </w:tc>
        <w:tc>
          <w:tcPr>
            <w:tcW w:w="543" w:type="pct"/>
            <w:shd w:val="clear" w:color="auto" w:fill="auto"/>
            <w:vAlign w:val="center"/>
          </w:tcPr>
          <w:p w14:paraId="15B6C868">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第4章</w:t>
            </w:r>
          </w:p>
        </w:tc>
        <w:tc>
          <w:tcPr>
            <w:tcW w:w="998" w:type="pct"/>
            <w:shd w:val="clear" w:color="auto" w:fill="auto"/>
            <w:vAlign w:val="center"/>
          </w:tcPr>
          <w:p w14:paraId="2032FA8D">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消防灭火器的配备</w:t>
            </w:r>
          </w:p>
        </w:tc>
        <w:tc>
          <w:tcPr>
            <w:tcW w:w="303" w:type="pct"/>
            <w:vAlign w:val="center"/>
          </w:tcPr>
          <w:p w14:paraId="5EC2B29C">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2</w:t>
            </w:r>
          </w:p>
        </w:tc>
        <w:tc>
          <w:tcPr>
            <w:tcW w:w="1198" w:type="pct"/>
            <w:vAlign w:val="center"/>
          </w:tcPr>
          <w:p w14:paraId="4B5CEC06">
            <w:pPr>
              <w:widowControl/>
              <w:ind w:firstLine="180" w:firstLineChars="10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灭火器配置场所的火灾种类和危险等级、灭火器的选择、灭火器的配置设计计算</w:t>
            </w:r>
          </w:p>
        </w:tc>
        <w:tc>
          <w:tcPr>
            <w:tcW w:w="550" w:type="pct"/>
            <w:vAlign w:val="center"/>
          </w:tcPr>
          <w:p w14:paraId="4E045B08">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讲授</w:t>
            </w:r>
          </w:p>
        </w:tc>
        <w:tc>
          <w:tcPr>
            <w:tcW w:w="550" w:type="pct"/>
            <w:vAlign w:val="center"/>
          </w:tcPr>
          <w:p w14:paraId="77190E28">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设计报告</w:t>
            </w:r>
            <w:r>
              <w:rPr>
                <w:rFonts w:hint="eastAsia" w:ascii="仿宋" w:hAnsi="仿宋" w:eastAsia="仿宋"/>
                <w:color w:val="000000"/>
                <w:kern w:val="0"/>
                <w:sz w:val="18"/>
                <w:szCs w:val="18"/>
              </w:rPr>
              <w:t>+</w:t>
            </w:r>
          </w:p>
          <w:p w14:paraId="094F7D04">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课程答辩</w:t>
            </w:r>
          </w:p>
        </w:tc>
        <w:tc>
          <w:tcPr>
            <w:tcW w:w="551" w:type="pct"/>
            <w:vAlign w:val="center"/>
          </w:tcPr>
          <w:p w14:paraId="2668FB7B">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目标1</w:t>
            </w:r>
          </w:p>
          <w:p w14:paraId="2484640B">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目标2</w:t>
            </w:r>
          </w:p>
          <w:p w14:paraId="64162F81">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目标3</w:t>
            </w:r>
          </w:p>
        </w:tc>
      </w:tr>
      <w:tr w14:paraId="579F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3FC1BBA4">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5</w:t>
            </w:r>
          </w:p>
        </w:tc>
        <w:tc>
          <w:tcPr>
            <w:tcW w:w="543" w:type="pct"/>
            <w:shd w:val="clear" w:color="auto" w:fill="auto"/>
            <w:vAlign w:val="center"/>
          </w:tcPr>
          <w:p w14:paraId="0648644A">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第5章</w:t>
            </w:r>
          </w:p>
        </w:tc>
        <w:tc>
          <w:tcPr>
            <w:tcW w:w="998" w:type="pct"/>
            <w:shd w:val="clear" w:color="auto" w:fill="auto"/>
            <w:vAlign w:val="center"/>
          </w:tcPr>
          <w:p w14:paraId="223C18F7">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防火防爆安全对策措施</w:t>
            </w:r>
          </w:p>
        </w:tc>
        <w:tc>
          <w:tcPr>
            <w:tcW w:w="303" w:type="pct"/>
            <w:vAlign w:val="center"/>
          </w:tcPr>
          <w:p w14:paraId="76968A67">
            <w:pPr>
              <w:keepNext w:val="0"/>
              <w:keepLines w:val="0"/>
              <w:widowControl/>
              <w:suppressLineNumbers w:val="0"/>
              <w:spacing w:before="0" w:beforeAutospacing="0" w:after="0" w:afterAutospacing="0"/>
              <w:ind w:left="0" w:leftChars="0" w:right="0" w:rightChars="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2</w:t>
            </w:r>
          </w:p>
        </w:tc>
        <w:tc>
          <w:tcPr>
            <w:tcW w:w="1198" w:type="pct"/>
            <w:vAlign w:val="center"/>
          </w:tcPr>
          <w:p w14:paraId="4B2ED4A1">
            <w:pPr>
              <w:widowControl/>
              <w:ind w:firstLine="180" w:firstLineChars="100"/>
              <w:jc w:val="center"/>
              <w:rPr>
                <w:rFonts w:hint="default" w:ascii="仿宋" w:hAnsi="仿宋" w:eastAsia="仿宋"/>
                <w:color w:val="000000"/>
                <w:kern w:val="0"/>
                <w:sz w:val="18"/>
                <w:szCs w:val="18"/>
              </w:rPr>
            </w:pPr>
            <w:r>
              <w:rPr>
                <w:rFonts w:hint="eastAsia" w:ascii="仿宋" w:hAnsi="仿宋" w:eastAsia="仿宋" w:cs="仿宋"/>
                <w:color w:val="000000"/>
                <w:kern w:val="0"/>
                <w:sz w:val="18"/>
                <w:szCs w:val="18"/>
                <w:lang w:val="en-US" w:eastAsia="zh-CN" w:bidi="ar"/>
              </w:rPr>
              <w:t>安全管理及教育措施、安全技术措施</w:t>
            </w:r>
          </w:p>
        </w:tc>
        <w:tc>
          <w:tcPr>
            <w:tcW w:w="550" w:type="pct"/>
            <w:vAlign w:val="center"/>
          </w:tcPr>
          <w:p w14:paraId="616F24DF">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讲授</w:t>
            </w:r>
          </w:p>
        </w:tc>
        <w:tc>
          <w:tcPr>
            <w:tcW w:w="550" w:type="pct"/>
            <w:vAlign w:val="center"/>
          </w:tcPr>
          <w:p w14:paraId="28B679FD">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设计报告</w:t>
            </w:r>
            <w:r>
              <w:rPr>
                <w:rFonts w:hint="eastAsia" w:ascii="仿宋" w:hAnsi="仿宋" w:eastAsia="仿宋"/>
                <w:color w:val="000000"/>
                <w:kern w:val="0"/>
                <w:sz w:val="18"/>
                <w:szCs w:val="18"/>
              </w:rPr>
              <w:t>+</w:t>
            </w:r>
          </w:p>
          <w:p w14:paraId="310B229B">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lang w:val="en-US" w:eastAsia="zh-CN"/>
              </w:rPr>
              <w:t>课程答辩</w:t>
            </w:r>
          </w:p>
        </w:tc>
        <w:tc>
          <w:tcPr>
            <w:tcW w:w="551" w:type="pct"/>
            <w:vAlign w:val="center"/>
          </w:tcPr>
          <w:p w14:paraId="36BBEC77">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目标1</w:t>
            </w:r>
          </w:p>
          <w:p w14:paraId="626B6CDE">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目标2</w:t>
            </w:r>
          </w:p>
          <w:p w14:paraId="455B38CE">
            <w:pPr>
              <w:keepNext w:val="0"/>
              <w:keepLines w:val="0"/>
              <w:widowControl/>
              <w:suppressLineNumbers w:val="0"/>
              <w:spacing w:before="0" w:beforeAutospacing="0" w:after="0" w:afterAutospacing="0"/>
              <w:ind w:left="0" w:right="0"/>
              <w:jc w:val="center"/>
              <w:rPr>
                <w:rFonts w:hint="default" w:ascii="仿宋" w:hAnsi="仿宋" w:eastAsia="仿宋"/>
                <w:color w:val="000000"/>
                <w:kern w:val="0"/>
                <w:sz w:val="18"/>
                <w:szCs w:val="18"/>
              </w:rPr>
            </w:pPr>
            <w:r>
              <w:rPr>
                <w:rFonts w:hint="eastAsia" w:ascii="仿宋" w:hAnsi="仿宋" w:eastAsia="仿宋"/>
                <w:color w:val="000000"/>
                <w:kern w:val="0"/>
                <w:sz w:val="18"/>
                <w:szCs w:val="18"/>
              </w:rPr>
              <w:t>目标3</w:t>
            </w:r>
          </w:p>
        </w:tc>
      </w:tr>
    </w:tbl>
    <w:p w14:paraId="505CFC5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1A4AA341">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3C65A6D1">
      <w:pPr>
        <w:snapToGrid w:val="0"/>
        <w:spacing w:line="360" w:lineRule="auto"/>
        <w:ind w:firstLine="1200" w:firstLineChars="500"/>
        <w:rPr>
          <w:rFonts w:ascii="仿宋" w:hAnsi="仿宋" w:eastAsia="仿宋"/>
          <w:b/>
          <w:color w:val="0070C0"/>
          <w:sz w:val="24"/>
        </w:rPr>
      </w:pPr>
      <w:r>
        <w:rPr>
          <w:rFonts w:hint="eastAsia" w:ascii="仿宋" w:hAnsi="仿宋" w:eastAsia="仿宋"/>
          <w:color w:val="000000" w:themeColor="text1"/>
          <w:sz w:val="24"/>
          <w14:textFill>
            <w14:solidFill>
              <w14:schemeClr w14:val="tx1"/>
            </w14:solidFill>
          </w14:textFill>
        </w:rPr>
        <w:t>百分制</w:t>
      </w:r>
    </w:p>
    <w:p w14:paraId="3FCD8439">
      <w:pPr>
        <w:numPr>
          <w:ilvl w:val="0"/>
          <w:numId w:val="1"/>
        </w:numPr>
        <w:snapToGrid w:val="0"/>
        <w:spacing w:line="360" w:lineRule="auto"/>
        <w:ind w:firstLine="482" w:firstLineChars="200"/>
        <w:rPr>
          <w:rFonts w:eastAsia="仿宋"/>
          <w:sz w:val="24"/>
        </w:rPr>
      </w:pPr>
      <w:r>
        <w:rPr>
          <w:rFonts w:hint="eastAsia" w:ascii="仿宋" w:hAnsi="仿宋" w:eastAsia="仿宋"/>
          <w:b/>
          <w:color w:val="000000"/>
          <w:sz w:val="24"/>
        </w:rPr>
        <w:t>成绩构成：</w:t>
      </w:r>
      <w:r>
        <w:rPr>
          <w:rFonts w:hint="eastAsia" w:eastAsia="仿宋"/>
          <w:sz w:val="24"/>
          <w:lang w:val="en-US" w:eastAsia="zh-CN"/>
        </w:rPr>
        <w:t>课程设计报告70</w:t>
      </w:r>
      <w:r>
        <w:rPr>
          <w:rFonts w:eastAsia="仿宋"/>
          <w:sz w:val="24"/>
        </w:rPr>
        <w:t>%</w:t>
      </w:r>
      <w:r>
        <w:rPr>
          <w:rFonts w:hint="eastAsia" w:eastAsia="仿宋"/>
          <w:sz w:val="24"/>
        </w:rPr>
        <w:t>，</w:t>
      </w:r>
      <w:r>
        <w:rPr>
          <w:rFonts w:hint="eastAsia" w:eastAsia="仿宋"/>
          <w:sz w:val="24"/>
          <w:lang w:val="en-US" w:eastAsia="zh-CN"/>
        </w:rPr>
        <w:t>课程设计答辩30</w:t>
      </w:r>
      <w:r>
        <w:rPr>
          <w:rFonts w:eastAsia="仿宋"/>
          <w:sz w:val="24"/>
        </w:rPr>
        <w:t>%</w:t>
      </w:r>
    </w:p>
    <w:p w14:paraId="583A79CA">
      <w:pPr>
        <w:numPr>
          <w:numId w:val="0"/>
        </w:num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997"/>
        <w:gridCol w:w="3011"/>
        <w:gridCol w:w="2542"/>
      </w:tblGrid>
      <w:tr w14:paraId="6B9B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2" w:type="dxa"/>
            <w:shd w:val="clear" w:color="auto" w:fill="auto"/>
            <w:vAlign w:val="center"/>
          </w:tcPr>
          <w:p w14:paraId="565F289A">
            <w:pPr>
              <w:keepNext w:val="0"/>
              <w:keepLines w:val="0"/>
              <w:suppressLineNumbers w:val="0"/>
              <w:snapToGrid w:val="0"/>
              <w:spacing w:before="0" w:beforeAutospacing="0" w:after="0" w:afterAutospacing="0" w:line="360" w:lineRule="auto"/>
              <w:ind w:left="0" w:right="0"/>
              <w:jc w:val="center"/>
              <w:rPr>
                <w:rFonts w:hint="default" w:ascii="仿宋" w:hAnsi="仿宋" w:eastAsia="仿宋"/>
                <w:b/>
                <w:color w:val="000000"/>
                <w:sz w:val="24"/>
              </w:rPr>
            </w:pPr>
            <w:r>
              <w:rPr>
                <w:rFonts w:hint="eastAsia" w:ascii="仿宋" w:hAnsi="仿宋" w:eastAsia="仿宋"/>
                <w:b/>
                <w:color w:val="000000"/>
                <w:sz w:val="24"/>
              </w:rPr>
              <w:t>考核环节</w:t>
            </w:r>
          </w:p>
        </w:tc>
        <w:tc>
          <w:tcPr>
            <w:tcW w:w="997" w:type="dxa"/>
          </w:tcPr>
          <w:p w14:paraId="1BA57D34">
            <w:pPr>
              <w:keepNext w:val="0"/>
              <w:keepLines w:val="0"/>
              <w:suppressLineNumbers w:val="0"/>
              <w:snapToGrid w:val="0"/>
              <w:spacing w:before="0" w:beforeAutospacing="0" w:after="0" w:afterAutospacing="0" w:line="360" w:lineRule="auto"/>
              <w:ind w:left="0" w:right="0"/>
              <w:jc w:val="center"/>
              <w:rPr>
                <w:rFonts w:hint="default" w:ascii="仿宋" w:hAnsi="仿宋" w:eastAsia="仿宋"/>
                <w:b/>
                <w:color w:val="000000"/>
                <w:sz w:val="24"/>
              </w:rPr>
            </w:pPr>
            <w:r>
              <w:rPr>
                <w:rFonts w:hint="eastAsia" w:ascii="仿宋" w:hAnsi="仿宋" w:eastAsia="仿宋"/>
                <w:b/>
                <w:color w:val="000000"/>
                <w:sz w:val="24"/>
              </w:rPr>
              <w:t>分值</w:t>
            </w:r>
          </w:p>
        </w:tc>
        <w:tc>
          <w:tcPr>
            <w:tcW w:w="3011" w:type="dxa"/>
          </w:tcPr>
          <w:p w14:paraId="36C104E4">
            <w:pPr>
              <w:keepNext w:val="0"/>
              <w:keepLines w:val="0"/>
              <w:suppressLineNumbers w:val="0"/>
              <w:snapToGrid w:val="0"/>
              <w:spacing w:before="0" w:beforeAutospacing="0" w:after="0" w:afterAutospacing="0" w:line="360" w:lineRule="auto"/>
              <w:ind w:left="0" w:right="0"/>
              <w:jc w:val="center"/>
              <w:rPr>
                <w:rFonts w:hint="default" w:ascii="仿宋" w:hAnsi="仿宋" w:eastAsia="仿宋"/>
                <w:b/>
                <w:color w:val="000000"/>
                <w:sz w:val="24"/>
              </w:rPr>
            </w:pPr>
            <w:r>
              <w:rPr>
                <w:rFonts w:hint="eastAsia" w:ascii="仿宋" w:hAnsi="仿宋" w:eastAsia="仿宋"/>
                <w:b/>
                <w:color w:val="000000"/>
                <w:sz w:val="24"/>
              </w:rPr>
              <w:t>考核/评价细则</w:t>
            </w:r>
          </w:p>
        </w:tc>
        <w:tc>
          <w:tcPr>
            <w:tcW w:w="2542" w:type="dxa"/>
          </w:tcPr>
          <w:p w14:paraId="25E55FDE">
            <w:pPr>
              <w:keepNext w:val="0"/>
              <w:keepLines w:val="0"/>
              <w:suppressLineNumbers w:val="0"/>
              <w:snapToGrid w:val="0"/>
              <w:spacing w:before="0" w:beforeAutospacing="0" w:after="0" w:afterAutospacing="0" w:line="360" w:lineRule="auto"/>
              <w:ind w:left="0" w:right="0"/>
              <w:jc w:val="center"/>
              <w:rPr>
                <w:rFonts w:hint="default" w:ascii="仿宋" w:hAnsi="仿宋" w:eastAsia="仿宋"/>
                <w:b/>
                <w:color w:val="000000"/>
                <w:sz w:val="24"/>
              </w:rPr>
            </w:pPr>
            <w:r>
              <w:rPr>
                <w:rFonts w:hint="eastAsia" w:ascii="仿宋" w:hAnsi="仿宋" w:eastAsia="仿宋"/>
                <w:b/>
                <w:color w:val="000000"/>
                <w:sz w:val="24"/>
              </w:rPr>
              <w:t>对应的课程目标</w:t>
            </w:r>
          </w:p>
        </w:tc>
      </w:tr>
      <w:tr w14:paraId="348B1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2" w:type="dxa"/>
            <w:tcBorders/>
            <w:shd w:val="clear" w:color="auto" w:fill="auto"/>
            <w:vAlign w:val="center"/>
          </w:tcPr>
          <w:p w14:paraId="0B596F1B">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rPr>
            </w:pPr>
            <w:r>
              <w:rPr>
                <w:rFonts w:hint="eastAsia" w:ascii="仿宋" w:hAnsi="仿宋" w:eastAsia="仿宋"/>
                <w:b w:val="0"/>
                <w:bCs/>
                <w:color w:val="000000"/>
                <w:sz w:val="24"/>
                <w:lang w:val="en-US" w:eastAsia="zh-CN"/>
              </w:rPr>
              <w:t>设计报告</w:t>
            </w:r>
          </w:p>
        </w:tc>
        <w:tc>
          <w:tcPr>
            <w:tcW w:w="997" w:type="dxa"/>
            <w:vAlign w:val="center"/>
          </w:tcPr>
          <w:p w14:paraId="46A1ECF8">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lang w:val="en-US"/>
              </w:rPr>
            </w:pPr>
            <w:r>
              <w:rPr>
                <w:rFonts w:hint="eastAsia" w:ascii="仿宋" w:hAnsi="仿宋" w:eastAsia="仿宋"/>
                <w:b w:val="0"/>
                <w:bCs/>
                <w:color w:val="000000"/>
                <w:sz w:val="24"/>
                <w:lang w:val="en-US" w:eastAsia="zh-CN"/>
              </w:rPr>
              <w:t>70</w:t>
            </w:r>
          </w:p>
        </w:tc>
        <w:tc>
          <w:tcPr>
            <w:tcW w:w="3011" w:type="dxa"/>
            <w:vAlign w:val="center"/>
          </w:tcPr>
          <w:p w14:paraId="2DC1006E">
            <w:pPr>
              <w:keepNext w:val="0"/>
              <w:keepLines w:val="0"/>
              <w:widowControl/>
              <w:suppressLineNumbers w:val="0"/>
              <w:spacing w:before="0" w:beforeAutospacing="0" w:after="0" w:afterAutospacing="0"/>
              <w:ind w:left="0" w:right="0"/>
              <w:jc w:val="left"/>
              <w:rPr>
                <w:rFonts w:hint="default" w:ascii="仿宋" w:hAnsi="仿宋" w:eastAsia="仿宋" w:cs="宋体"/>
                <w:bCs/>
                <w:kern w:val="0"/>
                <w:sz w:val="24"/>
              </w:rPr>
            </w:pPr>
            <w:r>
              <w:rPr>
                <w:rFonts w:hint="eastAsia" w:ascii="仿宋" w:hAnsi="仿宋" w:eastAsia="仿宋" w:cs="宋体"/>
                <w:bCs/>
                <w:color w:val="000000"/>
                <w:kern w:val="0"/>
                <w:sz w:val="18"/>
                <w:szCs w:val="18"/>
              </w:rPr>
              <w:t>主要考核学生的知识掌握程度</w:t>
            </w:r>
            <w:r>
              <w:rPr>
                <w:rFonts w:hint="eastAsia" w:ascii="仿宋" w:hAnsi="仿宋" w:eastAsia="仿宋" w:cs="宋体"/>
                <w:bCs/>
                <w:color w:val="000000"/>
                <w:kern w:val="0"/>
                <w:sz w:val="18"/>
                <w:szCs w:val="18"/>
                <w:lang w:val="en-US" w:eastAsia="zh-CN"/>
              </w:rPr>
              <w:t>和工程实践能力</w:t>
            </w:r>
            <w:r>
              <w:rPr>
                <w:rFonts w:hint="eastAsia" w:ascii="仿宋" w:hAnsi="仿宋" w:eastAsia="仿宋" w:cs="宋体"/>
                <w:bCs/>
                <w:color w:val="000000"/>
                <w:kern w:val="0"/>
                <w:sz w:val="18"/>
                <w:szCs w:val="18"/>
              </w:rPr>
              <w:t>；成绩</w:t>
            </w:r>
            <w:r>
              <w:rPr>
                <w:rFonts w:hint="eastAsia" w:ascii="仿宋" w:hAnsi="仿宋" w:eastAsia="仿宋" w:cs="宋体"/>
                <w:bCs/>
                <w:color w:val="000000"/>
                <w:kern w:val="0"/>
                <w:sz w:val="18"/>
                <w:szCs w:val="18"/>
                <w:lang w:val="en-US" w:eastAsia="zh-CN"/>
              </w:rPr>
              <w:t>占</w:t>
            </w:r>
            <w:r>
              <w:rPr>
                <w:rFonts w:hint="eastAsia" w:ascii="仿宋" w:hAnsi="仿宋" w:eastAsia="仿宋" w:cs="宋体"/>
                <w:bCs/>
                <w:color w:val="000000"/>
                <w:kern w:val="0"/>
                <w:sz w:val="18"/>
                <w:szCs w:val="18"/>
              </w:rPr>
              <w:t>总评成绩</w:t>
            </w:r>
            <w:r>
              <w:rPr>
                <w:rFonts w:hint="eastAsia" w:ascii="仿宋" w:hAnsi="仿宋" w:eastAsia="仿宋" w:cs="宋体"/>
                <w:bCs/>
                <w:color w:val="000000"/>
                <w:kern w:val="0"/>
                <w:sz w:val="18"/>
                <w:szCs w:val="18"/>
                <w:lang w:val="en-US" w:eastAsia="zh-CN"/>
              </w:rPr>
              <w:t>70%</w:t>
            </w:r>
            <w:r>
              <w:rPr>
                <w:rFonts w:hint="eastAsia" w:ascii="仿宋" w:hAnsi="仿宋" w:eastAsia="仿宋" w:cs="宋体"/>
                <w:bCs/>
                <w:color w:val="000000"/>
                <w:kern w:val="0"/>
                <w:sz w:val="18"/>
                <w:szCs w:val="18"/>
              </w:rPr>
              <w:t>。</w:t>
            </w:r>
          </w:p>
        </w:tc>
        <w:tc>
          <w:tcPr>
            <w:tcW w:w="2542" w:type="dxa"/>
            <w:vAlign w:val="center"/>
          </w:tcPr>
          <w:p w14:paraId="603A3834">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rPr>
            </w:pPr>
            <w:r>
              <w:rPr>
                <w:rFonts w:hint="eastAsia" w:ascii="仿宋" w:hAnsi="仿宋" w:eastAsia="仿宋"/>
                <w:b w:val="0"/>
                <w:bCs/>
                <w:color w:val="000000"/>
                <w:sz w:val="24"/>
              </w:rPr>
              <w:t>目标</w:t>
            </w:r>
            <w:r>
              <w:rPr>
                <w:rFonts w:hint="default" w:ascii="仿宋" w:hAnsi="仿宋" w:eastAsia="仿宋"/>
                <w:b w:val="0"/>
                <w:bCs/>
                <w:color w:val="000000"/>
                <w:sz w:val="24"/>
              </w:rPr>
              <w:t>1</w:t>
            </w:r>
            <w:r>
              <w:rPr>
                <w:rFonts w:hint="eastAsia" w:ascii="仿宋" w:hAnsi="仿宋" w:eastAsia="仿宋"/>
                <w:b w:val="0"/>
                <w:bCs/>
                <w:color w:val="000000"/>
                <w:sz w:val="24"/>
              </w:rPr>
              <w:t>、目标</w:t>
            </w:r>
            <w:r>
              <w:rPr>
                <w:rFonts w:hint="default" w:ascii="仿宋" w:hAnsi="仿宋" w:eastAsia="仿宋"/>
                <w:b w:val="0"/>
                <w:bCs/>
                <w:color w:val="000000"/>
                <w:sz w:val="24"/>
              </w:rPr>
              <w:t>3</w:t>
            </w:r>
          </w:p>
        </w:tc>
      </w:tr>
      <w:tr w14:paraId="3669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2" w:type="dxa"/>
            <w:tcBorders/>
            <w:shd w:val="clear" w:color="auto" w:fill="auto"/>
            <w:vAlign w:val="center"/>
          </w:tcPr>
          <w:p w14:paraId="2449C48D">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课程答辩</w:t>
            </w:r>
          </w:p>
        </w:tc>
        <w:tc>
          <w:tcPr>
            <w:tcW w:w="997" w:type="dxa"/>
            <w:vAlign w:val="center"/>
          </w:tcPr>
          <w:p w14:paraId="6251DED6">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lang w:val="en-US"/>
              </w:rPr>
            </w:pPr>
            <w:r>
              <w:rPr>
                <w:rFonts w:hint="eastAsia" w:ascii="仿宋" w:hAnsi="仿宋" w:eastAsia="仿宋"/>
                <w:b w:val="0"/>
                <w:bCs/>
                <w:color w:val="000000"/>
                <w:sz w:val="24"/>
                <w:lang w:val="en-US" w:eastAsia="zh-CN"/>
              </w:rPr>
              <w:t>30</w:t>
            </w:r>
          </w:p>
        </w:tc>
        <w:tc>
          <w:tcPr>
            <w:tcW w:w="3011" w:type="dxa"/>
            <w:vAlign w:val="center"/>
          </w:tcPr>
          <w:p w14:paraId="269FC227">
            <w:pPr>
              <w:keepNext w:val="0"/>
              <w:keepLines w:val="0"/>
              <w:widowControl/>
              <w:suppressLineNumbers w:val="0"/>
              <w:spacing w:before="0" w:beforeAutospacing="0" w:after="0" w:afterAutospacing="0"/>
              <w:ind w:left="0" w:right="0"/>
              <w:jc w:val="left"/>
              <w:rPr>
                <w:rFonts w:hint="default" w:ascii="宋体" w:hAnsi="宋体" w:cs="宋体"/>
                <w:bCs/>
                <w:kern w:val="0"/>
                <w:sz w:val="24"/>
              </w:rPr>
            </w:pPr>
            <w:r>
              <w:rPr>
                <w:rFonts w:hint="eastAsia" w:ascii="仿宋" w:hAnsi="仿宋" w:eastAsia="仿宋" w:cs="宋体"/>
                <w:bCs/>
                <w:color w:val="000000"/>
                <w:kern w:val="0"/>
                <w:sz w:val="18"/>
                <w:szCs w:val="18"/>
                <w:lang w:val="en-US" w:eastAsia="zh-CN"/>
              </w:rPr>
              <w:t>主要考核学生语言表达能力和逻辑运用能力；</w:t>
            </w:r>
            <w:r>
              <w:rPr>
                <w:rFonts w:hint="eastAsia" w:ascii="仿宋" w:hAnsi="仿宋" w:eastAsia="仿宋" w:cs="宋体"/>
                <w:bCs/>
                <w:color w:val="000000"/>
                <w:kern w:val="0"/>
                <w:sz w:val="18"/>
                <w:szCs w:val="18"/>
              </w:rPr>
              <w:t>成绩</w:t>
            </w:r>
            <w:r>
              <w:rPr>
                <w:rFonts w:hint="eastAsia" w:ascii="仿宋" w:hAnsi="仿宋" w:eastAsia="仿宋" w:cs="宋体"/>
                <w:bCs/>
                <w:color w:val="000000"/>
                <w:kern w:val="0"/>
                <w:sz w:val="18"/>
                <w:szCs w:val="18"/>
                <w:lang w:val="en-US" w:eastAsia="zh-CN"/>
              </w:rPr>
              <w:t>占</w:t>
            </w:r>
            <w:r>
              <w:rPr>
                <w:rFonts w:hint="eastAsia" w:ascii="仿宋" w:hAnsi="仿宋" w:eastAsia="仿宋" w:cs="宋体"/>
                <w:bCs/>
                <w:color w:val="000000"/>
                <w:kern w:val="0"/>
                <w:sz w:val="18"/>
                <w:szCs w:val="18"/>
              </w:rPr>
              <w:t>总评成绩</w:t>
            </w:r>
            <w:r>
              <w:rPr>
                <w:rFonts w:hint="eastAsia" w:ascii="仿宋" w:hAnsi="仿宋" w:eastAsia="仿宋" w:cs="宋体"/>
                <w:bCs/>
                <w:color w:val="000000"/>
                <w:kern w:val="0"/>
                <w:sz w:val="18"/>
                <w:szCs w:val="18"/>
                <w:lang w:val="en-US" w:eastAsia="zh-CN"/>
              </w:rPr>
              <w:t>30%</w:t>
            </w:r>
            <w:r>
              <w:rPr>
                <w:rFonts w:hint="eastAsia" w:ascii="仿宋" w:hAnsi="仿宋" w:eastAsia="仿宋" w:cs="宋体"/>
                <w:bCs/>
                <w:color w:val="000000"/>
                <w:kern w:val="0"/>
                <w:sz w:val="18"/>
                <w:szCs w:val="18"/>
              </w:rPr>
              <w:t>。</w:t>
            </w:r>
          </w:p>
        </w:tc>
        <w:tc>
          <w:tcPr>
            <w:tcW w:w="2542" w:type="dxa"/>
            <w:vAlign w:val="center"/>
          </w:tcPr>
          <w:p w14:paraId="59E80DE2">
            <w:pPr>
              <w:keepNext w:val="0"/>
              <w:keepLines w:val="0"/>
              <w:suppressLineNumbers w:val="0"/>
              <w:snapToGrid w:val="0"/>
              <w:spacing w:before="0" w:beforeAutospacing="0" w:after="0" w:afterAutospacing="0" w:line="360" w:lineRule="auto"/>
              <w:ind w:left="0" w:right="0"/>
              <w:jc w:val="center"/>
              <w:rPr>
                <w:rFonts w:hint="default" w:ascii="仿宋" w:hAnsi="仿宋" w:eastAsia="仿宋"/>
                <w:b w:val="0"/>
                <w:bCs/>
                <w:color w:val="000000"/>
                <w:sz w:val="24"/>
              </w:rPr>
            </w:pPr>
            <w:r>
              <w:rPr>
                <w:rFonts w:hint="eastAsia" w:ascii="仿宋" w:hAnsi="仿宋" w:eastAsia="仿宋"/>
                <w:b w:val="0"/>
                <w:bCs/>
                <w:color w:val="000000"/>
                <w:sz w:val="24"/>
              </w:rPr>
              <w:t>目标</w:t>
            </w:r>
            <w:r>
              <w:rPr>
                <w:rFonts w:hint="default" w:ascii="仿宋" w:hAnsi="仿宋" w:eastAsia="仿宋"/>
                <w:b w:val="0"/>
                <w:bCs/>
                <w:color w:val="000000"/>
                <w:sz w:val="24"/>
              </w:rPr>
              <w:t>1、目标2</w:t>
            </w:r>
          </w:p>
        </w:tc>
      </w:tr>
    </w:tbl>
    <w:p w14:paraId="01A00A33">
      <w:pPr>
        <w:numPr>
          <w:ilvl w:val="0"/>
          <w:numId w:val="1"/>
        </w:numPr>
        <w:snapToGrid w:val="0"/>
        <w:spacing w:line="360" w:lineRule="auto"/>
        <w:ind w:left="0" w:leftChars="0" w:firstLine="482" w:firstLineChars="200"/>
        <w:rPr>
          <w:rFonts w:hint="eastAsia" w:ascii="仿宋" w:hAnsi="仿宋" w:eastAsia="仿宋"/>
          <w:b/>
          <w:color w:val="000000"/>
          <w:sz w:val="24"/>
        </w:rPr>
      </w:pPr>
      <w:r>
        <w:rPr>
          <w:rFonts w:hint="eastAsia" w:ascii="仿宋" w:hAnsi="仿宋" w:eastAsia="仿宋"/>
          <w:b/>
          <w:color w:val="000000"/>
          <w:sz w:val="24"/>
          <w:lang w:val="en-US" w:eastAsia="zh-CN"/>
        </w:rPr>
        <w:t>课程设计报告撰写要求</w:t>
      </w:r>
      <w:r>
        <w:rPr>
          <w:rFonts w:hint="eastAsia" w:ascii="仿宋" w:hAnsi="仿宋" w:eastAsia="仿宋"/>
          <w:b/>
          <w:color w:val="000000"/>
          <w:sz w:val="24"/>
        </w:rPr>
        <w:t>：</w:t>
      </w:r>
    </w:p>
    <w:p w14:paraId="2C946209">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（1）完成时间：2周</w:t>
      </w:r>
      <w:r>
        <w:rPr>
          <w:rFonts w:hint="eastAsia" w:ascii="仿宋" w:hAnsi="仿宋" w:eastAsia="仿宋" w:cs="仿宋"/>
          <w:sz w:val="24"/>
          <w:szCs w:val="24"/>
          <w:lang w:eastAsia="zh-CN"/>
        </w:rPr>
        <w:t>。</w:t>
      </w:r>
    </w:p>
    <w:p w14:paraId="06C3CE2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要求每个学生完成课程设计书一份，约5000字。要求学生对所设计的内容必须概念准确，参数选择合理，符合设计手册与设计规范及相关参考书籍的要求，计算正确，计算书书写工整、清晰，文笔流畅。设计合理，图表清晰，符合规范。</w:t>
      </w:r>
    </w:p>
    <w:p w14:paraId="7FD83433">
      <w:pPr>
        <w:spacing w:line="360" w:lineRule="auto"/>
        <w:ind w:firstLine="480" w:firstLineChars="200"/>
        <w:rPr>
          <w:rFonts w:hint="eastAsia" w:ascii="仿宋" w:hAnsi="仿宋" w:eastAsia="仿宋" w:cs="仿宋"/>
          <w:bCs/>
          <w:color w:val="0070C0"/>
          <w:sz w:val="24"/>
          <w:szCs w:val="24"/>
          <w:lang w:eastAsia="zh-CN"/>
        </w:rPr>
      </w:pPr>
      <w:r>
        <w:rPr>
          <w:rFonts w:hint="eastAsia" w:ascii="仿宋" w:hAnsi="仿宋" w:eastAsia="仿宋" w:cs="仿宋"/>
          <w:sz w:val="24"/>
          <w:szCs w:val="24"/>
        </w:rPr>
        <w:t>（3）独立完成</w:t>
      </w:r>
      <w:r>
        <w:rPr>
          <w:rFonts w:hint="eastAsia" w:ascii="仿宋" w:hAnsi="仿宋" w:eastAsia="仿宋" w:cs="仿宋"/>
          <w:sz w:val="24"/>
          <w:szCs w:val="24"/>
          <w:lang w:eastAsia="zh-CN"/>
        </w:rPr>
        <w:t>。</w:t>
      </w:r>
    </w:p>
    <w:p w14:paraId="75077FB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3BBB954E">
      <w:pPr>
        <w:spacing w:line="360" w:lineRule="auto"/>
        <w:ind w:firstLine="482" w:firstLineChars="200"/>
        <w:rPr>
          <w:rFonts w:eastAsia="仿宋"/>
          <w:b/>
          <w:color w:val="000000"/>
          <w:sz w:val="24"/>
        </w:rPr>
      </w:pPr>
      <w:r>
        <w:rPr>
          <w:rFonts w:eastAsia="仿宋"/>
          <w:b/>
          <w:color w:val="000000"/>
          <w:sz w:val="24"/>
        </w:rPr>
        <w:t>1．教材</w:t>
      </w:r>
    </w:p>
    <w:tbl>
      <w:tblPr>
        <w:tblStyle w:val="11"/>
        <w:tblW w:w="5000" w:type="pct"/>
        <w:tblInd w:w="0" w:type="dxa"/>
        <w:tblLayout w:type="autofit"/>
        <w:tblCellMar>
          <w:top w:w="0" w:type="dxa"/>
          <w:left w:w="108" w:type="dxa"/>
          <w:bottom w:w="0" w:type="dxa"/>
          <w:right w:w="108" w:type="dxa"/>
        </w:tblCellMar>
      </w:tblPr>
      <w:tblGrid>
        <w:gridCol w:w="670"/>
        <w:gridCol w:w="1141"/>
        <w:gridCol w:w="1255"/>
        <w:gridCol w:w="861"/>
        <w:gridCol w:w="1089"/>
        <w:gridCol w:w="1916"/>
        <w:gridCol w:w="1590"/>
      </w:tblGrid>
      <w:tr w14:paraId="456C928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BABA0">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3EE3F">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Style w:val="28"/>
                <w:rFonts w:hint="default"/>
                <w:lang w:bidi="ar"/>
              </w:rPr>
              <w:t>版次</w:t>
            </w:r>
          </w:p>
        </w:tc>
        <w:tc>
          <w:tcPr>
            <w:tcW w:w="1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A78D">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Style w:val="30"/>
                <w:rFonts w:hint="default"/>
                <w:lang w:bidi="ar"/>
              </w:rPr>
              <w:t>印次</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9CB1">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F35A7">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A0B2E">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B071">
            <w:pPr>
              <w:keepNext w:val="0"/>
              <w:keepLines w:val="0"/>
              <w:widowControl/>
              <w:suppressLineNumbers w:val="0"/>
              <w:spacing w:before="0" w:beforeAutospacing="0" w:after="0" w:afterAutospacing="0"/>
              <w:ind w:left="0" w:right="0"/>
              <w:jc w:val="center"/>
              <w:textAlignment w:val="center"/>
              <w:rPr>
                <w:rFonts w:hint="default" w:ascii="宋体" w:hAnsi="宋体" w:cs="宋体"/>
                <w:b/>
                <w:bCs/>
                <w:color w:val="000000"/>
                <w:sz w:val="20"/>
                <w:szCs w:val="20"/>
              </w:rPr>
            </w:pPr>
            <w:r>
              <w:rPr>
                <w:rStyle w:val="30"/>
                <w:rFonts w:hint="default"/>
                <w:lang w:bidi="ar"/>
              </w:rPr>
              <w:t>教材级别</w:t>
            </w:r>
          </w:p>
        </w:tc>
      </w:tr>
      <w:tr w14:paraId="4BEAED9A">
        <w:tblPrEx>
          <w:tblCellMar>
            <w:top w:w="0" w:type="dxa"/>
            <w:left w:w="108" w:type="dxa"/>
            <w:bottom w:w="0" w:type="dxa"/>
            <w:right w:w="108" w:type="dxa"/>
          </w:tblCellMar>
        </w:tblPrEx>
        <w:trPr>
          <w:trHeight w:val="495" w:hRule="atLeast"/>
        </w:trPr>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16B6">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US" w:eastAsia="zh-CN" w:bidi="ar"/>
              </w:rPr>
              <w:t>防火防爆技术</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43DE">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US" w:eastAsia="zh-CN" w:bidi="ar"/>
              </w:rPr>
              <w:t>2018</w:t>
            </w:r>
            <w:r>
              <w:rPr>
                <w:rFonts w:hint="eastAsia" w:ascii="仿宋" w:hAnsi="仿宋" w:eastAsia="仿宋" w:cs="宋体"/>
                <w:color w:val="000000"/>
                <w:kern w:val="0"/>
                <w:sz w:val="20"/>
                <w:szCs w:val="20"/>
                <w:lang w:val="en-GB" w:eastAsia="zh-CN" w:bidi="ar"/>
              </w:rPr>
              <w:t>年</w:t>
            </w:r>
            <w:r>
              <w:rPr>
                <w:rFonts w:hint="eastAsia" w:ascii="仿宋" w:hAnsi="仿宋" w:eastAsia="仿宋" w:cs="宋体"/>
                <w:color w:val="000000"/>
                <w:kern w:val="0"/>
                <w:sz w:val="20"/>
                <w:szCs w:val="20"/>
                <w:lang w:val="en-US" w:eastAsia="zh-CN" w:bidi="ar"/>
              </w:rPr>
              <w:t>2</w:t>
            </w:r>
            <w:r>
              <w:rPr>
                <w:rFonts w:hint="eastAsia" w:ascii="仿宋" w:hAnsi="仿宋" w:eastAsia="仿宋" w:cs="宋体"/>
                <w:color w:val="000000"/>
                <w:kern w:val="0"/>
                <w:sz w:val="20"/>
                <w:szCs w:val="20"/>
                <w:lang w:val="en-GB" w:eastAsia="zh-CN" w:bidi="ar"/>
              </w:rPr>
              <w:t>月第1版</w:t>
            </w:r>
          </w:p>
        </w:tc>
        <w:tc>
          <w:tcPr>
            <w:tcW w:w="1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A9050">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US" w:eastAsia="zh-CN" w:bidi="ar"/>
              </w:rPr>
              <w:t>2022年1月第3次印刷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1FDC">
            <w:pPr>
              <w:keepNext w:val="0"/>
              <w:keepLines w:val="0"/>
              <w:widowControl/>
              <w:suppressLineNumbers w:val="0"/>
              <w:spacing w:before="0" w:beforeAutospacing="0" w:after="0" w:afterAutospacing="0"/>
              <w:ind w:left="0" w:leftChars="0" w:right="0" w:rightChars="0"/>
              <w:jc w:val="both"/>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US" w:eastAsia="zh-CN" w:bidi="ar"/>
              </w:rPr>
              <w:t>胡广霞</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09BF">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US" w:eastAsia="zh-CN" w:bidi="ar"/>
              </w:rPr>
              <w:t>中国石化出版社</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C186">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kern w:val="0"/>
                <w:sz w:val="20"/>
                <w:szCs w:val="20"/>
                <w:lang w:val="en-US" w:eastAsia="zh-CN" w:bidi="ar"/>
              </w:rPr>
            </w:pPr>
            <w:r>
              <w:rPr>
                <w:rFonts w:hint="eastAsia" w:ascii="仿宋" w:hAnsi="仿宋" w:eastAsia="仿宋" w:cs="宋体"/>
                <w:color w:val="000000"/>
                <w:kern w:val="0"/>
                <w:sz w:val="20"/>
                <w:szCs w:val="20"/>
                <w:lang w:val="en-GB" w:eastAsia="zh-CN" w:bidi="ar"/>
              </w:rPr>
              <w:t>978-7-</w:t>
            </w:r>
            <w:r>
              <w:rPr>
                <w:rFonts w:hint="eastAsia" w:ascii="仿宋" w:hAnsi="仿宋" w:eastAsia="仿宋" w:cs="宋体"/>
                <w:color w:val="000000"/>
                <w:kern w:val="0"/>
                <w:sz w:val="20"/>
                <w:szCs w:val="20"/>
                <w:lang w:val="en-US" w:eastAsia="zh-CN" w:bidi="ar"/>
              </w:rPr>
              <w:t>51144</w:t>
            </w:r>
            <w:r>
              <w:rPr>
                <w:rFonts w:hint="eastAsia" w:ascii="仿宋" w:hAnsi="仿宋" w:eastAsia="仿宋" w:cs="宋体"/>
                <w:color w:val="000000"/>
                <w:kern w:val="0"/>
                <w:sz w:val="20"/>
                <w:szCs w:val="20"/>
                <w:lang w:val="en-GB" w:eastAsia="zh-CN" w:bidi="ar"/>
              </w:rPr>
              <w:t>-</w:t>
            </w:r>
            <w:r>
              <w:rPr>
                <w:rFonts w:hint="eastAsia" w:ascii="仿宋" w:hAnsi="仿宋" w:eastAsia="仿宋" w:cs="宋体"/>
                <w:color w:val="000000"/>
                <w:kern w:val="0"/>
                <w:sz w:val="20"/>
                <w:szCs w:val="20"/>
                <w:lang w:val="en-US" w:eastAsia="zh-CN" w:bidi="ar"/>
              </w:rPr>
              <w:t>725</w:t>
            </w:r>
            <w:r>
              <w:rPr>
                <w:rFonts w:hint="eastAsia" w:ascii="仿宋" w:hAnsi="仿宋" w:eastAsia="仿宋" w:cs="宋体"/>
                <w:color w:val="000000"/>
                <w:kern w:val="0"/>
                <w:sz w:val="20"/>
                <w:szCs w:val="20"/>
                <w:lang w:val="en-GB" w:eastAsia="zh-CN" w:bidi="ar"/>
              </w:rPr>
              <w:t>-</w:t>
            </w:r>
            <w:r>
              <w:rPr>
                <w:rFonts w:hint="eastAsia" w:ascii="仿宋" w:hAnsi="仿宋" w:eastAsia="仿宋" w:cs="宋体"/>
                <w:color w:val="000000"/>
                <w:kern w:val="0"/>
                <w:sz w:val="20"/>
                <w:szCs w:val="20"/>
                <w:lang w:val="en-US" w:eastAsia="zh-CN" w:bidi="ar"/>
              </w:rPr>
              <w:t>8</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030C">
            <w:pPr>
              <w:keepNext w:val="0"/>
              <w:keepLines w:val="0"/>
              <w:widowControl/>
              <w:suppressLineNumbers w:val="0"/>
              <w:spacing w:before="0" w:beforeAutospacing="0" w:after="0" w:afterAutospacing="0"/>
              <w:ind w:left="0" w:leftChars="0" w:right="0" w:rightChars="0"/>
              <w:jc w:val="center"/>
              <w:textAlignment w:val="center"/>
              <w:rPr>
                <w:rFonts w:hint="default" w:ascii="仿宋" w:hAnsi="仿宋" w:eastAsia="仿宋" w:cs="宋体"/>
                <w:color w:val="000000"/>
                <w:sz w:val="20"/>
                <w:szCs w:val="20"/>
                <w:lang w:val="en-US"/>
              </w:rPr>
            </w:pPr>
            <w:r>
              <w:rPr>
                <w:rFonts w:hint="eastAsia" w:ascii="仿宋" w:hAnsi="仿宋" w:eastAsia="仿宋" w:cs="宋体"/>
                <w:color w:val="000000"/>
                <w:kern w:val="0"/>
                <w:sz w:val="20"/>
                <w:szCs w:val="20"/>
                <w:lang w:val="en-US" w:eastAsia="zh-CN" w:bidi="ar"/>
              </w:rPr>
              <w:t>普通高等教育“十三五”规划教材</w:t>
            </w:r>
          </w:p>
        </w:tc>
      </w:tr>
    </w:tbl>
    <w:p w14:paraId="0EAA0BBC">
      <w:pPr>
        <w:spacing w:line="360" w:lineRule="auto"/>
        <w:ind w:firstLine="482" w:firstLineChars="200"/>
        <w:rPr>
          <w:rFonts w:eastAsia="仿宋"/>
          <w:b/>
          <w:color w:val="000000"/>
          <w:sz w:val="24"/>
        </w:rPr>
      </w:pPr>
    </w:p>
    <w:p w14:paraId="2C90D628">
      <w:pPr>
        <w:spacing w:line="360" w:lineRule="auto"/>
        <w:ind w:firstLine="482" w:firstLineChars="200"/>
        <w:rPr>
          <w:rFonts w:hint="default" w:eastAsia="仿宋"/>
          <w:b/>
          <w:color w:val="000000"/>
          <w:sz w:val="24"/>
          <w:lang w:val="en-US" w:eastAsia="zh-CN"/>
        </w:rPr>
      </w:pPr>
      <w:r>
        <w:rPr>
          <w:rFonts w:eastAsia="仿宋"/>
          <w:b/>
          <w:color w:val="000000"/>
          <w:sz w:val="24"/>
        </w:rPr>
        <w:t>2．主要</w:t>
      </w:r>
      <w:r>
        <w:rPr>
          <w:rFonts w:hint="eastAsia" w:eastAsia="仿宋"/>
          <w:b/>
          <w:color w:val="000000"/>
          <w:sz w:val="24"/>
          <w:lang w:val="en-US" w:eastAsia="zh-CN"/>
        </w:rPr>
        <w:t>设计依据</w:t>
      </w:r>
    </w:p>
    <w:p w14:paraId="696310D4">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（1）《石油库设计规范》GB50074-2011</w:t>
      </w:r>
    </w:p>
    <w:p w14:paraId="5344868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（2）《汽车加油加气站设计与施工规范》GB50156-2012</w:t>
      </w:r>
    </w:p>
    <w:p w14:paraId="2FEBC34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（3）《建筑灭火器配置设计规范》GB50140-2005 </w:t>
      </w:r>
    </w:p>
    <w:p w14:paraId="61E934F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（4）《建筑设计防火规范》GB50016-2006</w:t>
      </w:r>
    </w:p>
    <w:p w14:paraId="0CFA13B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（5）《石油化工企业设计防火规范》GB50160-2008</w:t>
      </w:r>
    </w:p>
    <w:p w14:paraId="098C942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（6）《爆炸和火灾危险环境电力装置设计规范》GB50058-92</w:t>
      </w:r>
    </w:p>
    <w:p w14:paraId="3EC5622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（7）</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化工生产防火防爆安全技术等有关图书资料</w:t>
      </w:r>
    </w:p>
    <w:p w14:paraId="40D0102D">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新宋体">
    <w:panose1 w:val="02010609030101010101"/>
    <w:charset w:val="86"/>
    <w:family w:val="auto"/>
    <w:pitch w:val="default"/>
    <w:sig w:usb0="0000020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华文彩云">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E60C7"/>
    <w:multiLevelType w:val="singleLevel"/>
    <w:tmpl w:val="07EE60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iNjFiMTg2N2FjZGUxNmY3Y2Q5Yjg0YjNmMjY5NWM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3B49"/>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07820"/>
    <w:rsid w:val="00110815"/>
    <w:rsid w:val="001114CB"/>
    <w:rsid w:val="00113CED"/>
    <w:rsid w:val="00121E0F"/>
    <w:rsid w:val="00123FE3"/>
    <w:rsid w:val="00130312"/>
    <w:rsid w:val="00134BA8"/>
    <w:rsid w:val="00135F58"/>
    <w:rsid w:val="00136608"/>
    <w:rsid w:val="00144A46"/>
    <w:rsid w:val="001454DA"/>
    <w:rsid w:val="00155E7D"/>
    <w:rsid w:val="00155EC2"/>
    <w:rsid w:val="00160B76"/>
    <w:rsid w:val="001611E8"/>
    <w:rsid w:val="00162084"/>
    <w:rsid w:val="001645BA"/>
    <w:rsid w:val="00171D2D"/>
    <w:rsid w:val="001726DD"/>
    <w:rsid w:val="00175B4D"/>
    <w:rsid w:val="00180603"/>
    <w:rsid w:val="00182988"/>
    <w:rsid w:val="0018489A"/>
    <w:rsid w:val="00185535"/>
    <w:rsid w:val="00185AD1"/>
    <w:rsid w:val="00190240"/>
    <w:rsid w:val="001910EC"/>
    <w:rsid w:val="00193EF8"/>
    <w:rsid w:val="00196827"/>
    <w:rsid w:val="001A479D"/>
    <w:rsid w:val="001A6B4F"/>
    <w:rsid w:val="001B0976"/>
    <w:rsid w:val="001B42B0"/>
    <w:rsid w:val="001B60BD"/>
    <w:rsid w:val="001B75DA"/>
    <w:rsid w:val="001B7F23"/>
    <w:rsid w:val="001C0AAA"/>
    <w:rsid w:val="001C6FC5"/>
    <w:rsid w:val="001C7C29"/>
    <w:rsid w:val="001C7EC8"/>
    <w:rsid w:val="001E007F"/>
    <w:rsid w:val="001E0152"/>
    <w:rsid w:val="001E74EE"/>
    <w:rsid w:val="001E7BA6"/>
    <w:rsid w:val="001F19E1"/>
    <w:rsid w:val="001F1AEC"/>
    <w:rsid w:val="001F4186"/>
    <w:rsid w:val="001F49BB"/>
    <w:rsid w:val="00201255"/>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5F48"/>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E4C1F"/>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BE9"/>
    <w:rsid w:val="00361D51"/>
    <w:rsid w:val="003622E7"/>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5F87"/>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517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298"/>
    <w:rsid w:val="00611E78"/>
    <w:rsid w:val="00614522"/>
    <w:rsid w:val="00615CDF"/>
    <w:rsid w:val="0061621B"/>
    <w:rsid w:val="00616560"/>
    <w:rsid w:val="00616992"/>
    <w:rsid w:val="00623B46"/>
    <w:rsid w:val="00635901"/>
    <w:rsid w:val="00637615"/>
    <w:rsid w:val="00640EE0"/>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28BE"/>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877CB"/>
    <w:rsid w:val="00790407"/>
    <w:rsid w:val="00792380"/>
    <w:rsid w:val="00796E32"/>
    <w:rsid w:val="0079711B"/>
    <w:rsid w:val="007A338F"/>
    <w:rsid w:val="007B056D"/>
    <w:rsid w:val="007B2755"/>
    <w:rsid w:val="007B5DA3"/>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C1D"/>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70FA"/>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51F"/>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84B79"/>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4E1A"/>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4A5E"/>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2054"/>
    <w:rsid w:val="00DF38BF"/>
    <w:rsid w:val="00DF500E"/>
    <w:rsid w:val="00DF5FE0"/>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D62E9"/>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2E2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142A1464"/>
    <w:rsid w:val="188D776A"/>
    <w:rsid w:val="2B400C25"/>
    <w:rsid w:val="369F433C"/>
    <w:rsid w:val="3EDB604A"/>
    <w:rsid w:val="432F51F4"/>
    <w:rsid w:val="47D43B9A"/>
    <w:rsid w:val="4CFF3900"/>
    <w:rsid w:val="528C59C4"/>
    <w:rsid w:val="6BF2569F"/>
    <w:rsid w:val="6C6F33FE"/>
    <w:rsid w:val="79181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32"/>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Normal Indent"/>
    <w:uiPriority w:val="0"/>
    <w:pPr>
      <w:widowControl w:val="0"/>
      <w:topLinePunct/>
      <w:spacing w:before="78" w:beforeLines="25" w:after="78" w:afterLines="25" w:line="360" w:lineRule="auto"/>
      <w:ind w:firstLine="480" w:firstLineChars="200"/>
    </w:pPr>
    <w:rPr>
      <w:rFonts w:ascii="宋体" w:hAnsi="宋体" w:eastAsia="宋体" w:cs="Times New Roman"/>
      <w:bCs/>
      <w:sz w:val="24"/>
      <w:szCs w:val="21"/>
      <w:lang w:val="en-US" w:eastAsia="zh-CN" w:bidi="ar-SA"/>
    </w:rPr>
  </w:style>
  <w:style w:type="paragraph" w:styleId="4">
    <w:name w:val="Document Map"/>
    <w:basedOn w:val="1"/>
    <w:link w:val="21"/>
    <w:unhideWhenUsed/>
    <w:qFormat/>
    <w:uiPriority w:val="99"/>
    <w:rPr>
      <w:rFonts w:ascii="宋体"/>
      <w:sz w:val="18"/>
      <w:szCs w:val="18"/>
    </w:rPr>
  </w:style>
  <w:style w:type="paragraph" w:styleId="5">
    <w:name w:val="annotation text"/>
    <w:basedOn w:val="1"/>
    <w:link w:val="18"/>
    <w:unhideWhenUsed/>
    <w:qFormat/>
    <w:uiPriority w:val="99"/>
    <w:pPr>
      <w:jc w:val="left"/>
    </w:pPr>
    <w:rPr>
      <w:kern w:val="0"/>
      <w:sz w:val="24"/>
    </w:rPr>
  </w:style>
  <w:style w:type="paragraph" w:styleId="6">
    <w:name w:val="Balloon Text"/>
    <w:basedOn w:val="1"/>
    <w:link w:val="19"/>
    <w:unhideWhenUsed/>
    <w:qFormat/>
    <w:uiPriority w:val="99"/>
    <w:rPr>
      <w:kern w:val="0"/>
      <w:sz w:val="18"/>
      <w:szCs w:val="18"/>
    </w:rPr>
  </w:style>
  <w:style w:type="paragraph" w:styleId="7">
    <w:name w:val="footer"/>
    <w:basedOn w:val="1"/>
    <w:link w:val="20"/>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5"/>
    <w:next w:val="5"/>
    <w:link w:val="23"/>
    <w:unhideWhenUsed/>
    <w:qFormat/>
    <w:uiPriority w:val="99"/>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semiHidden/>
    <w:unhideWhenUsed/>
    <w:qFormat/>
    <w:uiPriority w:val="99"/>
    <w:rPr>
      <w:color w:val="954F72"/>
      <w:u w:val="single"/>
    </w:rPr>
  </w:style>
  <w:style w:type="character" w:styleId="16">
    <w:name w:val="Hyperlink"/>
    <w:basedOn w:val="13"/>
    <w:semiHidden/>
    <w:unhideWhenUsed/>
    <w:qFormat/>
    <w:uiPriority w:val="99"/>
    <w:rPr>
      <w:color w:val="0000FF"/>
      <w:u w:val="single"/>
    </w:rPr>
  </w:style>
  <w:style w:type="character" w:styleId="17">
    <w:name w:val="annotation reference"/>
    <w:unhideWhenUsed/>
    <w:qFormat/>
    <w:uiPriority w:val="99"/>
    <w:rPr>
      <w:rFonts w:cs="Times New Roman"/>
      <w:sz w:val="21"/>
      <w:szCs w:val="21"/>
    </w:rPr>
  </w:style>
  <w:style w:type="character" w:customStyle="1" w:styleId="18">
    <w:name w:val="批注文字 字符"/>
    <w:link w:val="5"/>
    <w:semiHidden/>
    <w:qFormat/>
    <w:locked/>
    <w:uiPriority w:val="99"/>
    <w:rPr>
      <w:rFonts w:ascii="Times New Roman" w:hAnsi="Times New Roman" w:eastAsia="宋体" w:cs="Times New Roman"/>
      <w:sz w:val="24"/>
      <w:szCs w:val="24"/>
    </w:rPr>
  </w:style>
  <w:style w:type="character" w:customStyle="1" w:styleId="19">
    <w:name w:val="批注框文本 字符"/>
    <w:link w:val="6"/>
    <w:semiHidden/>
    <w:qFormat/>
    <w:locked/>
    <w:uiPriority w:val="99"/>
    <w:rPr>
      <w:rFonts w:ascii="Times New Roman" w:hAnsi="Times New Roman" w:eastAsia="宋体" w:cs="Times New Roman"/>
      <w:sz w:val="18"/>
      <w:szCs w:val="18"/>
    </w:rPr>
  </w:style>
  <w:style w:type="character" w:customStyle="1" w:styleId="20">
    <w:name w:val="页脚 字符"/>
    <w:link w:val="7"/>
    <w:qFormat/>
    <w:locked/>
    <w:uiPriority w:val="99"/>
    <w:rPr>
      <w:rFonts w:cs="Times New Roman"/>
      <w:sz w:val="18"/>
      <w:szCs w:val="18"/>
    </w:rPr>
  </w:style>
  <w:style w:type="character" w:customStyle="1" w:styleId="21">
    <w:name w:val="文档结构图 字符"/>
    <w:link w:val="4"/>
    <w:semiHidden/>
    <w:qFormat/>
    <w:uiPriority w:val="99"/>
    <w:rPr>
      <w:rFonts w:ascii="宋体" w:hAnsi="Times New Roman"/>
      <w:kern w:val="2"/>
      <w:sz w:val="18"/>
      <w:szCs w:val="18"/>
    </w:rPr>
  </w:style>
  <w:style w:type="character" w:customStyle="1" w:styleId="22">
    <w:name w:val="页眉 字符"/>
    <w:link w:val="8"/>
    <w:qFormat/>
    <w:locked/>
    <w:uiPriority w:val="99"/>
    <w:rPr>
      <w:rFonts w:cs="Times New Roman"/>
      <w:sz w:val="18"/>
      <w:szCs w:val="18"/>
    </w:rPr>
  </w:style>
  <w:style w:type="character" w:customStyle="1" w:styleId="23">
    <w:name w:val="批注主题 字符"/>
    <w:link w:val="10"/>
    <w:semiHidden/>
    <w:qFormat/>
    <w:locked/>
    <w:uiPriority w:val="99"/>
    <w:rPr>
      <w:rFonts w:ascii="Times New Roman" w:hAnsi="Times New Roman" w:eastAsia="宋体" w:cs="Times New Roman"/>
      <w:b/>
      <w:bCs/>
      <w:sz w:val="24"/>
      <w:szCs w:val="24"/>
    </w:rPr>
  </w:style>
  <w:style w:type="paragraph" w:customStyle="1" w:styleId="24">
    <w:name w:val="列出段落"/>
    <w:basedOn w:val="1"/>
    <w:qFormat/>
    <w:uiPriority w:val="34"/>
    <w:pPr>
      <w:ind w:firstLine="420" w:firstLineChars="200"/>
    </w:pPr>
    <w:rPr>
      <w:rFonts w:ascii="Calibri" w:hAnsi="Calibri"/>
      <w:szCs w:val="22"/>
    </w:rPr>
  </w:style>
  <w:style w:type="paragraph" w:customStyle="1" w:styleId="25">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6">
    <w:name w:val="列表段落1"/>
    <w:basedOn w:val="1"/>
    <w:qFormat/>
    <w:uiPriority w:val="34"/>
    <w:pPr>
      <w:ind w:firstLine="420" w:firstLineChars="200"/>
    </w:pPr>
  </w:style>
  <w:style w:type="paragraph" w:customStyle="1" w:styleId="2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8">
    <w:name w:val="font31"/>
    <w:qFormat/>
    <w:uiPriority w:val="0"/>
    <w:rPr>
      <w:rFonts w:hint="eastAsia" w:ascii="宋体" w:hAnsi="宋体" w:eastAsia="宋体" w:cs="宋体"/>
      <w:b/>
      <w:bCs/>
      <w:color w:val="000000"/>
      <w:sz w:val="20"/>
      <w:szCs w:val="20"/>
      <w:u w:val="none"/>
    </w:rPr>
  </w:style>
  <w:style w:type="character" w:customStyle="1" w:styleId="29">
    <w:name w:val="font41"/>
    <w:qFormat/>
    <w:uiPriority w:val="0"/>
    <w:rPr>
      <w:rFonts w:hint="eastAsia" w:ascii="宋体" w:hAnsi="宋体" w:eastAsia="宋体" w:cs="宋体"/>
      <w:b/>
      <w:bCs/>
      <w:color w:val="FF0000"/>
      <w:sz w:val="20"/>
      <w:szCs w:val="20"/>
      <w:u w:val="none"/>
    </w:rPr>
  </w:style>
  <w:style w:type="character" w:customStyle="1" w:styleId="30">
    <w:name w:val="font11"/>
    <w:qFormat/>
    <w:uiPriority w:val="0"/>
    <w:rPr>
      <w:rFonts w:hint="eastAsia" w:ascii="宋体" w:hAnsi="宋体" w:eastAsia="宋体" w:cs="宋体"/>
      <w:b/>
      <w:bCs/>
      <w:color w:val="000000"/>
      <w:sz w:val="20"/>
      <w:szCs w:val="20"/>
      <w:u w:val="none"/>
    </w:rPr>
  </w:style>
  <w:style w:type="character" w:customStyle="1" w:styleId="31">
    <w:name w:val="font51"/>
    <w:qFormat/>
    <w:uiPriority w:val="0"/>
    <w:rPr>
      <w:rFonts w:hint="eastAsia" w:ascii="宋体" w:hAnsi="宋体" w:eastAsia="宋体" w:cs="宋体"/>
      <w:b/>
      <w:bCs/>
      <w:color w:val="FF0000"/>
      <w:sz w:val="20"/>
      <w:szCs w:val="20"/>
      <w:u w:val="none"/>
    </w:rPr>
  </w:style>
  <w:style w:type="character" w:customStyle="1" w:styleId="32">
    <w:name w:val="标题 3 字符"/>
    <w:basedOn w:val="13"/>
    <w:link w:val="2"/>
    <w:qFormat/>
    <w:uiPriority w:val="9"/>
    <w:rPr>
      <w:rFonts w:ascii="宋体" w:hAnsi="宋体" w:cs="宋体"/>
      <w:b/>
      <w:bCs/>
      <w:sz w:val="27"/>
      <w:szCs w:val="27"/>
    </w:rPr>
  </w:style>
  <w:style w:type="character" w:customStyle="1" w:styleId="33">
    <w:name w:val="text_alyhf"/>
    <w:basedOn w:val="13"/>
    <w:qFormat/>
    <w:uiPriority w:val="0"/>
  </w:style>
  <w:style w:type="paragraph" w:styleId="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4364</Words>
  <Characters>4544</Characters>
  <Lines>32</Lines>
  <Paragraphs>9</Paragraphs>
  <TotalTime>21</TotalTime>
  <ScaleCrop>false</ScaleCrop>
  <LinksUpToDate>false</LinksUpToDate>
  <CharactersWithSpaces>4557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2024-06-15T14:42:00Z</dcterms:created>
  <dc:creator>dell</dc:creator>
  <cp:lastModifiedBy>杨玉山</cp:lastModifiedBy>
  <dcterms:modified xsi:type="dcterms:W3CDTF">2024-08-31T12:21:42Z</dcterms:modified>
  <dc:title>《工程结构抗震设计原理》课程教学大纲</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9E50C9D64A28423DAE2F0F84C65CA595_13</vt:lpwstr>
  </property>
</Properties>
</file>