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000000" w:themeColor="text1"/>
          <w:sz w:val="44"/>
          <w:lang w:val="en-US" w:eastAsia="zh-CN"/>
          <w14:textFill>
            <w14:solidFill>
              <w14:schemeClr w14:val="tx1"/>
            </w14:solidFill>
          </w14:textFill>
        </w:rPr>
        <w:t>金融学</w:t>
      </w:r>
      <w:r>
        <w:rPr>
          <w:rFonts w:hint="eastAsia" w:eastAsia="黑体"/>
          <w:color w:val="000000"/>
          <w:sz w:val="44"/>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3</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default" w:eastAsia="宋体"/>
                <w:color w:val="000000"/>
                <w:sz w:val="28"/>
                <w:lang w:val="en-US" w:eastAsia="zh-CN"/>
              </w:rPr>
            </w:pPr>
            <w:r>
              <w:rPr>
                <w:rFonts w:hint="eastAsia"/>
                <w:color w:val="000000"/>
                <w:sz w:val="28"/>
                <w:lang w:val="en-US" w:eastAsia="zh-CN"/>
              </w:rPr>
              <w:t>霍翠凤</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default" w:eastAsia="宋体"/>
                <w:color w:val="000000"/>
                <w:sz w:val="28"/>
                <w:lang w:val="en-US" w:eastAsia="zh-CN"/>
              </w:rPr>
            </w:pPr>
            <w:r>
              <w:rPr>
                <w:rFonts w:hint="eastAsia"/>
                <w:color w:val="000000"/>
                <w:sz w:val="28"/>
                <w:lang w:val="en-US" w:eastAsia="zh-CN"/>
              </w:rPr>
              <w:t>冯晓琦</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bookmarkStart w:id="2" w:name="_GoBack"/>
      <w:bookmarkEnd w:id="2"/>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hint="eastAsia" w:ascii="仿宋" w:hAnsi="仿宋" w:eastAsia="微软雅黑"/>
                <w:color w:val="000000" w:themeColor="text1"/>
                <w:sz w:val="24"/>
                <w:lang w:val="en-US" w:eastAsia="zh-CN"/>
                <w14:textFill>
                  <w14:solidFill>
                    <w14:schemeClr w14:val="tx1"/>
                  </w14:solidFill>
                </w14:textFill>
              </w:rPr>
            </w:pPr>
            <w:r>
              <w:rPr>
                <w:rFonts w:ascii="微软雅黑" w:hAnsi="微软雅黑" w:eastAsia="微软雅黑" w:cs="微软雅黑"/>
                <w:i w:val="0"/>
                <w:iCs w:val="0"/>
                <w:caps w:val="0"/>
                <w:color w:val="000000"/>
                <w:spacing w:val="0"/>
                <w:sz w:val="18"/>
                <w:szCs w:val="18"/>
              </w:rPr>
              <w:t>100719T008-0</w:t>
            </w:r>
            <w:r>
              <w:rPr>
                <w:rFonts w:hint="eastAsia" w:ascii="微软雅黑" w:hAnsi="微软雅黑" w:eastAsia="微软雅黑" w:cs="微软雅黑"/>
                <w:i w:val="0"/>
                <w:iCs w:val="0"/>
                <w:caps w:val="0"/>
                <w:color w:val="000000"/>
                <w:spacing w:val="0"/>
                <w:sz w:val="18"/>
                <w:szCs w:val="18"/>
                <w:lang w:val="en-US" w:eastAsia="zh-CN"/>
              </w:rPr>
              <w:t>1</w:t>
            </w:r>
          </w:p>
        </w:tc>
        <w:tc>
          <w:tcPr>
            <w:tcW w:w="1446" w:type="dxa"/>
            <w:vAlign w:val="center"/>
          </w:tcPr>
          <w:p>
            <w:pPr>
              <w:jc w:val="center"/>
              <w:rPr>
                <w:rFonts w:hint="eastAsia" w:ascii="仿宋" w:hAnsi="仿宋" w:eastAsia="仿宋"/>
                <w:b/>
                <w:color w:val="000000" w:themeColor="text1"/>
                <w:sz w:val="24"/>
                <w14:textFill>
                  <w14:solidFill>
                    <w14:schemeClr w14:val="tx1"/>
                  </w14:solidFill>
                </w14:textFill>
              </w:rPr>
            </w:pPr>
            <w:r>
              <w:rPr>
                <w:rFonts w:ascii="仿宋" w:hAnsi="仿宋" w:eastAsia="仿宋"/>
                <w:b/>
                <w:color w:val="000000" w:themeColor="text1"/>
                <w:sz w:val="24"/>
                <w14:textFill>
                  <w14:solidFill>
                    <w14:schemeClr w14:val="tx1"/>
                  </w14:solidFill>
                </w14:textFill>
              </w:rPr>
              <w:t>开课</w:t>
            </w:r>
            <w:r>
              <w:rPr>
                <w:rFonts w:hint="eastAsia" w:ascii="仿宋" w:hAnsi="仿宋" w:eastAsia="仿宋"/>
                <w:b/>
                <w:color w:val="000000" w:themeColor="text1"/>
                <w:sz w:val="24"/>
                <w14:textFill>
                  <w14:solidFill>
                    <w14:schemeClr w14:val="tx1"/>
                  </w14:solidFill>
                </w14:textFill>
              </w:rPr>
              <w:t>单位</w:t>
            </w:r>
          </w:p>
        </w:tc>
        <w:tc>
          <w:tcPr>
            <w:tcW w:w="2314" w:type="dxa"/>
            <w:gridSpan w:val="2"/>
            <w:vAlign w:val="center"/>
          </w:tcPr>
          <w:p>
            <w:pPr>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工商管理学院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货币银行学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MONEY AND BANKING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left"/>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专业课：</w:t>
            </w:r>
            <w:r>
              <w:rPr>
                <w:rFonts w:hint="eastAsia" w:ascii="仿宋" w:hAnsi="仿宋" w:eastAsia="仿宋"/>
                <w:color w:val="000000" w:themeColor="text1"/>
                <w:sz w:val="24"/>
                <w:lang w:val="en-US" w:eastAsia="zh-CN"/>
                <w14:textFill>
                  <w14:solidFill>
                    <w14:schemeClr w14:val="tx1"/>
                  </w14:solidFill>
                </w14:textFill>
              </w:rPr>
              <w:t>金融学专业</w:t>
            </w:r>
            <w:r>
              <w:rPr>
                <w:rFonts w:hint="eastAsia" w:ascii="仿宋" w:hAnsi="仿宋" w:eastAsia="仿宋"/>
                <w:color w:val="000000" w:themeColor="text1"/>
                <w:sz w:val="24"/>
                <w14:textFill>
                  <w14:solidFill>
                    <w14:schemeClr w14:val="tx1"/>
                  </w14:solidFill>
                </w14:textFill>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left"/>
              <w:rPr>
                <w:rFonts w:ascii="仿宋" w:hAnsi="仿宋" w:eastAsia="仿宋"/>
                <w:color w:val="0070C0"/>
                <w:sz w:val="24"/>
              </w:rPr>
            </w:pPr>
            <w:r>
              <w:rPr>
                <w:rFonts w:hint="eastAsia" w:ascii="仿宋" w:hAnsi="仿宋" w:eastAsia="仿宋"/>
                <w:color w:val="000000" w:themeColor="text1"/>
                <w:sz w:val="24"/>
                <w:lang w:val="en-US" w:eastAsia="zh-CN"/>
                <w14:textFill>
                  <w14:solidFill>
                    <w14:schemeClr w14:val="tx1"/>
                  </w14:solidFill>
                </w14:textFill>
              </w:rPr>
              <w:t>经济学</w:t>
            </w:r>
            <w:r>
              <w:rPr>
                <w:rFonts w:hint="eastAsia" w:ascii="仿宋" w:hAnsi="仿宋" w:eastAsia="仿宋"/>
                <w:color w:val="000000" w:themeColor="text1"/>
                <w:sz w:val="24"/>
                <w14:textFill>
                  <w14:solidFill>
                    <w14:schemeClr w14:val="tx1"/>
                  </w14:solidFill>
                </w14:textFill>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3</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宏观经济学</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金融学》是教育部确定的21世纪高等学校经济学、管理学各专业的核心课程，是金融学专业最重要的专业基础理论课,课内学时48个，计3个学分。作为一门社会科学，它以政治经济学和西方经济学为基础，系统阐述了金融基本理论和基础知识，客观介绍了主流金融领域最新研究成果和实务运作机制，运用历史唯物主义和辩证唯物主义的思想观和方法论，研究有关货币、信用、利率、金融机构、金融市场运行、货币政策、宏观金融调控等经济金融现象及其发展变化规律。同时，对西方货币金融理论及国际金融的创新与发展进行了深刻阐述，其内容涵盖面广，涉及范畴多。该课程的任务是为培养社会主义经济建设需要的、适应我国社会主义经济体制改革和经济金融管理工作发展需要的专门型人才提供系统的金融理论知识。</w:t>
      </w:r>
      <w:r>
        <w:rPr>
          <w:rFonts w:hint="eastAsia" w:ascii="仿宋" w:hAnsi="仿宋" w:eastAsia="仿宋"/>
          <w:color w:val="000000" w:themeColor="text1"/>
          <w:sz w:val="24"/>
          <w:lang w:val="en-US" w:eastAsia="zh-CN"/>
          <w14:textFill>
            <w14:solidFill>
              <w14:schemeClr w14:val="tx1"/>
            </w14:solidFill>
          </w14:textFill>
        </w:rPr>
        <w:t>课程的先修课程是宏观经济学，后续课程为金融市场学、公司金融、投资学等。</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r>
        <w:rPr>
          <w:rFonts w:hint="eastAsia" w:ascii="仿宋" w:hAnsi="仿宋" w:eastAsia="仿宋"/>
          <w:bCs/>
          <w:color w:val="000000" w:themeColor="text1"/>
          <w:sz w:val="24"/>
          <w14:textFill>
            <w14:solidFill>
              <w14:schemeClr w14:val="tx1"/>
            </w14:solidFill>
          </w14:textFill>
        </w:rPr>
        <w:t>《金融学》课程作为武装金融学专业学生中国特色社会主义金融思想和头脑的重要载体。在具体的教学中，通过中国“金融故事”讲授金融学基本原理，并将具体的金融理论知识与中国金融领域取得的成果有机结合，对学生进行社会主义核心价值观教育，培养学生具备坚定正确的政治方向和较高的政治素质，具有高度的社会责任感，认真的工作责任心,以及良好的思想品德和职业道德。</w:t>
      </w:r>
      <w:r>
        <w:rPr>
          <w:rFonts w:hint="eastAsia" w:ascii="仿宋" w:hAnsi="仿宋" w:eastAsia="仿宋"/>
          <w:bCs/>
          <w:color w:val="000000" w:themeColor="text1"/>
          <w:sz w:val="24"/>
          <w:lang w:val="en-US" w:eastAsia="zh-CN"/>
          <w14:textFill>
            <w14:solidFill>
              <w14:schemeClr w14:val="tx1"/>
            </w14:solidFill>
          </w14:textFill>
        </w:rPr>
        <w:t>同时，</w:t>
      </w:r>
      <w:r>
        <w:rPr>
          <w:rFonts w:hint="eastAsia" w:ascii="仿宋" w:hAnsi="仿宋" w:eastAsia="仿宋"/>
          <w:bCs/>
          <w:color w:val="000000" w:themeColor="text1"/>
          <w:sz w:val="24"/>
          <w14:textFill>
            <w14:solidFill>
              <w14:schemeClr w14:val="tx1"/>
            </w14:solidFill>
          </w14:textFill>
        </w:rPr>
        <w:t>遵循马克思主义方法论的指导，坚持“马克思主义基本原理与中国实际相结合”的原则，引导学生坚信国外经验只能借鉴不能照搬，并立足本国国情和实际，有选择地引用西方金融理论，让学生学会思考西方经济金融理论的局限之处，深入理解中国的金融制度运行背景，推动中国金融实践向前发展。</w:t>
      </w:r>
    </w:p>
    <w:p>
      <w:pPr>
        <w:spacing w:line="360" w:lineRule="auto"/>
        <w:ind w:firstLine="482"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
          <w:color w:val="000000"/>
          <w:sz w:val="24"/>
        </w:rPr>
        <w:t>课程目标2：</w:t>
      </w:r>
      <w:r>
        <w:rPr>
          <w:rFonts w:hint="eastAsia" w:ascii="仿宋" w:hAnsi="仿宋" w:eastAsia="仿宋"/>
          <w:bCs/>
          <w:color w:val="000000" w:themeColor="text1"/>
          <w:sz w:val="24"/>
          <w14:textFill>
            <w14:solidFill>
              <w14:schemeClr w14:val="tx1"/>
            </w14:solidFill>
          </w14:textFill>
        </w:rPr>
        <w:t>将金融学知识、美育理念和劳动实践有机结合，培养学生在知识、能力、情感、道德等方面的全面发展，形成健全的人格</w:t>
      </w:r>
      <w:r>
        <w:rPr>
          <w:rFonts w:hint="eastAsia" w:ascii="仿宋" w:hAnsi="仿宋" w:eastAsia="仿宋"/>
          <w:bCs/>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US" w:eastAsia="zh-CN"/>
          <w14:textFill>
            <w14:solidFill>
              <w14:schemeClr w14:val="tx1"/>
            </w14:solidFill>
          </w14:textFill>
        </w:rPr>
        <w:t>并</w:t>
      </w:r>
      <w:r>
        <w:rPr>
          <w:rFonts w:hint="eastAsia" w:ascii="仿宋" w:hAnsi="仿宋" w:eastAsia="仿宋"/>
          <w:bCs/>
          <w:color w:val="000000" w:themeColor="text1"/>
          <w:sz w:val="24"/>
          <w14:textFill>
            <w14:solidFill>
              <w14:schemeClr w14:val="tx1"/>
            </w14:solidFill>
          </w14:textFill>
        </w:rPr>
        <w:t>通过金融实践活动，引导学生关注社会经济发展，培养他们的社会责任感，使他们成为有价值观、有社会责任感的公民。</w:t>
      </w:r>
      <w:r>
        <w:rPr>
          <w:rFonts w:hint="eastAsia" w:ascii="仿宋" w:hAnsi="仿宋" w:eastAsia="仿宋"/>
          <w:bCs/>
          <w:color w:val="000000" w:themeColor="text1"/>
          <w:sz w:val="24"/>
          <w:lang w:val="en-US" w:eastAsia="zh-CN"/>
          <w14:textFill>
            <w14:solidFill>
              <w14:schemeClr w14:val="tx1"/>
            </w14:solidFill>
          </w14:textFill>
        </w:rPr>
        <w:t>同时，</w:t>
      </w:r>
      <w:r>
        <w:rPr>
          <w:rFonts w:hint="eastAsia" w:ascii="仿宋" w:hAnsi="仿宋" w:eastAsia="仿宋"/>
          <w:bCs/>
          <w:color w:val="000000" w:themeColor="text1"/>
          <w:sz w:val="24"/>
          <w14:textFill>
            <w14:solidFill>
              <w14:schemeClr w14:val="tx1"/>
            </w14:solidFill>
          </w14:textFill>
        </w:rPr>
        <w:t>将美育和劳动教育的理念融入金融学教学中，培养学生的学习能力、问题解决能力和持续学习的意识，为他们未来的职业发展奠定坚实基础。</w:t>
      </w:r>
    </w:p>
    <w:p>
      <w:pPr>
        <w:spacing w:line="360" w:lineRule="auto"/>
        <w:ind w:firstLine="482" w:firstLineChars="200"/>
        <w:rPr>
          <w:rFonts w:hint="eastAsia" w:ascii="仿宋" w:hAnsi="仿宋" w:eastAsia="仿宋"/>
          <w:bCs/>
          <w:color w:val="000000" w:themeColor="text1"/>
          <w:sz w:val="24"/>
          <w:lang w:val="en-GB" w:eastAsia="zh-CN"/>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r>
        <w:rPr>
          <w:rFonts w:hint="eastAsia" w:ascii="仿宋" w:hAnsi="仿宋" w:eastAsia="仿宋"/>
          <w:bCs/>
          <w:color w:val="000000" w:themeColor="text1"/>
          <w:sz w:val="24"/>
          <w:lang w:val="en-GB" w:eastAsia="zh-CN"/>
          <w14:textFill>
            <w14:solidFill>
              <w14:schemeClr w14:val="tx1"/>
            </w14:solidFill>
          </w14:textFill>
        </w:rPr>
        <w:t>通过本课程的学习，让学生能熟悉金融学科的基本架构，了解有关金融的</w:t>
      </w:r>
      <w:r>
        <w:rPr>
          <w:rFonts w:hint="eastAsia" w:ascii="仿宋" w:hAnsi="仿宋" w:eastAsia="仿宋"/>
          <w:bCs/>
          <w:color w:val="000000" w:themeColor="text1"/>
          <w:sz w:val="24"/>
          <w:lang w:val="en-US" w:eastAsia="zh-CN"/>
          <w14:textFill>
            <w14:solidFill>
              <w14:schemeClr w14:val="tx1"/>
            </w14:solidFill>
          </w14:textFill>
        </w:rPr>
        <w:t>基础</w:t>
      </w:r>
      <w:r>
        <w:rPr>
          <w:rFonts w:hint="eastAsia" w:ascii="仿宋" w:hAnsi="仿宋" w:eastAsia="仿宋"/>
          <w:bCs/>
          <w:color w:val="000000" w:themeColor="text1"/>
          <w:sz w:val="24"/>
          <w:lang w:val="en-GB" w:eastAsia="zh-CN"/>
          <w14:textFill>
            <w14:solidFill>
              <w14:schemeClr w14:val="tx1"/>
            </w14:solidFill>
          </w14:textFill>
        </w:rPr>
        <w:t>理论知识和实践操作</w:t>
      </w:r>
      <w:r>
        <w:rPr>
          <w:rFonts w:hint="eastAsia" w:ascii="仿宋" w:hAnsi="仿宋" w:eastAsia="仿宋"/>
          <w:bCs/>
          <w:color w:val="000000" w:themeColor="text1"/>
          <w:sz w:val="24"/>
          <w:lang w:val="en-US" w:eastAsia="zh-CN"/>
          <w14:textFill>
            <w14:solidFill>
              <w14:schemeClr w14:val="tx1"/>
            </w14:solidFill>
          </w14:textFill>
        </w:rPr>
        <w:t>技能</w:t>
      </w:r>
      <w:r>
        <w:rPr>
          <w:rFonts w:hint="eastAsia" w:ascii="仿宋" w:hAnsi="仿宋" w:eastAsia="仿宋"/>
          <w:bCs/>
          <w:color w:val="000000" w:themeColor="text1"/>
          <w:sz w:val="24"/>
          <w:lang w:val="en-GB" w:eastAsia="zh-CN"/>
          <w14:textFill>
            <w14:solidFill>
              <w14:schemeClr w14:val="tx1"/>
            </w14:solidFill>
          </w14:textFill>
        </w:rPr>
        <w:t>；</w:t>
      </w:r>
      <w:r>
        <w:rPr>
          <w:rFonts w:hint="eastAsia" w:ascii="仿宋" w:hAnsi="仿宋" w:eastAsia="仿宋"/>
          <w:bCs/>
          <w:color w:val="000000" w:themeColor="text1"/>
          <w:sz w:val="24"/>
          <w:lang w:val="en-US" w:eastAsia="zh-CN"/>
          <w14:textFill>
            <w14:solidFill>
              <w14:schemeClr w14:val="tx1"/>
            </w14:solidFill>
          </w14:textFill>
        </w:rPr>
        <w:t>能够</w:t>
      </w:r>
      <w:r>
        <w:rPr>
          <w:rFonts w:hint="eastAsia" w:ascii="仿宋" w:hAnsi="仿宋" w:eastAsia="仿宋"/>
          <w:bCs/>
          <w:color w:val="000000" w:themeColor="text1"/>
          <w:sz w:val="24"/>
          <w:lang w:val="en-GB" w:eastAsia="zh-CN"/>
          <w14:textFill>
            <w14:solidFill>
              <w14:schemeClr w14:val="tx1"/>
            </w14:solidFill>
          </w14:textFill>
        </w:rPr>
        <w:t>掌握现代货币金融范畴的基本概念、基本原理、基本知识、基本方法以及主要西方国家货币银行制度的发展演变，全面系统地理解市场经济条件下货币金融运行的机理或规律。</w:t>
      </w:r>
    </w:p>
    <w:p>
      <w:pPr>
        <w:spacing w:line="360" w:lineRule="auto"/>
        <w:ind w:firstLine="482" w:firstLineChars="200"/>
        <w:rPr>
          <w:rFonts w:hint="eastAsia" w:ascii="仿宋" w:hAnsi="仿宋" w:eastAsia="仿宋"/>
          <w:bCs/>
          <w:color w:val="000000" w:themeColor="text1"/>
          <w:sz w:val="24"/>
          <w:lang w:val="en-GB" w:eastAsia="zh-CN"/>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r>
        <w:rPr>
          <w:rFonts w:hint="eastAsia" w:ascii="仿宋" w:hAnsi="仿宋" w:eastAsia="仿宋"/>
          <w:bCs/>
          <w:color w:val="000000" w:themeColor="text1"/>
          <w:sz w:val="24"/>
          <w:lang w:val="en-GB" w:eastAsia="zh-CN"/>
          <w14:textFill>
            <w14:solidFill>
              <w14:schemeClr w14:val="tx1"/>
            </w14:solidFill>
          </w14:textFill>
        </w:rPr>
        <w:t>能够运用有关理论知识分析中国经济和金融改革与发展过程中的现实问题，使所学知识具有系统性和实用性，培养学生的金融理论素质和解决实际问题的能力；要求学生能够既借鉴外国经验，又紧密结合中国国情，分析全球范围内金融的新情况和新问题，提高学生在社会科学方面的素养，为进一步学习其他经济金融专业课程打下必要的理论基础。</w:t>
      </w:r>
    </w:p>
    <w:p>
      <w:pPr>
        <w:numPr>
          <w:ilvl w:val="0"/>
          <w:numId w:val="1"/>
        </w:num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课程目标对毕业要求的支撑</w:t>
      </w:r>
    </w:p>
    <w:tbl>
      <w:tblPr>
        <w:tblStyle w:val="9"/>
        <w:tblW w:w="5000" w:type="pct"/>
        <w:jc w:val="center"/>
        <w:tblLayout w:type="autofit"/>
        <w:tblCellMar>
          <w:top w:w="0" w:type="dxa"/>
          <w:left w:w="108" w:type="dxa"/>
          <w:bottom w:w="0" w:type="dxa"/>
          <w:right w:w="108" w:type="dxa"/>
        </w:tblCellMar>
      </w:tblPr>
      <w:tblGrid>
        <w:gridCol w:w="2518"/>
        <w:gridCol w:w="2409"/>
        <w:gridCol w:w="2129"/>
        <w:gridCol w:w="1466"/>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lang w:val="en-US" w:eastAsia="zh-CN"/>
                <w14:textFill>
                  <w14:solidFill>
                    <w14:schemeClr w14:val="tx1"/>
                  </w14:solidFill>
                </w14:textFill>
              </w:rPr>
              <w:t>金融学专业</w:t>
            </w:r>
            <w:r>
              <w:rPr>
                <w:rFonts w:hint="eastAsia" w:ascii="仿宋" w:hAnsi="仿宋" w:eastAsia="仿宋"/>
                <w:b/>
                <w:color w:val="000000" w:themeColor="text1"/>
                <w:kern w:val="0"/>
                <w:sz w:val="24"/>
                <w14:textFill>
                  <w14:solidFill>
                    <w14:schemeClr w14:val="tx1"/>
                  </w14:solidFill>
                </w14:textFill>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支撑强度</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widowControl/>
              <w:spacing w:line="276" w:lineRule="auto"/>
              <w:jc w:val="both"/>
              <w:rPr>
                <w:rFonts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毕业要求1：</w:t>
            </w:r>
            <w:r>
              <w:rPr>
                <w:rFonts w:hint="eastAsia" w:ascii="仿宋" w:hAnsi="仿宋" w:eastAsia="仿宋"/>
                <w:color w:val="000000" w:themeColor="text1"/>
                <w:sz w:val="24"/>
                <w14:textFill>
                  <w14:solidFill>
                    <w14:schemeClr w14:val="tx1"/>
                  </w14:solidFill>
                </w14:textFill>
              </w:rPr>
              <w:t>能够将数学、自然科学、金融学基础和专业知识用于解决相关金融问题。</w:t>
            </w:r>
          </w:p>
        </w:tc>
        <w:tc>
          <w:tcPr>
            <w:tcW w:w="1413" w:type="pct"/>
            <w:tcBorders>
              <w:top w:val="single" w:color="auto" w:sz="4" w:space="0"/>
              <w:left w:val="nil"/>
              <w:bottom w:val="single" w:color="auto" w:sz="4" w:space="0"/>
              <w:right w:val="single" w:color="auto" w:sz="4" w:space="0"/>
            </w:tcBorders>
          </w:tcPr>
          <w:p>
            <w:pPr>
              <w:spacing w:line="276" w:lineRule="auto"/>
              <w:rPr>
                <w:rFonts w:ascii="仿宋" w:hAnsi="仿宋" w:eastAsia="仿宋"/>
                <w:color w:val="000000" w:themeColor="text1"/>
                <w:sz w:val="24"/>
                <w14:textFill>
                  <w14:solidFill>
                    <w14:schemeClr w14:val="tx1"/>
                  </w14:solidFill>
                </w14:textFill>
              </w:rPr>
            </w:pPr>
            <w:r>
              <w:rPr>
                <w:rFonts w:ascii="仿宋" w:hAnsi="仿宋" w:eastAsia="仿宋"/>
                <w:b/>
                <w:bCs/>
                <w:color w:val="000000" w:themeColor="text1"/>
                <w:sz w:val="24"/>
                <w14:textFill>
                  <w14:solidFill>
                    <w14:schemeClr w14:val="tx1"/>
                  </w14:solidFill>
                </w14:textFill>
              </w:rPr>
              <w:t>观测点1</w:t>
            </w:r>
            <w:r>
              <w:rPr>
                <w:rFonts w:hint="eastAsia" w:ascii="仿宋" w:hAnsi="仿宋" w:eastAsia="仿宋"/>
                <w:b/>
                <w:bCs/>
                <w:color w:val="000000" w:themeColor="text1"/>
                <w:sz w:val="24"/>
                <w:lang w:val="en-US" w:eastAsia="zh-CN"/>
                <w14:textFill>
                  <w14:solidFill>
                    <w14:schemeClr w14:val="tx1"/>
                  </w14:solidFill>
                </w14:textFill>
              </w:rPr>
              <w:t>.</w:t>
            </w:r>
            <w:r>
              <w:rPr>
                <w:rFonts w:ascii="仿宋" w:hAnsi="仿宋" w:eastAsia="仿宋"/>
                <w:b/>
                <w:bCs/>
                <w:color w:val="000000" w:themeColor="text1"/>
                <w:sz w:val="24"/>
                <w14:textFill>
                  <w14:solidFill>
                    <w14:schemeClr w14:val="tx1"/>
                  </w14:solidFill>
                </w14:textFill>
              </w:rPr>
              <w:t>2</w:t>
            </w:r>
            <w:r>
              <w:rPr>
                <w:rFonts w:hint="eastAsia" w:ascii="仿宋" w:hAnsi="仿宋" w:eastAsia="仿宋"/>
                <w:b/>
                <w:bCs/>
                <w:color w:val="000000" w:themeColor="text1"/>
                <w:sz w:val="24"/>
                <w:lang w:val="en-US" w:eastAsia="zh-CN"/>
                <w14:textFill>
                  <w14:solidFill>
                    <w14:schemeClr w14:val="tx1"/>
                  </w14:solidFill>
                </w14:textFill>
              </w:rPr>
              <w:t>-1.3</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掌握现代经济、金融和会计的基本理论框架</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基本原理</w:t>
            </w:r>
            <w:r>
              <w:rPr>
                <w:rFonts w:hint="eastAsia" w:ascii="仿宋" w:hAnsi="仿宋" w:eastAsia="仿宋"/>
                <w:color w:val="000000" w:themeColor="text1"/>
                <w:sz w:val="24"/>
                <w14:textFill>
                  <w14:solidFill>
                    <w14:schemeClr w14:val="tx1"/>
                  </w14:solidFill>
                </w14:textFill>
              </w:rPr>
              <w:t>和分析方法；理解金融市场的运行机制</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GB" w:eastAsia="zh-CN"/>
                <w14:textFill>
                  <w14:solidFill>
                    <w14:schemeClr w14:val="tx1"/>
                  </w14:solidFill>
                </w14:textFill>
              </w:rPr>
              <w:t>能够运用有关理论知识分析中国经济和金融改革与发展过程中的现实问题，使所学知识具有系统性和实用性，培养学生的金融理论素质和解决实际问题的能力</w:t>
            </w:r>
            <w:r>
              <w:rPr>
                <w:rFonts w:hint="eastAsia" w:ascii="仿宋" w:hAnsi="仿宋" w:eastAsia="仿宋"/>
                <w:color w:val="000000" w:themeColor="text1"/>
                <w:sz w:val="24"/>
                <w14:textFill>
                  <w14:solidFill>
                    <w14:schemeClr w14:val="tx1"/>
                  </w14:solidFill>
                </w14:textFill>
              </w:rPr>
              <w:t>。</w:t>
            </w:r>
          </w:p>
        </w:tc>
        <w:tc>
          <w:tcPr>
            <w:tcW w:w="1249"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both"/>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课程目标</w:t>
            </w:r>
            <w:r>
              <w:rPr>
                <w:rFonts w:hint="eastAsia" w:ascii="仿宋" w:hAnsi="仿宋" w:eastAsia="仿宋"/>
                <w:color w:val="000000" w:themeColor="text1"/>
                <w:sz w:val="24"/>
                <w:lang w:val="en-US" w:eastAsia="zh-CN"/>
                <w14:textFill>
                  <w14:solidFill>
                    <w14:schemeClr w14:val="tx1"/>
                  </w14:solidFill>
                </w14:textFill>
              </w:rPr>
              <w:t>3、4</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both"/>
              <w:rPr>
                <w:rFonts w:hint="eastAsia" w:ascii="仿宋" w:hAnsi="仿宋" w:eastAsia="仿宋"/>
                <w:b/>
                <w:bCs/>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毕业要求2：</w:t>
            </w:r>
            <w:r>
              <w:rPr>
                <w:rFonts w:hint="eastAsia" w:ascii="仿宋" w:hAnsi="仿宋" w:eastAsia="仿宋"/>
                <w:color w:val="000000" w:themeColor="text1"/>
                <w:sz w:val="24"/>
                <w14:textFill>
                  <w14:solidFill>
                    <w14:schemeClr w14:val="tx1"/>
                  </w14:solidFill>
                </w14:textFill>
              </w:rPr>
              <w:t>能够运用经济学、金融学和会计学的基本理论，以及统计学、计量经济学等工具对现实金融问题进行分析研究。</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color w:val="000000" w:themeColor="text1"/>
                <w:sz w:val="24"/>
                <w:lang w:val="en-US" w:eastAsia="zh-CN"/>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w:t>
            </w:r>
            <w:r>
              <w:rPr>
                <w:rFonts w:hint="eastAsia" w:ascii="仿宋" w:hAnsi="仿宋" w:eastAsia="仿宋"/>
                <w:b/>
                <w:bCs/>
                <w:color w:val="000000" w:themeColor="text1"/>
                <w:sz w:val="24"/>
                <w:lang w:val="en-US" w:eastAsia="zh-CN"/>
                <w14:textFill>
                  <w14:solidFill>
                    <w14:schemeClr w14:val="tx1"/>
                  </w14:solidFill>
                </w14:textFill>
              </w:rPr>
              <w:t>2.1</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掌握现代货币制度、货币政策调控方法，以及各类银行的制度、职能、组织形式、主要业务的操作流程和运作方式</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GB" w:eastAsia="zh-CN"/>
                <w14:textFill>
                  <w14:solidFill>
                    <w14:schemeClr w14:val="tx1"/>
                  </w14:solidFill>
                </w14:textFill>
              </w:rPr>
              <w:t>既借鉴外国经验，又紧密结合中国国情，分析全球范围内金融的新情况和新问题</w:t>
            </w:r>
            <w:r>
              <w:rPr>
                <w:rFonts w:hint="eastAsia" w:ascii="仿宋" w:hAnsi="仿宋" w:eastAsia="仿宋"/>
                <w:color w:val="000000" w:themeColor="text1"/>
                <w:sz w:val="24"/>
                <w14:textFill>
                  <w14:solidFill>
                    <w14:schemeClr w14:val="tx1"/>
                  </w14:solidFill>
                </w14:textFill>
              </w:rPr>
              <w:t>。</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3</w:t>
            </w:r>
            <w:r>
              <w:rPr>
                <w:rFonts w:hint="eastAsia" w:ascii="仿宋" w:hAnsi="仿宋" w:eastAsia="仿宋"/>
                <w:color w:val="000000" w:themeColor="text1"/>
                <w:sz w:val="24"/>
                <w:lang w:val="en-US" w:eastAsia="zh-CN"/>
                <w14:textFill>
                  <w14:solidFill>
                    <w14:schemeClr w14:val="tx1"/>
                  </w14:solidFill>
                </w14:textFill>
              </w:rPr>
              <w:t>、4</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both"/>
              <w:rPr>
                <w:rFonts w:hint="eastAsia"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w:t>
            </w:r>
            <w:r>
              <w:rPr>
                <w:rFonts w:hint="eastAsia" w:ascii="仿宋" w:hAnsi="仿宋" w:eastAsia="仿宋"/>
                <w:b/>
                <w:bCs/>
                <w:color w:val="000000" w:themeColor="text1"/>
                <w:kern w:val="0"/>
                <w:sz w:val="24"/>
                <w:lang w:val="en-US" w:eastAsia="zh-CN"/>
                <w14:textFill>
                  <w14:solidFill>
                    <w14:schemeClr w14:val="tx1"/>
                  </w14:solidFill>
                </w14:textFill>
              </w:rPr>
              <w:t>5</w:t>
            </w:r>
            <w:r>
              <w:rPr>
                <w:rFonts w:hint="eastAsia" w:ascii="仿宋" w:hAnsi="仿宋" w:eastAsia="仿宋"/>
                <w:b/>
                <w:bCs/>
                <w:color w:val="000000" w:themeColor="text1"/>
                <w:kern w:val="0"/>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能够基于金融相关背景知识进行合理分析，运用金融专业知识解决管理、科技、法律、能源、人文等领域的社会相关问题。</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观测点5.2：</w:t>
            </w:r>
            <w:r>
              <w:rPr>
                <w:rFonts w:hint="eastAsia" w:ascii="仿宋" w:hAnsi="仿宋" w:eastAsia="仿宋"/>
                <w:color w:val="000000" w:themeColor="text1"/>
                <w:sz w:val="24"/>
                <w14:textFill>
                  <w14:solidFill>
                    <w14:schemeClr w14:val="tx1"/>
                  </w14:solidFill>
                </w14:textFill>
              </w:rPr>
              <w:t>能够将其他学科知识运用于投融资等实务中，同时能够运用金融知识解决相关领域的社会问题</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GB" w:eastAsia="zh-CN"/>
                <w14:textFill>
                  <w14:solidFill>
                    <w14:schemeClr w14:val="tx1"/>
                  </w14:solidFill>
                </w14:textFill>
              </w:rPr>
              <w:t>提高学生在社会科学方面的素养。</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themeColor="text1"/>
                <w:kern w:val="0"/>
                <w:sz w:val="24"/>
                <w:lang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3</w:t>
            </w:r>
            <w:r>
              <w:rPr>
                <w:rFonts w:hint="eastAsia" w:ascii="仿宋" w:hAnsi="仿宋" w:eastAsia="仿宋"/>
                <w:color w:val="000000" w:themeColor="text1"/>
                <w:sz w:val="24"/>
                <w:lang w:val="en-US" w:eastAsia="zh-CN"/>
                <w14:textFill>
                  <w14:solidFill>
                    <w14:schemeClr w14:val="tx1"/>
                  </w14:solidFill>
                </w14:textFill>
              </w:rPr>
              <w:t>、4</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both"/>
              <w:rPr>
                <w:rFonts w:hint="eastAsia"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w:t>
            </w:r>
            <w:r>
              <w:rPr>
                <w:rFonts w:hint="eastAsia" w:ascii="仿宋" w:hAnsi="仿宋" w:eastAsia="仿宋"/>
                <w:b/>
                <w:bCs/>
                <w:color w:val="000000" w:themeColor="text1"/>
                <w:kern w:val="0"/>
                <w:sz w:val="24"/>
                <w:lang w:val="en-US" w:eastAsia="zh-CN"/>
                <w14:textFill>
                  <w14:solidFill>
                    <w14:schemeClr w14:val="tx1"/>
                  </w14:solidFill>
                </w14:textFill>
              </w:rPr>
              <w:t>6</w:t>
            </w:r>
            <w:r>
              <w:rPr>
                <w:rFonts w:hint="eastAsia" w:ascii="仿宋" w:hAnsi="仿宋" w:eastAsia="仿宋"/>
                <w:b/>
                <w:bCs/>
                <w:color w:val="000000" w:themeColor="text1"/>
                <w:kern w:val="0"/>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具有人文社会科学素养和社会责任感，具有健康的体魄和心理素质，能够在金融实践中理解并遵守职业道德和规范，履行责任。</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w:t>
            </w:r>
            <w:r>
              <w:rPr>
                <w:rFonts w:hint="eastAsia" w:ascii="仿宋" w:hAnsi="仿宋" w:eastAsia="仿宋"/>
                <w:b/>
                <w:bCs/>
                <w:color w:val="000000" w:themeColor="text1"/>
                <w:sz w:val="24"/>
                <w:lang w:val="en-US" w:eastAsia="zh-CN"/>
                <w14:textFill>
                  <w14:solidFill>
                    <w14:schemeClr w14:val="tx1"/>
                  </w14:solidFill>
                </w14:textFill>
              </w:rPr>
              <w:t>6.1</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培养正确的世界观、人生观、价值观，形成高尚的道德情操，梳理体现中华民族传统和时代精神的价值标准和行为规范</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14:textFill>
                  <w14:solidFill>
                    <w14:schemeClr w14:val="tx1"/>
                  </w14:solidFill>
                </w14:textFill>
              </w:rPr>
              <w:t>培养学生具备坚定正确的政治方向和较高的政治素质，具有高度的社会责任感，认真的工作责任心,以及良好的思想品德和职业道德。</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themeColor="text1"/>
                <w:kern w:val="0"/>
                <w:sz w:val="24"/>
                <w:lang w:val="en-US"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1和2</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lang w:val="en-US" w:eastAsia="zh-CN"/>
                <w14:textFill>
                  <w14:solidFill>
                    <w14:schemeClr w14:val="tx1"/>
                  </w14:solidFill>
                </w14:textFill>
              </w:rPr>
              <w:t>经济学专业</w:t>
            </w:r>
            <w:r>
              <w:rPr>
                <w:rFonts w:hint="eastAsia" w:ascii="仿宋" w:hAnsi="仿宋" w:eastAsia="仿宋"/>
                <w:b/>
                <w:color w:val="000000" w:themeColor="text1"/>
                <w:kern w:val="0"/>
                <w:sz w:val="24"/>
                <w14:textFill>
                  <w14:solidFill>
                    <w14:schemeClr w14:val="tx1"/>
                  </w14:solidFill>
                </w14:textFill>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支撑强度</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widowControl/>
              <w:spacing w:line="276" w:lineRule="auto"/>
              <w:jc w:val="both"/>
              <w:rPr>
                <w:rFonts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毕业要求</w:t>
            </w:r>
            <w:r>
              <w:rPr>
                <w:rFonts w:hint="eastAsia" w:ascii="仿宋" w:hAnsi="仿宋" w:eastAsia="仿宋"/>
                <w:b/>
                <w:bCs/>
                <w:color w:val="000000" w:themeColor="text1"/>
                <w:sz w:val="24"/>
                <w:lang w:val="en-US" w:eastAsia="zh-CN"/>
                <w14:textFill>
                  <w14:solidFill>
                    <w14:schemeClr w14:val="tx1"/>
                  </w14:solidFill>
                </w14:textFill>
              </w:rPr>
              <w:t>3</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掌握宏微观+计量经济学的传统经济理论与方法体系，在经济及市场方面能够运用这些理论与方法进行研究与分析。</w:t>
            </w:r>
          </w:p>
        </w:tc>
        <w:tc>
          <w:tcPr>
            <w:tcW w:w="1413" w:type="pct"/>
            <w:tcBorders>
              <w:top w:val="single" w:color="auto" w:sz="4" w:space="0"/>
              <w:left w:val="nil"/>
              <w:bottom w:val="single" w:color="auto" w:sz="4" w:space="0"/>
              <w:right w:val="single" w:color="auto" w:sz="4" w:space="0"/>
            </w:tcBorders>
          </w:tcPr>
          <w:p>
            <w:pPr>
              <w:spacing w:line="276" w:lineRule="auto"/>
              <w:rPr>
                <w:rFonts w:ascii="仿宋" w:hAnsi="仿宋" w:eastAsia="仿宋"/>
                <w:color w:val="000000" w:themeColor="text1"/>
                <w:sz w:val="24"/>
                <w14:textFill>
                  <w14:solidFill>
                    <w14:schemeClr w14:val="tx1"/>
                  </w14:solidFill>
                </w14:textFill>
              </w:rPr>
            </w:pPr>
            <w:r>
              <w:rPr>
                <w:rFonts w:ascii="仿宋" w:hAnsi="仿宋" w:eastAsia="仿宋"/>
                <w:b/>
                <w:bCs/>
                <w:color w:val="000000" w:themeColor="text1"/>
                <w:sz w:val="24"/>
                <w14:textFill>
                  <w14:solidFill>
                    <w14:schemeClr w14:val="tx1"/>
                  </w14:solidFill>
                </w14:textFill>
              </w:rPr>
              <w:t>观测点</w:t>
            </w:r>
            <w:r>
              <w:rPr>
                <w:rFonts w:hint="eastAsia" w:ascii="仿宋" w:hAnsi="仿宋" w:eastAsia="仿宋"/>
                <w:b/>
                <w:bCs/>
                <w:color w:val="000000" w:themeColor="text1"/>
                <w:sz w:val="24"/>
                <w:lang w:val="en-US" w:eastAsia="zh-CN"/>
                <w14:textFill>
                  <w14:solidFill>
                    <w14:schemeClr w14:val="tx1"/>
                  </w14:solidFill>
                </w14:textFill>
              </w:rPr>
              <w:t>3.1</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具备经济研究所必备的经济学基础知识，并具有将知识用于相关研究的能力。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3和4</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50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056"/>
        <w:gridCol w:w="1344"/>
        <w:gridCol w:w="456"/>
        <w:gridCol w:w="2840"/>
        <w:gridCol w:w="784"/>
        <w:gridCol w:w="776"/>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617"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78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66"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661"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458"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454"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470"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83"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617" w:type="pct"/>
            <w:shd w:val="clear" w:color="auto" w:fill="auto"/>
            <w:vAlign w:val="center"/>
          </w:tcPr>
          <w:p>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导论</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w:t>
            </w:r>
            <w:r>
              <w:rPr>
                <w:rFonts w:hint="eastAsia" w:eastAsia="仿宋"/>
                <w:bCs/>
                <w:spacing w:val="-3"/>
                <w:sz w:val="24"/>
                <w:lang w:val="en-GB" w:eastAsia="zh-CN"/>
              </w:rPr>
              <w:t>学概要</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2</w:t>
            </w:r>
          </w:p>
        </w:tc>
        <w:tc>
          <w:tcPr>
            <w:tcW w:w="1661" w:type="pct"/>
            <w:vAlign w:val="center"/>
          </w:tcPr>
          <w:p>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GB" w:eastAsia="zh-CN"/>
              </w:rPr>
              <w:t>介绍金融学课程的框架</w:t>
            </w:r>
            <w:r>
              <w:rPr>
                <w:rFonts w:hint="eastAsia" w:eastAsia="仿宋"/>
                <w:bCs/>
                <w:spacing w:val="-3"/>
                <w:sz w:val="24"/>
                <w:lang w:val="en-US" w:eastAsia="zh-CN"/>
              </w:rPr>
              <w:t>和脉络</w:t>
            </w:r>
          </w:p>
        </w:tc>
        <w:tc>
          <w:tcPr>
            <w:tcW w:w="458" w:type="pct"/>
            <w:vAlign w:val="center"/>
          </w:tcPr>
          <w:p>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zh-CN" w:eastAsia="zh-CN"/>
              </w:rPr>
              <w:t>第一章</w:t>
            </w:r>
            <w:r>
              <w:rPr>
                <w:rFonts w:hint="eastAsia" w:eastAsia="仿宋"/>
                <w:bCs/>
                <w:spacing w:val="-3"/>
                <w:sz w:val="24"/>
                <w:lang w:val="en-US" w:eastAsia="zh-CN"/>
              </w:rPr>
              <w:t xml:space="preserve"> 货币与货币制度</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货币的含义、货币的职能、货币形式的演变、货币的计量、货币制度</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GB" w:eastAsia="zh-CN"/>
              </w:rPr>
              <w:t>理解货币的定义及本质、</w:t>
            </w:r>
            <w:r>
              <w:rPr>
                <w:rFonts w:hint="eastAsia" w:eastAsia="仿宋"/>
                <w:bCs/>
                <w:spacing w:val="-3"/>
                <w:sz w:val="24"/>
                <w:lang w:val="en-US" w:eastAsia="zh-CN"/>
              </w:rPr>
              <w:t>掌握货币各种职能的含义及特点、了解货币形式的演变及各种货币形态的特点、理解划分货币层次的意义、依据和构成、掌握货币制度的构成要素和历史演变</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第二章 金融机构体系概览</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金融机构体系概述、金融机构存在的理论基础、金融机构体系的构成</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了解直接融资和间接融资的特点、理解和掌握金融业存在的理论基础、了解西方金融机构体系的一般构成，掌握我国金融机构体系的一般构成</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4</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第三章 利息与利率</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利息与利率概述、利率的计算与运用、利率决定理论、利率结构决定理论、利率的作用</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理解和掌握利息与利率的基本概念、理解和掌握利息的计算方法，了解利率变动的主要因素和主要金融工具到期收益率的计算、掌握各种利率决定理论的基本观点及特点、理解和掌握利率期限结构和风险结构理论的主要内容、理解和掌握利率在经济中的作用和利率发挥作用的条件</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5</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第四章 金融市场及其构成</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金融市场概述、货币市场、资本市场</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GB" w:eastAsia="zh-CN"/>
              </w:rPr>
              <w:t>了解金融市场的基本概念及功能，掌握收益与风险的关系，理解资产组合原理的内涵及计算、</w:t>
            </w:r>
            <w:r>
              <w:rPr>
                <w:rFonts w:hint="eastAsia" w:eastAsia="仿宋"/>
                <w:bCs/>
                <w:spacing w:val="-3"/>
                <w:sz w:val="24"/>
                <w:lang w:val="en-US" w:eastAsia="zh-CN"/>
              </w:rPr>
              <w:t>理解和掌握货币市场的概念及构成，重点掌握同业拆借市场和国库券市场的运作、理解和掌握资本市场的概念及构成，重点掌握股票与债券市场的运作，比较股票与债券的区别</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6</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第五章 金融衍生工具市场</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金融衍生工具市场概述、金融远期市场、金融期货市场、金融期权交易、金融互换交易</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了解金融衍生工具的概念、特点及产生的原因、理解远期的基本概念及特征，掌握远期利率协议的原理、理解期货的基本概念及特征、理解期权的基本概念及特征、掌握互换的动因及种类</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7</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第六章 商业银行及经营管理</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商业银行概述、商业银行的资产负债表业务、商业银行的表外业务、商业银行的经营管理</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熟悉商业银行各类经营模式和组织制度的概念及优缺点、理解商业银行的负债业务构成及相应的业务创新，资产业务的构成与管理、掌握商业银行表外业务的主要种类、掌握商业银行三项基本的经营原则，了解各项经营管理理论的内容及其发展沿革</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8</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第七章 中央银行</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中央银行的产生与发展、中央银行制度、中央银行的性质与职能、中央银行的主要业务</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掌握建立中央银行的必要性，了解中央银行的产生途径和历史演变、了解中央银行的几种所有制形式和组织结构、理解中央银行的性质及其基本职能、掌握中央银行资产业务特征及其对基础货币的影响，了解中央银行的支付清算业务及具体流程</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9</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第九章 货币政策</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货币政策目标、货币政策工具、货币政策传导机制、货币政策效果的影响因素</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货币政策的概念，掌握货币政策体系及目标构成、掌握一般性货币政策工具，了解其他货币政策工具、理解货币政策传导机制，重点掌握凯恩斯学派的传导机制、了解货币政策的时滞及货币政策传导效果的影响因素分析</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617"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第十章 货币供求</w:t>
            </w:r>
          </w:p>
        </w:tc>
        <w:tc>
          <w:tcPr>
            <w:tcW w:w="786" w:type="pct"/>
            <w:shd w:val="clear" w:color="auto" w:fill="auto"/>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货币需求理论、货币供给机制</w:t>
            </w:r>
          </w:p>
        </w:tc>
        <w:tc>
          <w:tcPr>
            <w:tcW w:w="266" w:type="pct"/>
            <w:vAlign w:val="center"/>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货币需求的定义、类型及决定因素，了解货币数量论，掌握凯恩斯货币需求理论和现代货币数量论的主要思想及其发展、理解商业银行货币创造的原理和模型，掌握货币供给的完整模型，掌握货币乘数的概念、公式及影响因素分析，了解几种货币供给理论，重点理解凯恩斯货币供给理论</w:t>
            </w:r>
          </w:p>
        </w:tc>
        <w:tc>
          <w:tcPr>
            <w:tcW w:w="458"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bl>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pPr>
        <w:snapToGrid w:val="0"/>
        <w:spacing w:line="360" w:lineRule="auto"/>
        <w:ind w:firstLine="480"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50</w:t>
      </w:r>
      <w:r>
        <w:rPr>
          <w:rFonts w:eastAsia="仿宋"/>
          <w:sz w:val="24"/>
        </w:rPr>
        <w:t>%</w:t>
      </w:r>
      <w:r>
        <w:rPr>
          <w:rFonts w:hint="eastAsia" w:eastAsia="仿宋"/>
          <w:sz w:val="24"/>
        </w:rPr>
        <w:t>，实验成绩</w:t>
      </w:r>
      <w:r>
        <w:rPr>
          <w:rFonts w:hint="eastAsia" w:eastAsia="仿宋"/>
          <w:sz w:val="24"/>
          <w:lang w:val="en-US" w:eastAsia="zh-CN"/>
        </w:rPr>
        <w:t>0</w:t>
      </w:r>
      <w:r>
        <w:rPr>
          <w:rFonts w:eastAsia="仿宋"/>
          <w:sz w:val="24"/>
        </w:rPr>
        <w:t>%</w:t>
      </w:r>
      <w:r>
        <w:rPr>
          <w:rFonts w:hint="eastAsia" w:eastAsia="仿宋"/>
          <w:sz w:val="24"/>
        </w:rPr>
        <w:t>，结课考核成绩</w:t>
      </w:r>
      <w:r>
        <w:rPr>
          <w:rFonts w:hint="eastAsia" w:eastAsia="仿宋"/>
          <w:sz w:val="24"/>
          <w:lang w:val="en-US" w:eastAsia="zh-CN"/>
        </w:rPr>
        <w:t>50</w:t>
      </w:r>
      <w:r>
        <w:rPr>
          <w:rFonts w:eastAsia="仿宋"/>
          <w:sz w:val="24"/>
        </w:rPr>
        <w:t>%</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857"/>
        <w:gridCol w:w="806"/>
        <w:gridCol w:w="4252"/>
        <w:gridCol w:w="1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599" w:type="dxa"/>
            <w:gridSpan w:val="2"/>
            <w:shd w:val="clear" w:color="auto" w:fill="auto"/>
            <w:vAlign w:val="center"/>
          </w:tcPr>
          <w:p>
            <w:pPr>
              <w:suppressAutoHyphens/>
              <w:spacing w:before="156" w:beforeLines="50" w:after="156" w:afterLines="50" w:line="276"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考核环节</w:t>
            </w:r>
          </w:p>
        </w:tc>
        <w:tc>
          <w:tcPr>
            <w:tcW w:w="806" w:type="dxa"/>
            <w:vAlign w:val="center"/>
          </w:tcPr>
          <w:p>
            <w:pPr>
              <w:suppressAutoHyphens/>
              <w:spacing w:before="156" w:beforeLines="50" w:after="156" w:afterLines="50" w:line="276"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分值</w:t>
            </w:r>
          </w:p>
        </w:tc>
        <w:tc>
          <w:tcPr>
            <w:tcW w:w="4252" w:type="dxa"/>
            <w:vAlign w:val="center"/>
          </w:tcPr>
          <w:p>
            <w:pPr>
              <w:suppressAutoHyphens/>
              <w:spacing w:before="156" w:beforeLines="50" w:after="156" w:afterLines="50" w:line="276" w:lineRule="auto"/>
              <w:jc w:val="center"/>
              <w:rPr>
                <w:rFonts w:hint="default" w:eastAsia="仿宋"/>
                <w:bCs/>
                <w:spacing w:val="-3"/>
                <w:sz w:val="24"/>
                <w:lang w:val="en-US" w:eastAsia="zh-CN"/>
              </w:rPr>
            </w:pPr>
            <w:r>
              <w:rPr>
                <w:rFonts w:hint="eastAsia" w:ascii="仿宋" w:hAnsi="仿宋" w:eastAsia="仿宋"/>
                <w:b/>
                <w:color w:val="000000"/>
                <w:sz w:val="24"/>
              </w:rPr>
              <w:t>考核/评价细则</w:t>
            </w:r>
          </w:p>
        </w:tc>
        <w:tc>
          <w:tcPr>
            <w:tcW w:w="1932" w:type="dxa"/>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42"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857" w:type="dxa"/>
            <w:shd w:val="clear" w:color="auto" w:fill="auto"/>
            <w:vAlign w:val="center"/>
          </w:tcPr>
          <w:p>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rPr>
              <w:t>作业</w:t>
            </w:r>
            <w:r>
              <w:rPr>
                <w:rFonts w:hint="eastAsia" w:ascii="仿宋" w:hAnsi="仿宋" w:eastAsia="仿宋"/>
                <w:b/>
                <w:color w:val="000000"/>
                <w:sz w:val="24"/>
                <w:lang w:val="en-US" w:eastAsia="zh-CN"/>
              </w:rPr>
              <w:t>1</w:t>
            </w:r>
          </w:p>
        </w:tc>
        <w:tc>
          <w:tcPr>
            <w:tcW w:w="806" w:type="dxa"/>
            <w:vAlign w:val="center"/>
          </w:tcPr>
          <w:p>
            <w:pPr>
              <w:snapToGrid w:val="0"/>
              <w:spacing w:line="360" w:lineRule="auto"/>
              <w:jc w:val="both"/>
              <w:rPr>
                <w:rFonts w:hint="eastAsia" w:ascii="Times New Roman" w:hAnsi="Times New Roman" w:eastAsia="仿宋" w:cs="Times New Roman"/>
                <w:kern w:val="2"/>
                <w:sz w:val="24"/>
                <w:szCs w:val="24"/>
                <w:lang w:val="en-US" w:eastAsia="zh-CN" w:bidi="ar-SA"/>
              </w:rPr>
            </w:pPr>
            <w:r>
              <w:rPr>
                <w:rFonts w:hint="eastAsia" w:eastAsia="仿宋"/>
                <w:sz w:val="24"/>
                <w:lang w:val="en-US" w:eastAsia="zh-CN"/>
              </w:rPr>
              <w:t>20</w:t>
            </w:r>
          </w:p>
        </w:tc>
        <w:tc>
          <w:tcPr>
            <w:tcW w:w="4252" w:type="dxa"/>
            <w:vAlign w:val="top"/>
          </w:tcPr>
          <w:p>
            <w:pPr>
              <w:suppressAutoHyphens/>
              <w:spacing w:before="156" w:beforeLines="50" w:after="156" w:afterLines="50" w:line="276" w:lineRule="auto"/>
              <w:jc w:val="both"/>
              <w:rPr>
                <w:rFonts w:hint="eastAsia" w:ascii="Times New Roman" w:hAnsi="Times New Roman" w:eastAsia="仿宋" w:cs="Times New Roman"/>
                <w:bCs/>
                <w:spacing w:val="-3"/>
                <w:kern w:val="2"/>
                <w:sz w:val="24"/>
                <w:szCs w:val="24"/>
                <w:lang w:val="en-US" w:eastAsia="zh-CN" w:bidi="ar-SA"/>
              </w:rPr>
            </w:pPr>
            <w:r>
              <w:rPr>
                <w:rFonts w:hint="eastAsia" w:eastAsia="仿宋"/>
                <w:bCs/>
                <w:spacing w:val="-3"/>
                <w:sz w:val="24"/>
                <w:lang w:val="en-US" w:eastAsia="zh-CN"/>
              </w:rPr>
              <w:t>通过雨课堂发布课后作业，学生在雨课堂完成后提交，根据学生的完成情况评定分数。</w:t>
            </w:r>
          </w:p>
        </w:tc>
        <w:tc>
          <w:tcPr>
            <w:tcW w:w="1932" w:type="dxa"/>
            <w:vAlign w:val="center"/>
          </w:tcPr>
          <w:p>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eastAsia="仿宋"/>
                <w:bCs/>
                <w:spacing w:val="-3"/>
                <w:sz w:val="24"/>
                <w:lang w:val="en-US" w:eastAsia="zh-CN"/>
              </w:rPr>
              <w:t>课程目标3、4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作业2</w:t>
            </w:r>
          </w:p>
        </w:tc>
        <w:tc>
          <w:tcPr>
            <w:tcW w:w="806" w:type="dxa"/>
            <w:vAlign w:val="center"/>
          </w:tcPr>
          <w:p>
            <w:pPr>
              <w:snapToGrid w:val="0"/>
              <w:spacing w:line="360" w:lineRule="auto"/>
              <w:jc w:val="both"/>
              <w:rPr>
                <w:rFonts w:hint="default" w:eastAsia="仿宋"/>
                <w:sz w:val="24"/>
                <w:lang w:val="en-US" w:eastAsia="zh-CN"/>
              </w:rPr>
            </w:pPr>
            <w:r>
              <w:rPr>
                <w:rFonts w:hint="eastAsia" w:eastAsia="仿宋"/>
                <w:sz w:val="24"/>
                <w:lang w:val="en-US" w:eastAsia="zh-CN"/>
              </w:rPr>
              <w:t>20</w:t>
            </w:r>
          </w:p>
        </w:tc>
        <w:tc>
          <w:tcPr>
            <w:tcW w:w="4252" w:type="dxa"/>
          </w:tcPr>
          <w:p>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通过雨课堂发布课后作业，学生在雨课堂完成后提交，根据学生的完成情况评定分数。</w:t>
            </w:r>
          </w:p>
        </w:tc>
        <w:tc>
          <w:tcPr>
            <w:tcW w:w="1932" w:type="dxa"/>
            <w:vAlign w:val="center"/>
          </w:tcPr>
          <w:p>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作业3</w:t>
            </w:r>
          </w:p>
        </w:tc>
        <w:tc>
          <w:tcPr>
            <w:tcW w:w="806" w:type="dxa"/>
            <w:vAlign w:val="center"/>
          </w:tcPr>
          <w:p>
            <w:pPr>
              <w:snapToGrid w:val="0"/>
              <w:spacing w:line="360" w:lineRule="auto"/>
              <w:jc w:val="both"/>
              <w:rPr>
                <w:rFonts w:hint="default" w:eastAsia="仿宋"/>
                <w:sz w:val="24"/>
                <w:lang w:val="en-US" w:eastAsia="zh-CN"/>
              </w:rPr>
            </w:pPr>
            <w:r>
              <w:rPr>
                <w:rFonts w:hint="eastAsia" w:eastAsia="仿宋"/>
                <w:sz w:val="24"/>
                <w:lang w:val="en-US" w:eastAsia="zh-CN"/>
              </w:rPr>
              <w:t>20</w:t>
            </w:r>
          </w:p>
        </w:tc>
        <w:tc>
          <w:tcPr>
            <w:tcW w:w="4252" w:type="dxa"/>
          </w:tcPr>
          <w:p>
            <w:pPr>
              <w:snapToGrid w:val="0"/>
              <w:spacing w:line="360" w:lineRule="auto"/>
              <w:jc w:val="both"/>
              <w:rPr>
                <w:rFonts w:hint="eastAsia" w:eastAsia="仿宋"/>
                <w:sz w:val="24"/>
              </w:rPr>
            </w:pPr>
            <w:r>
              <w:rPr>
                <w:rFonts w:hint="eastAsia" w:eastAsia="仿宋"/>
                <w:bCs/>
                <w:spacing w:val="-3"/>
                <w:sz w:val="24"/>
                <w:lang w:val="en-US" w:eastAsia="zh-CN"/>
              </w:rPr>
              <w:t>通过雨课堂发布课后作业，学生在雨课堂完成后提交，根据学生的完成情况评定分数。</w:t>
            </w:r>
          </w:p>
        </w:tc>
        <w:tc>
          <w:tcPr>
            <w:tcW w:w="1932" w:type="dxa"/>
            <w:vAlign w:val="center"/>
          </w:tcPr>
          <w:p>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742"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小组展示</w:t>
            </w:r>
          </w:p>
        </w:tc>
        <w:tc>
          <w:tcPr>
            <w:tcW w:w="806" w:type="dxa"/>
            <w:vAlign w:val="center"/>
          </w:tcPr>
          <w:p>
            <w:pPr>
              <w:snapToGrid w:val="0"/>
              <w:spacing w:line="360" w:lineRule="auto"/>
              <w:jc w:val="both"/>
              <w:rPr>
                <w:rFonts w:hint="default" w:eastAsia="仿宋"/>
                <w:sz w:val="24"/>
                <w:lang w:val="en-US" w:eastAsia="zh-CN"/>
              </w:rPr>
            </w:pPr>
            <w:r>
              <w:rPr>
                <w:rFonts w:hint="eastAsia" w:eastAsia="仿宋"/>
                <w:sz w:val="24"/>
                <w:lang w:val="en-US" w:eastAsia="zh-CN"/>
              </w:rPr>
              <w:t>20</w:t>
            </w:r>
          </w:p>
        </w:tc>
        <w:tc>
          <w:tcPr>
            <w:tcW w:w="4252" w:type="dxa"/>
          </w:tcPr>
          <w:p>
            <w:pPr>
              <w:snapToGrid w:val="0"/>
              <w:spacing w:line="360" w:lineRule="auto"/>
              <w:jc w:val="both"/>
              <w:rPr>
                <w:rFonts w:hint="default" w:eastAsia="仿宋"/>
                <w:sz w:val="24"/>
                <w:lang w:val="en-US" w:eastAsia="zh-CN"/>
              </w:rPr>
            </w:pPr>
            <w:r>
              <w:rPr>
                <w:rFonts w:hint="eastAsia" w:eastAsia="仿宋"/>
                <w:bCs/>
                <w:spacing w:val="-3"/>
                <w:sz w:val="24"/>
                <w:lang w:val="en-US" w:eastAsia="zh-CN"/>
              </w:rPr>
              <w:t>学生通过小组展示，将金融热点和实际问题与课堂所学知识有机结合，分享自己对中国金融故事和中国金融实践向前发展的观点和看法，根据学生的完成情况评定分数。</w:t>
            </w:r>
          </w:p>
        </w:tc>
        <w:tc>
          <w:tcPr>
            <w:tcW w:w="1932" w:type="dxa"/>
            <w:vAlign w:val="center"/>
          </w:tcPr>
          <w:p>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742"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w:t>
            </w:r>
          </w:p>
        </w:tc>
        <w:tc>
          <w:tcPr>
            <w:tcW w:w="806"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4252" w:type="dxa"/>
          </w:tcPr>
          <w:p>
            <w:pPr>
              <w:snapToGrid w:val="0"/>
              <w:spacing w:line="360" w:lineRule="auto"/>
              <w:jc w:val="both"/>
              <w:rPr>
                <w:rFonts w:hint="default" w:ascii="仿宋" w:hAnsi="仿宋" w:eastAsia="仿宋"/>
                <w:b/>
                <w:color w:val="000000"/>
                <w:sz w:val="24"/>
                <w:lang w:val="en-US" w:eastAsia="zh-CN"/>
              </w:rPr>
            </w:pPr>
            <w:r>
              <w:rPr>
                <w:rFonts w:hint="eastAsia" w:eastAsia="仿宋"/>
                <w:bCs/>
                <w:spacing w:val="-3"/>
                <w:sz w:val="24"/>
                <w:lang w:val="en-US" w:eastAsia="zh-CN"/>
              </w:rPr>
              <w:t>旷课一次扣5分，督促学生遵守课堂纪律，让学生明白按时上课不仅是对老师的尊重，更是对自己学习责任的体现，通过这种常规的教学管理环节为学生职业道德的培养提供基础。</w:t>
            </w:r>
          </w:p>
        </w:tc>
        <w:tc>
          <w:tcPr>
            <w:tcW w:w="1932" w:type="dxa"/>
            <w:vAlign w:val="center"/>
          </w:tcPr>
          <w:p>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85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806"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4252" w:type="dxa"/>
          </w:tcPr>
          <w:p>
            <w:pPr>
              <w:snapToGrid w:val="0"/>
              <w:spacing w:line="360" w:lineRule="auto"/>
              <w:jc w:val="left"/>
              <w:rPr>
                <w:rFonts w:hint="default" w:ascii="仿宋" w:hAnsi="仿宋" w:eastAsia="仿宋"/>
                <w:bCs/>
                <w:color w:val="0070C0"/>
                <w:sz w:val="24"/>
                <w:lang w:val="en-US" w:eastAsia="zh-CN"/>
              </w:rPr>
            </w:pPr>
            <w:r>
              <w:rPr>
                <w:rFonts w:hint="eastAsia" w:eastAsia="仿宋"/>
                <w:bCs/>
                <w:spacing w:val="-3"/>
                <w:sz w:val="24"/>
                <w:lang w:val="en-US" w:eastAsia="zh-CN"/>
              </w:rPr>
              <w:t>笔试（闭卷），其中单选题30分，主要考核学生对金融学基本概念、基本原理、基本知识、基本方法的理解；判断题10分，主要考核金融学的基础理论知识；计算题24分，主要考核学生的</w:t>
            </w:r>
            <w:r>
              <w:rPr>
                <w:rFonts w:hint="eastAsia" w:eastAsia="仿宋"/>
                <w:bCs/>
                <w:spacing w:val="-3"/>
                <w:sz w:val="24"/>
                <w:lang w:val="en-GB" w:eastAsia="zh-CN"/>
              </w:rPr>
              <w:t>金融理论素质和解决实际问题的能力</w:t>
            </w:r>
            <w:r>
              <w:rPr>
                <w:rFonts w:hint="eastAsia" w:eastAsia="仿宋"/>
                <w:bCs/>
                <w:spacing w:val="-3"/>
                <w:sz w:val="24"/>
                <w:lang w:val="en-US" w:eastAsia="zh-CN"/>
              </w:rPr>
              <w:t>；简答题24分，主要考核学生</w:t>
            </w:r>
            <w:r>
              <w:rPr>
                <w:rFonts w:hint="eastAsia" w:eastAsia="仿宋"/>
                <w:bCs/>
                <w:spacing w:val="-3"/>
                <w:sz w:val="24"/>
                <w:lang w:val="en-GB" w:eastAsia="zh-CN"/>
              </w:rPr>
              <w:t>运用有关理论知识分析中国经济和金融改革与发展过程中的现实问题</w:t>
            </w:r>
            <w:r>
              <w:rPr>
                <w:rFonts w:hint="eastAsia" w:eastAsia="仿宋"/>
                <w:bCs/>
                <w:spacing w:val="-3"/>
                <w:sz w:val="24"/>
                <w:lang w:val="en-US" w:eastAsia="zh-CN"/>
              </w:rPr>
              <w:t>的能力</w:t>
            </w:r>
            <w:r>
              <w:rPr>
                <w:rFonts w:hint="eastAsia" w:eastAsia="仿宋"/>
                <w:bCs/>
                <w:spacing w:val="-3"/>
                <w:sz w:val="24"/>
                <w:lang w:val="en-GB" w:eastAsia="zh-CN"/>
              </w:rPr>
              <w:t>；</w:t>
            </w:r>
            <w:r>
              <w:rPr>
                <w:rFonts w:hint="eastAsia" w:eastAsia="仿宋"/>
                <w:bCs/>
                <w:spacing w:val="-3"/>
                <w:sz w:val="24"/>
                <w:lang w:val="en-US" w:eastAsia="zh-CN"/>
              </w:rPr>
              <w:t>论述分析题12分，主要考核学生用中国特色社会主义金融思想和头脑分析全球范围内金融新情况、新问题的能力，以及学生在社会科学方面的素养。</w:t>
            </w:r>
          </w:p>
        </w:tc>
        <w:tc>
          <w:tcPr>
            <w:tcW w:w="1932" w:type="dxa"/>
            <w:vAlign w:val="center"/>
          </w:tcPr>
          <w:p>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课程目标1、2、3、4</w:t>
            </w:r>
          </w:p>
        </w:tc>
      </w:tr>
    </w:tbl>
    <w:p>
      <w:pPr>
        <w:snapToGrid w:val="0"/>
        <w:spacing w:line="360" w:lineRule="auto"/>
        <w:ind w:firstLine="482" w:firstLineChars="200"/>
        <w:rPr>
          <w:rFonts w:hint="eastAsia" w:ascii="仿宋" w:hAnsi="仿宋" w:eastAsia="仿宋"/>
          <w:b/>
          <w:color w:val="000000"/>
          <w:sz w:val="24"/>
        </w:rPr>
      </w:pP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8632"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86"/>
        <w:gridCol w:w="814"/>
        <w:gridCol w:w="1406"/>
        <w:gridCol w:w="1517"/>
        <w:gridCol w:w="1354"/>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5"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81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5683" w:type="dxa"/>
            <w:gridSpan w:val="4"/>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5"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814" w:type="dxa"/>
            <w:vMerge w:val="continue"/>
          </w:tcPr>
          <w:p>
            <w:pPr>
              <w:snapToGrid w:val="0"/>
              <w:spacing w:line="360" w:lineRule="auto"/>
              <w:jc w:val="center"/>
              <w:rPr>
                <w:rFonts w:hint="eastAsia" w:ascii="仿宋" w:hAnsi="仿宋" w:eastAsia="仿宋"/>
                <w:b/>
                <w:color w:val="000000"/>
                <w:sz w:val="24"/>
              </w:rPr>
            </w:pPr>
          </w:p>
        </w:tc>
        <w:tc>
          <w:tcPr>
            <w:tcW w:w="1406"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517"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354"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406" w:type="dxa"/>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386"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作业</w:t>
            </w:r>
            <w:r>
              <w:rPr>
                <w:rFonts w:hint="eastAsia" w:ascii="仿宋" w:hAnsi="仿宋" w:eastAsia="仿宋"/>
                <w:b/>
                <w:color w:val="000000"/>
                <w:sz w:val="24"/>
                <w:lang w:val="en-US" w:eastAsia="zh-CN"/>
              </w:rPr>
              <w:t>1</w:t>
            </w:r>
          </w:p>
        </w:tc>
        <w:tc>
          <w:tcPr>
            <w:tcW w:w="814" w:type="dxa"/>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517" w:type="dxa"/>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354" w:type="dxa"/>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406" w:type="dxa"/>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作业2</w:t>
            </w:r>
          </w:p>
        </w:tc>
        <w:tc>
          <w:tcPr>
            <w:tcW w:w="814" w:type="dxa"/>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517" w:type="dxa"/>
            <w:vAlign w:val="top"/>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354" w:type="dxa"/>
            <w:vAlign w:val="top"/>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406" w:type="dxa"/>
            <w:vAlign w:val="top"/>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49"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作业3</w:t>
            </w:r>
          </w:p>
        </w:tc>
        <w:tc>
          <w:tcPr>
            <w:tcW w:w="814" w:type="dxa"/>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517" w:type="dxa"/>
            <w:vAlign w:val="top"/>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354" w:type="dxa"/>
            <w:vAlign w:val="top"/>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10</w:t>
            </w:r>
          </w:p>
        </w:tc>
        <w:tc>
          <w:tcPr>
            <w:tcW w:w="1406" w:type="dxa"/>
            <w:vAlign w:val="top"/>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749"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小组展示</w:t>
            </w:r>
          </w:p>
        </w:tc>
        <w:tc>
          <w:tcPr>
            <w:tcW w:w="814" w:type="dxa"/>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1517" w:type="dxa"/>
            <w:vAlign w:val="top"/>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1354" w:type="dxa"/>
            <w:vAlign w:val="top"/>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1406" w:type="dxa"/>
            <w:vAlign w:val="top"/>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749"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w:t>
            </w:r>
          </w:p>
        </w:tc>
        <w:tc>
          <w:tcPr>
            <w:tcW w:w="814" w:type="dxa"/>
            <w:vAlign w:val="center"/>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517" w:type="dxa"/>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354" w:type="dxa"/>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406" w:type="dxa"/>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386"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814" w:type="dxa"/>
            <w:vAlign w:val="center"/>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100</w:t>
            </w:r>
          </w:p>
        </w:tc>
        <w:tc>
          <w:tcPr>
            <w:tcW w:w="1406" w:type="dxa"/>
            <w:shd w:val="clear" w:color="auto" w:fill="auto"/>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6</w:t>
            </w:r>
          </w:p>
        </w:tc>
        <w:tc>
          <w:tcPr>
            <w:tcW w:w="1517" w:type="dxa"/>
            <w:vAlign w:val="center"/>
          </w:tcPr>
          <w:p>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6</w:t>
            </w:r>
          </w:p>
        </w:tc>
        <w:tc>
          <w:tcPr>
            <w:tcW w:w="1354" w:type="dxa"/>
            <w:vAlign w:val="center"/>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40</w:t>
            </w:r>
          </w:p>
        </w:tc>
        <w:tc>
          <w:tcPr>
            <w:tcW w:w="1406" w:type="dxa"/>
            <w:vAlign w:val="center"/>
          </w:tcPr>
          <w:p>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2949" w:type="dxa"/>
            <w:gridSpan w:val="3"/>
            <w:shd w:val="clear" w:color="auto" w:fill="auto"/>
            <w:vAlign w:val="center"/>
          </w:tcPr>
          <w:p>
            <w:pPr>
              <w:snapToGrid w:val="0"/>
              <w:spacing w:line="360" w:lineRule="auto"/>
              <w:rPr>
                <w:rFonts w:hint="eastAsia" w:ascii="仿宋" w:hAnsi="仿宋" w:eastAsia="仿宋"/>
                <w:sz w:val="24"/>
              </w:rPr>
            </w:pPr>
            <w:r>
              <w:rPr>
                <w:rFonts w:hint="eastAsia" w:ascii="仿宋" w:hAnsi="仿宋" w:eastAsia="仿宋"/>
                <w:b/>
                <w:color w:val="000000"/>
                <w:sz w:val="24"/>
              </w:rPr>
              <w:t>课程目标分值合计</w:t>
            </w:r>
            <w:r>
              <w:rPr>
                <w:rFonts w:hint="eastAsia" w:ascii="仿宋" w:hAnsi="仿宋" w:eastAsia="仿宋"/>
                <w:b/>
                <w:color w:val="000000"/>
                <w:sz w:val="24"/>
                <w:lang w:eastAsia="zh-CN"/>
              </w:rPr>
              <w:t>（</w:t>
            </w:r>
            <w:r>
              <w:rPr>
                <w:rFonts w:hint="eastAsia" w:eastAsia="仿宋"/>
                <w:sz w:val="24"/>
              </w:rPr>
              <w:t>过程成绩</w:t>
            </w:r>
            <w:r>
              <w:rPr>
                <w:rFonts w:hint="eastAsia" w:eastAsia="仿宋"/>
                <w:sz w:val="24"/>
                <w:lang w:val="en-US" w:eastAsia="zh-CN"/>
              </w:rPr>
              <w:t>100</w:t>
            </w:r>
            <w:r>
              <w:rPr>
                <w:rFonts w:hint="default" w:ascii="Arial" w:hAnsi="Arial" w:eastAsia="仿宋" w:cs="Arial"/>
                <w:sz w:val="24"/>
                <w:lang w:val="en-US" w:eastAsia="zh-CN"/>
              </w:rPr>
              <w:t>×</w:t>
            </w:r>
            <w:r>
              <w:rPr>
                <w:rFonts w:hint="eastAsia" w:eastAsia="仿宋"/>
                <w:sz w:val="24"/>
                <w:lang w:val="en-US" w:eastAsia="zh-CN"/>
              </w:rPr>
              <w:t>50</w:t>
            </w:r>
            <w:r>
              <w:rPr>
                <w:rFonts w:eastAsia="仿宋"/>
                <w:sz w:val="24"/>
              </w:rPr>
              <w:t>%</w:t>
            </w:r>
            <w:r>
              <w:rPr>
                <w:rFonts w:hint="eastAsia" w:eastAsia="仿宋"/>
                <w:sz w:val="24"/>
                <w:lang w:val="en-US" w:eastAsia="zh-CN"/>
              </w:rPr>
              <w:t>+</w:t>
            </w:r>
            <w:r>
              <w:rPr>
                <w:rFonts w:hint="eastAsia" w:eastAsia="仿宋"/>
                <w:sz w:val="24"/>
              </w:rPr>
              <w:t>结课考核成绩</w:t>
            </w:r>
            <w:r>
              <w:rPr>
                <w:rFonts w:hint="eastAsia" w:eastAsia="仿宋"/>
                <w:sz w:val="24"/>
                <w:lang w:val="en-US" w:eastAsia="zh-CN"/>
              </w:rPr>
              <w:t>100</w:t>
            </w:r>
            <w:r>
              <w:rPr>
                <w:rFonts w:hint="default" w:ascii="Arial" w:hAnsi="Arial" w:eastAsia="仿宋" w:cs="Arial"/>
                <w:sz w:val="24"/>
                <w:lang w:val="en-US" w:eastAsia="zh-CN"/>
              </w:rPr>
              <w:t>×</w:t>
            </w:r>
            <w:r>
              <w:rPr>
                <w:rFonts w:hint="eastAsia" w:eastAsia="仿宋"/>
                <w:sz w:val="24"/>
                <w:lang w:val="en-US" w:eastAsia="zh-CN"/>
              </w:rPr>
              <w:t>50</w:t>
            </w:r>
            <w:r>
              <w:rPr>
                <w:rFonts w:eastAsia="仿宋"/>
                <w:sz w:val="24"/>
              </w:rPr>
              <w:t>%</w:t>
            </w:r>
            <w:r>
              <w:rPr>
                <w:rFonts w:hint="eastAsia" w:eastAsia="仿宋"/>
                <w:sz w:val="24"/>
                <w:lang w:val="en-US" w:eastAsia="zh-CN"/>
              </w:rPr>
              <w:t>=100</w:t>
            </w:r>
            <w:r>
              <w:rPr>
                <w:rFonts w:hint="eastAsia" w:eastAsia="仿宋"/>
                <w:sz w:val="24"/>
                <w:lang w:eastAsia="zh-CN"/>
              </w:rPr>
              <w:t>）</w:t>
            </w:r>
          </w:p>
        </w:tc>
        <w:tc>
          <w:tcPr>
            <w:tcW w:w="1406" w:type="dxa"/>
            <w:shd w:val="clear" w:color="auto" w:fill="auto"/>
            <w:vAlign w:val="center"/>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10.5</w:t>
            </w:r>
          </w:p>
        </w:tc>
        <w:tc>
          <w:tcPr>
            <w:tcW w:w="1517" w:type="dxa"/>
            <w:vAlign w:val="center"/>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10.5</w:t>
            </w:r>
          </w:p>
        </w:tc>
        <w:tc>
          <w:tcPr>
            <w:tcW w:w="1354" w:type="dxa"/>
            <w:vAlign w:val="center"/>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37.5</w:t>
            </w:r>
          </w:p>
        </w:tc>
        <w:tc>
          <w:tcPr>
            <w:tcW w:w="1406" w:type="dxa"/>
            <w:vAlign w:val="center"/>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41.5</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该课程为理论</w:t>
      </w:r>
      <w:r>
        <w:rPr>
          <w:rFonts w:hint="eastAsia" w:ascii="仿宋" w:hAnsi="仿宋" w:eastAsia="仿宋"/>
          <w:color w:val="000000" w:themeColor="text1"/>
          <w:sz w:val="24"/>
          <w14:textFill>
            <w14:solidFill>
              <w14:schemeClr w14:val="tx1"/>
            </w14:solidFill>
          </w14:textFill>
        </w:rPr>
        <w:t>课程无需填写。）</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snapToGrid w:val="0"/>
        <w:spacing w:line="300" w:lineRule="auto"/>
        <w:ind w:firstLine="482" w:firstLineChars="200"/>
        <w:rPr>
          <w:rFonts w:hint="eastAsia" w:ascii="仿宋" w:hAnsi="仿宋" w:eastAsia="仿宋"/>
          <w:b/>
          <w:bCs/>
          <w:color w:val="000000" w:themeColor="text1"/>
          <w:sz w:val="24"/>
          <w:lang w:val="en-US"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1.</w:t>
      </w:r>
      <w:r>
        <w:rPr>
          <w:rFonts w:hint="eastAsia" w:ascii="仿宋" w:hAnsi="仿宋" w:eastAsia="仿宋"/>
          <w:b/>
          <w:bCs/>
          <w:color w:val="000000" w:themeColor="text1"/>
          <w:sz w:val="24"/>
          <w14:textFill>
            <w14:solidFill>
              <w14:schemeClr w14:val="tx1"/>
            </w14:solidFill>
          </w14:textFill>
        </w:rPr>
        <w:t>理解课程框架与目标</w:t>
      </w:r>
      <w:r>
        <w:rPr>
          <w:rFonts w:hint="eastAsia" w:ascii="仿宋" w:hAnsi="仿宋" w:eastAsia="仿宋"/>
          <w:b/>
          <w:bCs/>
          <w:color w:val="000000" w:themeColor="text1"/>
          <w:sz w:val="24"/>
          <w:lang w:eastAsia="zh-CN"/>
          <w14:textFill>
            <w14:solidFill>
              <w14:schemeClr w14:val="tx1"/>
            </w14:solidFill>
          </w14:textFill>
        </w:rPr>
        <w:t>。</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明确课程目标：在开始学习之前，了解课程的主要教学内容、教学目标和预期的学习成果。这将有助于你更好地规划自己的学习路径。</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理解课程结构：金融学课程通常包含多个模块，如金融市场、金融机构、</w:t>
      </w:r>
      <w:r>
        <w:rPr>
          <w:rFonts w:hint="eastAsia" w:ascii="仿宋" w:hAnsi="仿宋" w:eastAsia="仿宋"/>
          <w:color w:val="000000" w:themeColor="text1"/>
          <w:sz w:val="24"/>
          <w:lang w:val="en-US" w:eastAsia="zh-CN"/>
          <w14:textFill>
            <w14:solidFill>
              <w14:schemeClr w14:val="tx1"/>
            </w14:solidFill>
          </w14:textFill>
        </w:rPr>
        <w:t>货币政策</w:t>
      </w:r>
      <w:r>
        <w:rPr>
          <w:rFonts w:hint="eastAsia"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货币供求</w:t>
      </w:r>
      <w:r>
        <w:rPr>
          <w:rFonts w:hint="eastAsia" w:ascii="仿宋" w:hAnsi="仿宋" w:eastAsia="仿宋"/>
          <w:color w:val="000000" w:themeColor="text1"/>
          <w:sz w:val="24"/>
          <w14:textFill>
            <w14:solidFill>
              <w14:schemeClr w14:val="tx1"/>
            </w14:solidFill>
          </w14:textFill>
        </w:rPr>
        <w:t>等。理解每个模块之间的关系和逻辑顺序，有助于你构建完整的知识体系。</w:t>
      </w:r>
    </w:p>
    <w:p>
      <w:pPr>
        <w:snapToGrid w:val="0"/>
        <w:spacing w:line="300" w:lineRule="auto"/>
        <w:ind w:firstLine="482" w:firstLineChars="200"/>
        <w:rPr>
          <w:rFonts w:hint="eastAsia"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2.</w:t>
      </w:r>
      <w:r>
        <w:rPr>
          <w:rFonts w:hint="eastAsia" w:ascii="仿宋" w:hAnsi="仿宋" w:eastAsia="仿宋"/>
          <w:b/>
          <w:bCs/>
          <w:color w:val="000000" w:themeColor="text1"/>
          <w:sz w:val="24"/>
          <w14:textFill>
            <w14:solidFill>
              <w14:schemeClr w14:val="tx1"/>
            </w14:solidFill>
          </w14:textFill>
        </w:rPr>
        <w:t>注重理论与实践结合</w:t>
      </w:r>
      <w:r>
        <w:rPr>
          <w:rFonts w:hint="eastAsia" w:ascii="仿宋" w:hAnsi="仿宋" w:eastAsia="仿宋"/>
          <w:b/>
          <w:bCs/>
          <w:color w:val="000000" w:themeColor="text1"/>
          <w:sz w:val="24"/>
          <w:lang w:eastAsia="zh-CN"/>
          <w14:textFill>
            <w14:solidFill>
              <w14:schemeClr w14:val="tx1"/>
            </w14:solidFill>
          </w14:textFill>
        </w:rPr>
        <w:t>。</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金融市场变化迅速，建议定期关注金融新闻、市场动态和政策变化。这有助于你了解金融行业的最新发展，并将所学知识与实际相结合。</w:t>
      </w:r>
    </w:p>
    <w:p>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3.</w:t>
      </w:r>
      <w:r>
        <w:rPr>
          <w:rFonts w:hint="eastAsia" w:ascii="仿宋" w:hAnsi="仿宋" w:eastAsia="仿宋"/>
          <w:b/>
          <w:bCs/>
          <w:color w:val="000000" w:themeColor="text1"/>
          <w:sz w:val="24"/>
          <w14:textFill>
            <w14:solidFill>
              <w14:schemeClr w14:val="tx1"/>
            </w14:solidFill>
          </w14:textFill>
        </w:rPr>
        <w:t>积极参与课堂与讨论</w:t>
      </w:r>
      <w:r>
        <w:rPr>
          <w:rFonts w:hint="eastAsia" w:ascii="仿宋" w:hAnsi="仿宋" w:eastAsia="仿宋"/>
          <w:b/>
          <w:bCs/>
          <w:color w:val="000000" w:themeColor="text1"/>
          <w:sz w:val="24"/>
          <w:lang w:eastAsia="zh-CN"/>
          <w14:textFill>
            <w14:solidFill>
              <w14:schemeClr w14:val="tx1"/>
            </w14:solidFill>
          </w14:textFill>
        </w:rPr>
        <w:t>。</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课堂参与：积极参与课堂讨论，与老师和同学分享你的想法和见解。这不仅可以加深你对知识的理解，还可以提高你的表达能力和沟通能力。</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小组讨论：金融学课程中的很多内容适合小组讨论。与小组成员共同学习、探讨，可以拓宽你的思维，并从不同的角度理解问题。</w:t>
      </w:r>
    </w:p>
    <w:p>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4.</w:t>
      </w:r>
      <w:r>
        <w:rPr>
          <w:rFonts w:hint="eastAsia" w:ascii="仿宋" w:hAnsi="仿宋" w:eastAsia="仿宋"/>
          <w:b/>
          <w:bCs/>
          <w:color w:val="000000" w:themeColor="text1"/>
          <w:sz w:val="24"/>
          <w14:textFill>
            <w14:solidFill>
              <w14:schemeClr w14:val="tx1"/>
            </w14:solidFill>
          </w14:textFill>
        </w:rPr>
        <w:t>提升自主学习与探索能力</w:t>
      </w:r>
      <w:r>
        <w:rPr>
          <w:rFonts w:hint="eastAsia" w:ascii="仿宋" w:hAnsi="仿宋" w:eastAsia="仿宋"/>
          <w:b/>
          <w:bCs/>
          <w:color w:val="000000" w:themeColor="text1"/>
          <w:sz w:val="24"/>
          <w:lang w:eastAsia="zh-CN"/>
          <w14:textFill>
            <w14:solidFill>
              <w14:schemeClr w14:val="tx1"/>
            </w14:solidFill>
          </w14:textFill>
        </w:rPr>
        <w:t>。</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自主阅读：除了课堂讲解和教材外，建议自主阅读相关书籍、文章和报告。这有助于你更全面地了解金融学领域的知识和动态。</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在线学习：利用互联网资源进行学习，如观看在线课程、参加线上讲座等。这些资源可以为你提供多样化的学习方式和视角。</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探索实践：尝试将所学知识应用于实际问题中，如进行股票分析、制定投资策略等。通过实践，你可以更深入地理解金融学的应用价值。</w:t>
      </w:r>
    </w:p>
    <w:p>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5.</w:t>
      </w:r>
      <w:r>
        <w:rPr>
          <w:rFonts w:hint="eastAsia" w:ascii="仿宋" w:hAnsi="仿宋" w:eastAsia="仿宋"/>
          <w:b/>
          <w:bCs/>
          <w:color w:val="000000" w:themeColor="text1"/>
          <w:sz w:val="24"/>
          <w14:textFill>
            <w14:solidFill>
              <w14:schemeClr w14:val="tx1"/>
            </w14:solidFill>
          </w14:textFill>
        </w:rPr>
        <w:t>建立持续学习与反思的习惯</w:t>
      </w:r>
      <w:r>
        <w:rPr>
          <w:rFonts w:hint="eastAsia" w:ascii="仿宋" w:hAnsi="仿宋" w:eastAsia="仿宋"/>
          <w:b/>
          <w:bCs/>
          <w:color w:val="000000" w:themeColor="text1"/>
          <w:sz w:val="24"/>
          <w:lang w:eastAsia="zh-CN"/>
          <w14:textFill>
            <w14:solidFill>
              <w14:schemeClr w14:val="tx1"/>
            </w14:solidFill>
          </w14:textFill>
        </w:rPr>
        <w:t>。</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定期复习：金融学课程的知识点较多，建议定期复习已学内容，巩固基础知识。</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反思总结：每次学习后，进行反思和总结，思考自己的收获和不足。这有助于你不断完善自己的学习方法和提高学习效果。</w:t>
      </w:r>
    </w:p>
    <w:p>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6</w:t>
      </w:r>
      <w:r>
        <w:rPr>
          <w:rFonts w:hint="eastAsia" w:ascii="仿宋" w:hAnsi="仿宋" w:eastAsia="仿宋"/>
          <w:b/>
          <w:bCs/>
          <w:color w:val="000000" w:themeColor="text1"/>
          <w:sz w:val="24"/>
          <w14:textFill>
            <w14:solidFill>
              <w14:schemeClr w14:val="tx1"/>
            </w14:solidFill>
          </w14:textFill>
        </w:rPr>
        <w:t>关注职业道德与风险意识</w:t>
      </w:r>
      <w:r>
        <w:rPr>
          <w:rFonts w:hint="eastAsia" w:ascii="仿宋" w:hAnsi="仿宋" w:eastAsia="仿宋"/>
          <w:b/>
          <w:bCs/>
          <w:color w:val="000000" w:themeColor="text1"/>
          <w:sz w:val="24"/>
          <w:lang w:eastAsia="zh-CN"/>
          <w14:textFill>
            <w14:solidFill>
              <w14:schemeClr w14:val="tx1"/>
            </w14:solidFill>
          </w14:textFill>
        </w:rPr>
        <w:t>。</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培养职业道德：作为金融专业的学生，要时刻关注职业道德，遵守法律法规和行业规范。</w:t>
      </w:r>
    </w:p>
    <w:p>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增强风险意识：金融市场充满风险，要时刻保持警惕，增强风险意识。在学习过程中，了解金融市场的风险类型和防范措施，为你未来的职业生涯做好准备。</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8529" w:type="dxa"/>
        <w:tblInd w:w="0" w:type="dxa"/>
        <w:tblLayout w:type="fixed"/>
        <w:tblCellMar>
          <w:top w:w="0" w:type="dxa"/>
          <w:left w:w="108" w:type="dxa"/>
          <w:bottom w:w="0" w:type="dxa"/>
          <w:right w:w="108" w:type="dxa"/>
        </w:tblCellMar>
      </w:tblPr>
      <w:tblGrid>
        <w:gridCol w:w="778"/>
        <w:gridCol w:w="1287"/>
        <w:gridCol w:w="1366"/>
        <w:gridCol w:w="880"/>
        <w:gridCol w:w="980"/>
        <w:gridCol w:w="1198"/>
        <w:gridCol w:w="2040"/>
      </w:tblGrid>
      <w:tr>
        <w:tblPrEx>
          <w:tblCellMar>
            <w:top w:w="0" w:type="dxa"/>
            <w:left w:w="108" w:type="dxa"/>
            <w:bottom w:w="0" w:type="dxa"/>
            <w:right w:w="108" w:type="dxa"/>
          </w:tblCellMar>
        </w:tblPrEx>
        <w:trPr>
          <w:trHeight w:val="555"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20"/>
                <w:szCs w:val="20"/>
                <w:lang w:eastAsia="zh-CN"/>
              </w:rPr>
            </w:pPr>
            <w:r>
              <w:rPr>
                <w:rFonts w:hint="eastAsia" w:ascii="宋体" w:hAnsi="宋体" w:cs="宋体"/>
                <w:b/>
                <w:bCs/>
                <w:color w:val="000000"/>
                <w:kern w:val="0"/>
                <w:sz w:val="20"/>
                <w:szCs w:val="20"/>
                <w:lang w:bidi="ar"/>
              </w:rPr>
              <w:t>作者</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tblPrEx>
          <w:tblCellMar>
            <w:top w:w="0" w:type="dxa"/>
            <w:left w:w="108" w:type="dxa"/>
            <w:bottom w:w="0" w:type="dxa"/>
            <w:right w:w="108" w:type="dxa"/>
          </w:tblCellMar>
        </w:tblPrEx>
        <w:trPr>
          <w:trHeight w:val="495"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货币金融学</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2021年4月第3版</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2021年4月第1次印刷</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蒋先玲</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机械工业出版社科学出版社</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9787111676447</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bidi="ar"/>
              </w:rPr>
              <w:t>高等院校精品课程系列教材</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val="en-US" w:eastAsia="zh-CN" w:bidi="ar"/>
              </w:rPr>
              <w:t>国家级一流本科课程（线下课程）</w:t>
            </w:r>
          </w:p>
        </w:tc>
      </w:tr>
    </w:tbl>
    <w:p>
      <w:pPr>
        <w:spacing w:line="360" w:lineRule="auto"/>
        <w:ind w:firstLine="482" w:firstLineChars="200"/>
        <w:rPr>
          <w:rFonts w:eastAsia="仿宋"/>
          <w:b/>
          <w:color w:val="000000"/>
          <w:sz w:val="24"/>
        </w:rPr>
      </w:pPr>
    </w:p>
    <w:p>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fixed"/>
        <w:tblCellMar>
          <w:top w:w="0" w:type="dxa"/>
          <w:left w:w="108" w:type="dxa"/>
          <w:bottom w:w="0" w:type="dxa"/>
          <w:right w:w="108" w:type="dxa"/>
        </w:tblCellMar>
      </w:tblPr>
      <w:tblGrid>
        <w:gridCol w:w="417"/>
        <w:gridCol w:w="971"/>
        <w:gridCol w:w="957"/>
        <w:gridCol w:w="1057"/>
        <w:gridCol w:w="1019"/>
        <w:gridCol w:w="860"/>
        <w:gridCol w:w="1274"/>
        <w:gridCol w:w="1967"/>
      </w:tblGrid>
      <w:tr>
        <w:tblPrEx>
          <w:tblCellMar>
            <w:top w:w="0" w:type="dxa"/>
            <w:left w:w="108" w:type="dxa"/>
            <w:bottom w:w="0" w:type="dxa"/>
            <w:right w:w="108" w:type="dxa"/>
          </w:tblCellMar>
        </w:tblPrEx>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货币金融学</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20</w:t>
            </w:r>
            <w:r>
              <w:rPr>
                <w:rFonts w:hint="eastAsia" w:ascii="宋体" w:hAnsi="宋体" w:cs="宋体"/>
                <w:color w:val="000000" w:themeColor="text1"/>
                <w:kern w:val="0"/>
                <w:sz w:val="20"/>
                <w:szCs w:val="20"/>
                <w:lang w:val="en-US" w:eastAsia="zh-CN" w:bidi="ar"/>
                <w14:textFill>
                  <w14:solidFill>
                    <w14:schemeClr w14:val="tx1"/>
                  </w14:solidFill>
                </w14:textFill>
              </w:rPr>
              <w:t>21</w:t>
            </w:r>
            <w:r>
              <w:rPr>
                <w:rFonts w:hint="eastAsia" w:ascii="宋体" w:hAnsi="宋体" w:cs="宋体"/>
                <w:color w:val="000000" w:themeColor="text1"/>
                <w:kern w:val="0"/>
                <w:sz w:val="20"/>
                <w:szCs w:val="20"/>
                <w:lang w:bidi="ar"/>
                <w14:textFill>
                  <w14:solidFill>
                    <w14:schemeClr w14:val="tx1"/>
                  </w14:solidFill>
                </w14:textFill>
              </w:rPr>
              <w:t>年</w:t>
            </w:r>
            <w:r>
              <w:rPr>
                <w:rFonts w:hint="eastAsia" w:ascii="宋体" w:hAnsi="宋体" w:cs="宋体"/>
                <w:color w:val="000000" w:themeColor="text1"/>
                <w:kern w:val="0"/>
                <w:sz w:val="20"/>
                <w:szCs w:val="20"/>
                <w:lang w:val="en-US" w:eastAsia="zh-CN" w:bidi="ar"/>
                <w14:textFill>
                  <w14:solidFill>
                    <w14:schemeClr w14:val="tx1"/>
                  </w14:solidFill>
                </w14:textFill>
              </w:rPr>
              <w:t>6</w:t>
            </w:r>
            <w:r>
              <w:rPr>
                <w:rFonts w:hint="eastAsia" w:ascii="宋体" w:hAnsi="宋体" w:cs="宋体"/>
                <w:color w:val="000000" w:themeColor="text1"/>
                <w:kern w:val="0"/>
                <w:sz w:val="20"/>
                <w:szCs w:val="20"/>
                <w:lang w:bidi="ar"/>
                <w14:textFill>
                  <w14:solidFill>
                    <w14:schemeClr w14:val="tx1"/>
                  </w14:solidFill>
                </w14:textFill>
              </w:rPr>
              <w:t>月第</w:t>
            </w:r>
            <w:r>
              <w:rPr>
                <w:rFonts w:hint="eastAsia" w:ascii="宋体" w:hAnsi="宋体" w:cs="宋体"/>
                <w:color w:val="000000" w:themeColor="text1"/>
                <w:kern w:val="0"/>
                <w:sz w:val="20"/>
                <w:szCs w:val="20"/>
                <w:lang w:val="en-US" w:eastAsia="zh-CN" w:bidi="ar"/>
                <w14:textFill>
                  <w14:solidFill>
                    <w14:schemeClr w14:val="tx1"/>
                  </w14:solidFill>
                </w14:textFill>
              </w:rPr>
              <w:t>12</w:t>
            </w:r>
            <w:r>
              <w:rPr>
                <w:rFonts w:hint="eastAsia" w:ascii="宋体" w:hAnsi="宋体" w:cs="宋体"/>
                <w:color w:val="000000" w:themeColor="text1"/>
                <w:kern w:val="0"/>
                <w:sz w:val="20"/>
                <w:szCs w:val="20"/>
                <w:lang w:bidi="ar"/>
                <w14:textFill>
                  <w14:solidFill>
                    <w14:schemeClr w14:val="tx1"/>
                  </w14:solidFill>
                </w14:textFill>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20</w:t>
            </w:r>
            <w:r>
              <w:rPr>
                <w:rFonts w:hint="eastAsia" w:ascii="宋体" w:hAnsi="宋体" w:cs="宋体"/>
                <w:color w:val="000000" w:themeColor="text1"/>
                <w:kern w:val="0"/>
                <w:sz w:val="20"/>
                <w:szCs w:val="20"/>
                <w:lang w:val="en-US" w:eastAsia="zh-CN" w:bidi="ar"/>
                <w14:textFill>
                  <w14:solidFill>
                    <w14:schemeClr w14:val="tx1"/>
                  </w14:solidFill>
                </w14:textFill>
              </w:rPr>
              <w:t>21</w:t>
            </w:r>
            <w:r>
              <w:rPr>
                <w:rFonts w:hint="eastAsia" w:ascii="宋体" w:hAnsi="宋体" w:cs="宋体"/>
                <w:color w:val="000000" w:themeColor="text1"/>
                <w:kern w:val="0"/>
                <w:sz w:val="20"/>
                <w:szCs w:val="20"/>
                <w:lang w:bidi="ar"/>
                <w14:textFill>
                  <w14:solidFill>
                    <w14:schemeClr w14:val="tx1"/>
                  </w14:solidFill>
                </w14:textFill>
              </w:rPr>
              <w:t>年</w:t>
            </w:r>
            <w:r>
              <w:rPr>
                <w:rFonts w:hint="eastAsia" w:ascii="宋体" w:hAnsi="宋体" w:cs="宋体"/>
                <w:color w:val="000000" w:themeColor="text1"/>
                <w:kern w:val="0"/>
                <w:sz w:val="20"/>
                <w:szCs w:val="20"/>
                <w:lang w:val="en-US" w:eastAsia="zh-CN" w:bidi="ar"/>
                <w14:textFill>
                  <w14:solidFill>
                    <w14:schemeClr w14:val="tx1"/>
                  </w14:solidFill>
                </w14:textFill>
              </w:rPr>
              <w:t>6</w:t>
            </w:r>
            <w:r>
              <w:rPr>
                <w:rFonts w:hint="eastAsia" w:ascii="宋体" w:hAnsi="宋体" w:cs="宋体"/>
                <w:color w:val="000000" w:themeColor="text1"/>
                <w:kern w:val="0"/>
                <w:sz w:val="20"/>
                <w:szCs w:val="20"/>
                <w:lang w:bidi="ar"/>
                <w14:textFill>
                  <w14:solidFill>
                    <w14:schemeClr w14:val="tx1"/>
                  </w14:solidFill>
                </w14:textFill>
              </w:rPr>
              <w:t>月第1次印刷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弗雷德里克·S.米什金</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val="en-US" w:eastAsia="zh-CN" w:bidi="ar"/>
                <w14:textFill>
                  <w14:solidFill>
                    <w14:schemeClr w14:val="tx1"/>
                  </w14:solidFill>
                </w14:textFill>
              </w:rPr>
              <w:t>中国人民大学</w:t>
            </w:r>
            <w:r>
              <w:rPr>
                <w:rFonts w:hint="eastAsia" w:ascii="宋体" w:hAnsi="宋体" w:cs="宋体"/>
                <w:color w:val="000000" w:themeColor="text1"/>
                <w:kern w:val="0"/>
                <w:sz w:val="20"/>
                <w:szCs w:val="20"/>
                <w:lang w:bidi="ar"/>
                <w14:textFill>
                  <w14:solidFill>
                    <w14:schemeClr w14:val="tx1"/>
                  </w14:solidFill>
                </w14:textFill>
              </w:rPr>
              <w:t>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themeColor="text1"/>
                <w:kern w:val="0"/>
                <w:sz w:val="20"/>
                <w:szCs w:val="20"/>
                <w:lang w:bidi="ar"/>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9787300291345</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FF0000"/>
                <w:sz w:val="20"/>
                <w:szCs w:val="20"/>
                <w:lang w:val="en-US" w:eastAsia="zh-CN"/>
              </w:rPr>
            </w:pPr>
            <w:r>
              <w:rPr>
                <w:rFonts w:hint="eastAsia" w:ascii="宋体" w:hAnsi="宋体" w:cs="宋体"/>
                <w:color w:val="000000" w:themeColor="text1"/>
                <w:kern w:val="0"/>
                <w:sz w:val="20"/>
                <w:szCs w:val="20"/>
                <w:lang w:eastAsia="zh-CN" w:bidi="ar"/>
                <w14:textFill>
                  <w14:solidFill>
                    <w14:schemeClr w14:val="tx1"/>
                  </w14:solidFill>
                </w14:textFill>
              </w:rPr>
              <w:t>《</w:t>
            </w:r>
            <w:r>
              <w:rPr>
                <w:rFonts w:hint="eastAsia" w:ascii="宋体" w:hAnsi="宋体" w:cs="宋体"/>
                <w:color w:val="000000" w:themeColor="text1"/>
                <w:kern w:val="0"/>
                <w:sz w:val="20"/>
                <w:szCs w:val="20"/>
                <w:lang w:val="en-US" w:eastAsia="zh-CN" w:bidi="ar"/>
                <w14:textFill>
                  <w14:solidFill>
                    <w14:schemeClr w14:val="tx1"/>
                  </w14:solidFill>
                </w14:textFill>
              </w:rPr>
              <w:t>十三五</w:t>
            </w:r>
            <w:r>
              <w:rPr>
                <w:rFonts w:hint="eastAsia" w:ascii="宋体" w:hAnsi="宋体" w:cs="宋体"/>
                <w:color w:val="000000" w:themeColor="text1"/>
                <w:kern w:val="0"/>
                <w:sz w:val="20"/>
                <w:szCs w:val="20"/>
                <w:lang w:eastAsia="zh-CN" w:bidi="ar"/>
                <w14:textFill>
                  <w14:solidFill>
                    <w14:schemeClr w14:val="tx1"/>
                  </w14:solidFill>
                </w14:textFill>
              </w:rPr>
              <w:t>》</w:t>
            </w:r>
            <w:r>
              <w:rPr>
                <w:rFonts w:hint="eastAsia" w:ascii="宋体" w:hAnsi="宋体" w:cs="宋体"/>
                <w:color w:val="000000" w:themeColor="text1"/>
                <w:kern w:val="0"/>
                <w:sz w:val="20"/>
                <w:szCs w:val="20"/>
                <w:lang w:val="en-US" w:eastAsia="zh-CN" w:bidi="ar"/>
                <w14:textFill>
                  <w14:solidFill>
                    <w14:schemeClr w14:val="tx1"/>
                  </w14:solidFill>
                </w14:textFill>
              </w:rPr>
              <w:t>国家重点出版物出版规划项目经济科学译丛</w:t>
            </w:r>
          </w:p>
        </w:tc>
      </w:tr>
      <w:tr>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金融学</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24</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6</w:t>
            </w:r>
            <w:r>
              <w:rPr>
                <w:rFonts w:hint="eastAsia" w:ascii="宋体" w:hAnsi="宋体" w:cs="宋体"/>
                <w:color w:val="000000"/>
                <w:kern w:val="0"/>
                <w:sz w:val="20"/>
                <w:szCs w:val="20"/>
                <w:lang w:bidi="ar"/>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24</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val="en-US" w:eastAsia="zh-CN" w:bidi="ar"/>
              </w:rPr>
              <w:t>黄达</w:t>
            </w:r>
            <w:r>
              <w:rPr>
                <w:rFonts w:hint="eastAsia" w:ascii="宋体" w:hAnsi="宋体" w:cs="宋体"/>
                <w:color w:val="000000"/>
                <w:kern w:val="0"/>
                <w:sz w:val="20"/>
                <w:szCs w:val="20"/>
                <w:lang w:bidi="ar"/>
              </w:rPr>
              <w:t>、</w:t>
            </w:r>
            <w:r>
              <w:rPr>
                <w:rFonts w:hint="eastAsia" w:ascii="宋体" w:hAnsi="宋体" w:cs="宋体"/>
                <w:color w:val="000000"/>
                <w:kern w:val="0"/>
                <w:sz w:val="20"/>
                <w:szCs w:val="20"/>
                <w:lang w:val="en-US" w:eastAsia="zh-CN" w:bidi="ar"/>
              </w:rPr>
              <w:t>张杰</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中国人民大学</w:t>
            </w:r>
            <w:r>
              <w:rPr>
                <w:rFonts w:hint="eastAsia" w:ascii="宋体" w:hAnsi="宋体" w:cs="宋体"/>
                <w:color w:val="000000"/>
                <w:kern w:val="0"/>
                <w:sz w:val="20"/>
                <w:szCs w:val="20"/>
                <w:lang w:bidi="ar"/>
              </w:rPr>
              <w:t>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9787300324302</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高等学校经济管理类核心课程教材；教育部普通高等教育精品教材 国家级精品课程；北京市高等教育经典教材</w:t>
            </w:r>
          </w:p>
        </w:tc>
      </w:tr>
      <w:tr>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现代货币银行学</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9</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2021年9月第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val="en-US" w:eastAsia="zh-CN" w:bidi="ar"/>
              </w:rPr>
              <w:t>郭红玉、徐佳、姜婷凤</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对外经济贸易</w:t>
            </w:r>
            <w:r>
              <w:rPr>
                <w:rFonts w:hint="eastAsia" w:ascii="宋体" w:hAnsi="宋体" w:cs="宋体"/>
                <w:color w:val="000000"/>
                <w:kern w:val="0"/>
                <w:sz w:val="20"/>
                <w:szCs w:val="20"/>
                <w:lang w:bidi="ar"/>
              </w:rPr>
              <w:t>大学出版社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9787566323002</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高等院校金融学专业主干课程系列教材</w:t>
            </w:r>
          </w:p>
        </w:tc>
      </w:tr>
    </w:tbl>
    <w:p>
      <w:pPr>
        <w:spacing w:line="360" w:lineRule="auto"/>
        <w:ind w:firstLine="480" w:firstLineChars="200"/>
        <w:jc w:val="left"/>
        <w:rPr>
          <w:rFonts w:eastAsia="仿宋"/>
          <w:color w:val="000000"/>
          <w:sz w:val="24"/>
        </w:rPr>
      </w:pPr>
    </w:p>
    <w:p>
      <w:pPr>
        <w:spacing w:line="360" w:lineRule="auto"/>
        <w:ind w:firstLine="482" w:firstLineChars="200"/>
        <w:rPr>
          <w:rFonts w:eastAsia="仿宋"/>
          <w:color w:val="808080"/>
          <w:sz w:val="24"/>
        </w:rPr>
      </w:pPr>
      <w:r>
        <w:rPr>
          <w:rFonts w:eastAsia="仿宋"/>
          <w:b/>
          <w:sz w:val="24"/>
        </w:rPr>
        <w:t>3．其他学习资源</w:t>
      </w:r>
    </w:p>
    <w:p>
      <w:pPr>
        <w:spacing w:line="360" w:lineRule="auto"/>
        <w:ind w:firstLine="480" w:firstLineChars="200"/>
        <w:jc w:val="left"/>
        <w:rPr>
          <w:rFonts w:hint="eastAsia" w:eastAsia="仿宋"/>
          <w:color w:val="000000"/>
          <w:sz w:val="24"/>
        </w:rPr>
      </w:pPr>
      <w:r>
        <w:rPr>
          <w:rFonts w:hint="eastAsia" w:eastAsia="仿宋"/>
          <w:color w:val="000000"/>
          <w:sz w:val="24"/>
        </w:rPr>
        <w:t>【贸大公开课】《货币金融学》</w:t>
      </w:r>
      <w:r>
        <w:rPr>
          <w:rFonts w:eastAsia="仿宋"/>
          <w:color w:val="000000"/>
          <w:sz w:val="24"/>
        </w:rPr>
        <w:t>，</w:t>
      </w:r>
      <w:r>
        <w:rPr>
          <w:rFonts w:hint="eastAsia" w:eastAsia="仿宋"/>
          <w:color w:val="000000"/>
          <w:sz w:val="24"/>
        </w:rPr>
        <w:t>蒋先玲老师</w:t>
      </w:r>
      <w:r>
        <w:rPr>
          <w:rFonts w:eastAsia="仿宋"/>
          <w:color w:val="000000"/>
          <w:sz w:val="24"/>
        </w:rPr>
        <w:t>，</w:t>
      </w:r>
      <w:r>
        <w:rPr>
          <w:rFonts w:hint="eastAsia" w:eastAsia="仿宋"/>
          <w:color w:val="000000"/>
          <w:sz w:val="24"/>
          <w:lang w:val="en-US" w:eastAsia="zh-CN"/>
        </w:rPr>
        <w:t>哔哩哔哩。</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2B6B3A"/>
    <w:multiLevelType w:val="singleLevel"/>
    <w:tmpl w:val="762B6B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FhMjA1MTBlODU0ZmMzZDUyOGE1NGI2MTYzNDBmNmI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001B5E"/>
    <w:rsid w:val="013F3C8B"/>
    <w:rsid w:val="04932CE9"/>
    <w:rsid w:val="07DE071F"/>
    <w:rsid w:val="1122342A"/>
    <w:rsid w:val="12F91530"/>
    <w:rsid w:val="1444190A"/>
    <w:rsid w:val="14C842E9"/>
    <w:rsid w:val="157071D5"/>
    <w:rsid w:val="163D3E2B"/>
    <w:rsid w:val="172123D6"/>
    <w:rsid w:val="172F064F"/>
    <w:rsid w:val="1D9431B5"/>
    <w:rsid w:val="1FDA1374"/>
    <w:rsid w:val="22950F60"/>
    <w:rsid w:val="238166D6"/>
    <w:rsid w:val="26B57DC2"/>
    <w:rsid w:val="274517C9"/>
    <w:rsid w:val="2B343475"/>
    <w:rsid w:val="2F105AC2"/>
    <w:rsid w:val="35A14E5C"/>
    <w:rsid w:val="37CA01F4"/>
    <w:rsid w:val="387D5266"/>
    <w:rsid w:val="3A0522AF"/>
    <w:rsid w:val="4C303F46"/>
    <w:rsid w:val="4C502EA6"/>
    <w:rsid w:val="549F7EBB"/>
    <w:rsid w:val="553625CD"/>
    <w:rsid w:val="554107DB"/>
    <w:rsid w:val="59C306E4"/>
    <w:rsid w:val="5E1510E5"/>
    <w:rsid w:val="5F9F7A4C"/>
    <w:rsid w:val="60193217"/>
    <w:rsid w:val="61BD5AE9"/>
    <w:rsid w:val="62514EEA"/>
    <w:rsid w:val="62C32E18"/>
    <w:rsid w:val="639D7CBB"/>
    <w:rsid w:val="678673E4"/>
    <w:rsid w:val="6A2C3B47"/>
    <w:rsid w:val="6BF2569F"/>
    <w:rsid w:val="6C176AA0"/>
    <w:rsid w:val="6EAF71E9"/>
    <w:rsid w:val="6EC30F1E"/>
    <w:rsid w:val="6FA348AB"/>
    <w:rsid w:val="6FDE4732"/>
    <w:rsid w:val="718C52E9"/>
    <w:rsid w:val="730B26FD"/>
    <w:rsid w:val="73BD341F"/>
    <w:rsid w:val="74277859"/>
    <w:rsid w:val="775C1F10"/>
    <w:rsid w:val="7B6018A2"/>
    <w:rsid w:val="7D2E16ED"/>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link w:val="16"/>
    <w:autoRedefine/>
    <w:unhideWhenUsed/>
    <w:qFormat/>
    <w:uiPriority w:val="99"/>
    <w:rPr>
      <w:rFonts w:ascii="宋体"/>
      <w:sz w:val="18"/>
      <w:szCs w:val="18"/>
    </w:rPr>
  </w:style>
  <w:style w:type="paragraph" w:styleId="3">
    <w:name w:val="annotation text"/>
    <w:basedOn w:val="1"/>
    <w:link w:val="13"/>
    <w:autoRedefine/>
    <w:unhideWhenUsed/>
    <w:qFormat/>
    <w:uiPriority w:val="99"/>
    <w:pPr>
      <w:jc w:val="left"/>
    </w:pPr>
    <w:rPr>
      <w:kern w:val="0"/>
      <w:sz w:val="24"/>
    </w:rPr>
  </w:style>
  <w:style w:type="paragraph" w:styleId="4">
    <w:name w:val="Balloon Text"/>
    <w:basedOn w:val="1"/>
    <w:link w:val="14"/>
    <w:autoRedefine/>
    <w:unhideWhenUsed/>
    <w:qFormat/>
    <w:uiPriority w:val="99"/>
    <w:rPr>
      <w:kern w:val="0"/>
      <w:sz w:val="18"/>
      <w:szCs w:val="18"/>
    </w:rPr>
  </w:style>
  <w:style w:type="paragraph" w:styleId="5">
    <w:name w:val="footer"/>
    <w:basedOn w:val="1"/>
    <w:link w:val="15"/>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8">
    <w:name w:val="annotation subject"/>
    <w:basedOn w:val="3"/>
    <w:next w:val="3"/>
    <w:link w:val="18"/>
    <w:autoRedefine/>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uiPriority w:val="99"/>
    <w:rPr>
      <w:rFonts w:cs="Times New Roman"/>
      <w:sz w:val="21"/>
      <w:szCs w:val="21"/>
    </w:rPr>
  </w:style>
  <w:style w:type="character" w:customStyle="1" w:styleId="13">
    <w:name w:val="批注文字 Char"/>
    <w:link w:val="3"/>
    <w:autoRedefine/>
    <w:semiHidden/>
    <w:qFormat/>
    <w:locked/>
    <w:uiPriority w:val="99"/>
    <w:rPr>
      <w:rFonts w:ascii="Times New Roman" w:hAnsi="Times New Roman" w:eastAsia="宋体" w:cs="Times New Roman"/>
      <w:sz w:val="24"/>
      <w:szCs w:val="24"/>
    </w:rPr>
  </w:style>
  <w:style w:type="character" w:customStyle="1" w:styleId="14">
    <w:name w:val="批注框文本 Char"/>
    <w:link w:val="4"/>
    <w:autoRedefine/>
    <w:semiHidden/>
    <w:qFormat/>
    <w:locked/>
    <w:uiPriority w:val="99"/>
    <w:rPr>
      <w:rFonts w:ascii="Times New Roman" w:hAnsi="Times New Roman" w:eastAsia="宋体" w:cs="Times New Roman"/>
      <w:sz w:val="18"/>
      <w:szCs w:val="18"/>
    </w:rPr>
  </w:style>
  <w:style w:type="character" w:customStyle="1" w:styleId="15">
    <w:name w:val="页脚 Char"/>
    <w:link w:val="5"/>
    <w:locked/>
    <w:uiPriority w:val="99"/>
    <w:rPr>
      <w:rFonts w:cs="Times New Roman"/>
      <w:sz w:val="18"/>
      <w:szCs w:val="18"/>
    </w:rPr>
  </w:style>
  <w:style w:type="character" w:customStyle="1" w:styleId="16">
    <w:name w:val="文档结构图 Char"/>
    <w:link w:val="2"/>
    <w:autoRedefine/>
    <w:semiHidden/>
    <w:qFormat/>
    <w:uiPriority w:val="99"/>
    <w:rPr>
      <w:rFonts w:ascii="宋体" w:hAnsi="Times New Roman"/>
      <w:kern w:val="2"/>
      <w:sz w:val="18"/>
      <w:szCs w:val="18"/>
    </w:rPr>
  </w:style>
  <w:style w:type="character" w:customStyle="1" w:styleId="17">
    <w:name w:val="页眉 Char"/>
    <w:link w:val="6"/>
    <w:locked/>
    <w:uiPriority w:val="99"/>
    <w:rPr>
      <w:rFonts w:cs="Times New Roman"/>
      <w:sz w:val="18"/>
      <w:szCs w:val="18"/>
    </w:rPr>
  </w:style>
  <w:style w:type="character" w:customStyle="1" w:styleId="18">
    <w:name w:val="批注主题 Char"/>
    <w:link w:val="8"/>
    <w:autoRedefine/>
    <w:semiHidden/>
    <w:qFormat/>
    <w:locked/>
    <w:uiPriority w:val="99"/>
    <w:rPr>
      <w:rFonts w:ascii="Times New Roman" w:hAnsi="Times New Roman" w:eastAsia="宋体" w:cs="Times New Roman"/>
      <w:b/>
      <w:bCs/>
      <w:sz w:val="24"/>
      <w:szCs w:val="24"/>
    </w:rPr>
  </w:style>
  <w:style w:type="paragraph" w:customStyle="1" w:styleId="19">
    <w:name w:val="列出段落"/>
    <w:basedOn w:val="1"/>
    <w:autoRedefine/>
    <w:qFormat/>
    <w:uiPriority w:val="34"/>
    <w:pPr>
      <w:ind w:firstLine="420" w:firstLineChars="200"/>
    </w:pPr>
    <w:rPr>
      <w:rFonts w:ascii="Calibri" w:hAnsi="Calibri"/>
      <w:szCs w:val="22"/>
    </w:rPr>
  </w:style>
  <w:style w:type="paragraph" w:customStyle="1" w:styleId="20">
    <w:name w:val=" Char Char5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qFormat/>
    <w:uiPriority w:val="34"/>
    <w:pPr>
      <w:ind w:firstLine="420" w:firstLineChars="200"/>
    </w:pPr>
  </w:style>
  <w:style w:type="paragraph" w:customStyle="1" w:styleId="22">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autoRedefine/>
    <w:qFormat/>
    <w:uiPriority w:val="0"/>
    <w:rPr>
      <w:rFonts w:hint="eastAsia" w:ascii="宋体" w:hAnsi="宋体" w:eastAsia="宋体" w:cs="宋体"/>
      <w:b/>
      <w:bCs/>
      <w:color w:val="000000"/>
      <w:sz w:val="20"/>
      <w:szCs w:val="20"/>
      <w:u w:val="none"/>
    </w:rPr>
  </w:style>
  <w:style w:type="character" w:customStyle="1" w:styleId="24">
    <w:name w:val="font41"/>
    <w:uiPriority w:val="0"/>
    <w:rPr>
      <w:rFonts w:hint="eastAsia" w:ascii="宋体" w:hAnsi="宋体" w:eastAsia="宋体" w:cs="宋体"/>
      <w:b/>
      <w:bCs/>
      <w:color w:val="FF0000"/>
      <w:sz w:val="20"/>
      <w:szCs w:val="20"/>
      <w:u w:val="none"/>
    </w:rPr>
  </w:style>
  <w:style w:type="character" w:customStyle="1" w:styleId="25">
    <w:name w:val="font11"/>
    <w:autoRedefine/>
    <w:qFormat/>
    <w:uiPriority w:val="0"/>
    <w:rPr>
      <w:rFonts w:hint="eastAsia" w:ascii="宋体" w:hAnsi="宋体" w:eastAsia="宋体" w:cs="宋体"/>
      <w:b/>
      <w:bCs/>
      <w:color w:val="000000"/>
      <w:sz w:val="20"/>
      <w:szCs w:val="20"/>
      <w:u w:val="none"/>
    </w:rPr>
  </w:style>
  <w:style w:type="character" w:customStyle="1" w:styleId="26">
    <w:name w:val="font51"/>
    <w:autoRedefine/>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5607</Words>
  <Characters>5795</Characters>
  <Lines>115</Lines>
  <Paragraphs>144</Paragraphs>
  <TotalTime>13</TotalTime>
  <ScaleCrop>false</ScaleCrop>
  <LinksUpToDate>false</LinksUpToDate>
  <CharactersWithSpaces>5833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寒寒</cp:lastModifiedBy>
  <dcterms:modified xsi:type="dcterms:W3CDTF">2024-08-28T15:14:41Z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4CE3490DDEB8457D9BF0F796D73F3EC8_13</vt:lpwstr>
  </property>
</Properties>
</file>