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6B200">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6FF78EC7">
      <w:pPr>
        <w:spacing w:line="480" w:lineRule="auto"/>
        <w:rPr>
          <w:rFonts w:hint="eastAsia" w:ascii="宋体" w:hAnsi="宋体"/>
          <w:color w:val="000000"/>
          <w:sz w:val="44"/>
          <w:szCs w:val="20"/>
        </w:rPr>
      </w:pPr>
    </w:p>
    <w:p w14:paraId="072D4DE6">
      <w:pPr>
        <w:tabs>
          <w:tab w:val="left" w:pos="880"/>
        </w:tabs>
        <w:spacing w:line="480" w:lineRule="auto"/>
        <w:rPr>
          <w:rFonts w:hint="eastAsia" w:ascii="宋体" w:hAnsi="宋体"/>
          <w:color w:val="000000"/>
          <w:sz w:val="44"/>
          <w:szCs w:val="20"/>
        </w:rPr>
      </w:pPr>
      <w:r>
        <w:rPr>
          <w:rFonts w:ascii="宋体" w:hAnsi="宋体"/>
          <w:color w:val="000000"/>
          <w:sz w:val="44"/>
          <w:szCs w:val="20"/>
        </w:rPr>
        <w:tab/>
      </w:r>
    </w:p>
    <w:p w14:paraId="70122FB7">
      <w:pPr>
        <w:spacing w:line="480" w:lineRule="auto"/>
        <w:rPr>
          <w:rFonts w:hint="eastAsia" w:ascii="宋体" w:hAnsi="宋体"/>
          <w:color w:val="000000"/>
          <w:sz w:val="44"/>
          <w:szCs w:val="20"/>
        </w:rPr>
      </w:pPr>
    </w:p>
    <w:p w14:paraId="04BD8468">
      <w:pPr>
        <w:spacing w:line="480" w:lineRule="auto"/>
        <w:jc w:val="center"/>
        <w:rPr>
          <w:rFonts w:eastAsia="黑体"/>
          <w:color w:val="000000"/>
          <w:sz w:val="44"/>
        </w:rPr>
      </w:pPr>
      <w:r>
        <w:rPr>
          <w:rFonts w:hint="eastAsia" w:eastAsia="黑体"/>
          <w:color w:val="000000"/>
          <w:sz w:val="44"/>
        </w:rPr>
        <w:t>《金融市场学》教学大纲</w:t>
      </w:r>
    </w:p>
    <w:p w14:paraId="758D463F">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（第2版）</w:t>
      </w:r>
    </w:p>
    <w:p w14:paraId="47CCCF21">
      <w:pPr>
        <w:spacing w:line="480" w:lineRule="auto"/>
        <w:rPr>
          <w:color w:val="000000"/>
          <w:sz w:val="32"/>
          <w:szCs w:val="20"/>
        </w:rPr>
      </w:pPr>
    </w:p>
    <w:p w14:paraId="173302BA">
      <w:pPr>
        <w:spacing w:line="480" w:lineRule="auto"/>
        <w:rPr>
          <w:color w:val="000000"/>
          <w:sz w:val="32"/>
          <w:szCs w:val="20"/>
        </w:rPr>
      </w:pPr>
    </w:p>
    <w:p w14:paraId="1AFC55F7">
      <w:pPr>
        <w:spacing w:line="480" w:lineRule="auto"/>
        <w:rPr>
          <w:color w:val="000000"/>
          <w:sz w:val="32"/>
          <w:szCs w:val="20"/>
        </w:rPr>
      </w:pPr>
    </w:p>
    <w:p w14:paraId="5D7AA7A4">
      <w:pPr>
        <w:spacing w:line="480" w:lineRule="auto"/>
        <w:rPr>
          <w:color w:val="000000"/>
          <w:sz w:val="32"/>
          <w:szCs w:val="20"/>
        </w:rPr>
      </w:pPr>
    </w:p>
    <w:p w14:paraId="457E2049">
      <w:pPr>
        <w:spacing w:line="480" w:lineRule="auto"/>
        <w:rPr>
          <w:color w:val="000000"/>
          <w:sz w:val="32"/>
          <w:szCs w:val="20"/>
        </w:rPr>
      </w:pPr>
    </w:p>
    <w:p w14:paraId="12A964F8">
      <w:pPr>
        <w:spacing w:line="480" w:lineRule="auto"/>
        <w:rPr>
          <w:color w:val="000000"/>
          <w:sz w:val="32"/>
          <w:szCs w:val="20"/>
        </w:rPr>
      </w:pPr>
    </w:p>
    <w:p w14:paraId="07932669">
      <w:pPr>
        <w:spacing w:line="480" w:lineRule="auto"/>
        <w:rPr>
          <w:color w:val="000000"/>
          <w:sz w:val="32"/>
          <w:szCs w:val="20"/>
        </w:rPr>
      </w:pPr>
    </w:p>
    <w:p w14:paraId="333532FB">
      <w:pPr>
        <w:spacing w:line="480" w:lineRule="auto"/>
        <w:rPr>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14:paraId="58142AE9">
        <w:trPr>
          <w:jc w:val="center"/>
        </w:trPr>
        <w:tc>
          <w:tcPr>
            <w:tcW w:w="2376" w:type="dxa"/>
            <w:shd w:val="clear" w:color="auto" w:fill="auto"/>
            <w:vAlign w:val="bottom"/>
          </w:tcPr>
          <w:p w14:paraId="1AF1A0CD">
            <w:pPr>
              <w:spacing w:line="480" w:lineRule="auto"/>
              <w:jc w:val="right"/>
              <w:rPr>
                <w:rFonts w:hint="eastAsia"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42B2953D">
            <w:pPr>
              <w:spacing w:line="480" w:lineRule="auto"/>
              <w:jc w:val="center"/>
              <w:rPr>
                <w:color w:val="000000"/>
                <w:sz w:val="28"/>
              </w:rPr>
            </w:pPr>
            <w:r>
              <w:rPr>
                <w:rFonts w:hint="eastAsia"/>
                <w:color w:val="000000"/>
                <w:sz w:val="28"/>
              </w:rPr>
              <w:t>杨小雪</w:t>
            </w:r>
          </w:p>
        </w:tc>
      </w:tr>
      <w:tr w14:paraId="602FA6D7">
        <w:tblPrEx>
          <w:tblCellMar>
            <w:top w:w="0" w:type="dxa"/>
            <w:left w:w="108" w:type="dxa"/>
            <w:bottom w:w="0" w:type="dxa"/>
            <w:right w:w="108" w:type="dxa"/>
          </w:tblCellMar>
        </w:tblPrEx>
        <w:trPr>
          <w:jc w:val="center"/>
        </w:trPr>
        <w:tc>
          <w:tcPr>
            <w:tcW w:w="2376" w:type="dxa"/>
            <w:shd w:val="clear" w:color="auto" w:fill="auto"/>
            <w:vAlign w:val="bottom"/>
          </w:tcPr>
          <w:p w14:paraId="18BF201D">
            <w:pPr>
              <w:spacing w:line="480" w:lineRule="auto"/>
              <w:jc w:val="right"/>
              <w:rPr>
                <w:rFonts w:hint="eastAsia"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773FA87C">
            <w:pPr>
              <w:spacing w:line="480" w:lineRule="auto"/>
              <w:jc w:val="center"/>
              <w:rPr>
                <w:color w:val="000000"/>
                <w:sz w:val="28"/>
              </w:rPr>
            </w:pPr>
            <w:r>
              <w:rPr>
                <w:rFonts w:hint="eastAsia"/>
                <w:color w:val="000000"/>
                <w:sz w:val="28"/>
              </w:rPr>
              <w:t>冯晓琦</w:t>
            </w:r>
          </w:p>
        </w:tc>
      </w:tr>
    </w:tbl>
    <w:p w14:paraId="1F206172">
      <w:pPr>
        <w:jc w:val="center"/>
        <w:rPr>
          <w:rFonts w:hint="eastAsia" w:ascii="仿宋" w:hAnsi="仿宋" w:eastAsia="仿宋"/>
          <w:color w:val="000000"/>
          <w:sz w:val="28"/>
          <w:u w:val="single"/>
        </w:rPr>
      </w:pPr>
    </w:p>
    <w:p w14:paraId="38471600">
      <w:pPr>
        <w:jc w:val="center"/>
        <w:rPr>
          <w:rFonts w:hint="eastAsia" w:ascii="仿宋" w:hAnsi="仿宋" w:eastAsia="仿宋"/>
          <w:color w:val="000000"/>
          <w:sz w:val="28"/>
          <w:u w:val="single"/>
        </w:rPr>
      </w:pPr>
    </w:p>
    <w:p w14:paraId="1A23D1B3">
      <w:pPr>
        <w:jc w:val="center"/>
        <w:rPr>
          <w:rFonts w:hint="eastAsia"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rPr>
        <w:t>24年06月制定</w:t>
      </w:r>
      <w:r>
        <w:rPr>
          <w:rFonts w:ascii="仿宋_GB2312" w:eastAsia="仿宋_GB2312"/>
          <w:b/>
          <w:bCs/>
          <w:color w:val="000000"/>
          <w:sz w:val="28"/>
          <w:szCs w:val="28"/>
        </w:rPr>
        <w:br w:type="page"/>
      </w:r>
      <w:bookmarkStart w:id="0" w:name="_Toc231228604"/>
    </w:p>
    <w:p w14:paraId="6B306F61">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660B8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C2DD4A6">
            <w:pPr>
              <w:jc w:val="center"/>
              <w:rPr>
                <w:rFonts w:hint="eastAsia"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4543BA3F">
            <w:pPr>
              <w:jc w:val="center"/>
              <w:rPr>
                <w:rFonts w:hint="eastAsia" w:ascii="仿宋" w:hAnsi="仿宋" w:eastAsia="仿宋"/>
                <w:color w:val="000000"/>
                <w:sz w:val="24"/>
              </w:rPr>
            </w:pPr>
            <w:r>
              <w:rPr>
                <w:rFonts w:hint="eastAsia" w:ascii="仿宋" w:hAnsi="仿宋" w:eastAsia="仿宋"/>
                <w:color w:val="000000"/>
                <w:sz w:val="24"/>
              </w:rPr>
              <w:t>100719T033</w:t>
            </w:r>
          </w:p>
        </w:tc>
        <w:tc>
          <w:tcPr>
            <w:tcW w:w="1446" w:type="dxa"/>
            <w:vAlign w:val="center"/>
          </w:tcPr>
          <w:p w14:paraId="524CE9D6">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6BB3A69C">
            <w:pPr>
              <w:jc w:val="center"/>
              <w:rPr>
                <w:rFonts w:hint="eastAsia" w:ascii="仿宋" w:hAnsi="仿宋" w:eastAsia="仿宋"/>
                <w:color w:val="000000"/>
                <w:sz w:val="24"/>
              </w:rPr>
            </w:pPr>
            <w:r>
              <w:rPr>
                <w:rFonts w:hint="eastAsia" w:ascii="仿宋" w:hAnsi="仿宋" w:eastAsia="仿宋"/>
                <w:color w:val="000000"/>
                <w:sz w:val="24"/>
              </w:rPr>
              <w:t>工商管理/马克思主义学院</w:t>
            </w:r>
          </w:p>
        </w:tc>
      </w:tr>
      <w:tr w14:paraId="3EF0A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497AEB7">
            <w:pPr>
              <w:jc w:val="center"/>
              <w:rPr>
                <w:rFonts w:hint="eastAsia"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2A169220">
            <w:pPr>
              <w:jc w:val="center"/>
              <w:rPr>
                <w:rFonts w:hint="eastAsia" w:ascii="仿宋" w:hAnsi="仿宋" w:eastAsia="仿宋"/>
                <w:color w:val="000000"/>
                <w:sz w:val="24"/>
              </w:rPr>
            </w:pPr>
            <w:r>
              <w:rPr>
                <w:rFonts w:hint="eastAsia" w:ascii="仿宋" w:hAnsi="仿宋" w:eastAsia="仿宋"/>
                <w:color w:val="000000"/>
                <w:sz w:val="24"/>
              </w:rPr>
              <w:t>金融市场学</w:t>
            </w:r>
          </w:p>
        </w:tc>
      </w:tr>
      <w:tr w14:paraId="74C99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307D1171">
            <w:pPr>
              <w:jc w:val="center"/>
              <w:rPr>
                <w:rFonts w:hint="eastAsia"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4912E435">
            <w:pPr>
              <w:jc w:val="center"/>
              <w:rPr>
                <w:rFonts w:hint="eastAsia" w:ascii="仿宋" w:hAnsi="仿宋" w:eastAsia="仿宋"/>
                <w:color w:val="000000"/>
                <w:sz w:val="24"/>
              </w:rPr>
            </w:pPr>
            <w:r>
              <w:rPr>
                <w:rFonts w:hint="eastAsia" w:ascii="仿宋" w:hAnsi="仿宋" w:eastAsia="仿宋"/>
                <w:color w:val="000000"/>
                <w:sz w:val="24"/>
              </w:rPr>
              <w:t>Financial Markets</w:t>
            </w:r>
          </w:p>
        </w:tc>
      </w:tr>
      <w:tr w14:paraId="5BFA1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57352B1">
            <w:pPr>
              <w:jc w:val="center"/>
              <w:rPr>
                <w:rFonts w:hint="eastAsia"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64383946">
            <w:pPr>
              <w:jc w:val="left"/>
              <w:rPr>
                <w:rFonts w:hint="eastAsia" w:ascii="仿宋" w:hAnsi="仿宋" w:eastAsia="仿宋"/>
                <w:color w:val="FF0000"/>
                <w:sz w:val="24"/>
              </w:rPr>
            </w:pPr>
            <w:r>
              <w:rPr>
                <w:rFonts w:hint="eastAsia" w:ascii="仿宋" w:hAnsi="仿宋" w:eastAsia="仿宋"/>
                <w:color w:val="000000"/>
                <w:sz w:val="24"/>
                <w:lang w:val="en-US" w:eastAsia="zh-CN"/>
              </w:rPr>
              <w:t>会计</w:t>
            </w:r>
            <w:r>
              <w:rPr>
                <w:rFonts w:hint="eastAsia" w:ascii="仿宋" w:hAnsi="仿宋" w:eastAsia="仿宋"/>
                <w:color w:val="000000"/>
                <w:sz w:val="24"/>
              </w:rPr>
              <w:t>专业</w:t>
            </w:r>
            <w:r>
              <w:rPr>
                <w:rFonts w:hint="eastAsia" w:ascii="仿宋" w:hAnsi="仿宋" w:eastAsia="仿宋"/>
                <w:color w:val="000000"/>
                <w:sz w:val="24"/>
                <w:lang w:val="en-US" w:eastAsia="zh-CN"/>
              </w:rPr>
              <w:t>任选</w:t>
            </w:r>
            <w:r>
              <w:rPr>
                <w:rFonts w:hint="eastAsia" w:ascii="仿宋" w:hAnsi="仿宋" w:eastAsia="仿宋"/>
                <w:color w:val="000000"/>
                <w:sz w:val="24"/>
              </w:rPr>
              <w:t>课</w:t>
            </w:r>
          </w:p>
        </w:tc>
      </w:tr>
      <w:tr w14:paraId="7FD9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578A4ED">
            <w:pPr>
              <w:jc w:val="center"/>
              <w:rPr>
                <w:rFonts w:hint="eastAsia"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205BE128">
            <w:pPr>
              <w:jc w:val="left"/>
              <w:rPr>
                <w:rFonts w:hint="default" w:ascii="仿宋" w:hAnsi="仿宋" w:eastAsia="仿宋"/>
                <w:color w:val="0070C0"/>
                <w:sz w:val="24"/>
                <w:lang w:val="en-US" w:eastAsia="zh-CN"/>
              </w:rPr>
            </w:pPr>
            <w:r>
              <w:rPr>
                <w:rFonts w:hint="eastAsia" w:ascii="仿宋" w:hAnsi="仿宋" w:eastAsia="仿宋"/>
                <w:color w:val="000000"/>
                <w:sz w:val="24"/>
                <w:lang w:val="en-US" w:eastAsia="zh-CN"/>
              </w:rPr>
              <w:t>会计学</w:t>
            </w:r>
          </w:p>
        </w:tc>
      </w:tr>
      <w:tr w14:paraId="4C34D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4170ACD">
            <w:pPr>
              <w:jc w:val="center"/>
              <w:rPr>
                <w:rFonts w:hint="eastAsia"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130647F2">
            <w:pPr>
              <w:jc w:val="center"/>
              <w:rPr>
                <w:rFonts w:hint="eastAsia" w:ascii="仿宋" w:hAnsi="仿宋" w:eastAsia="仿宋"/>
                <w:color w:val="000000"/>
                <w:sz w:val="24"/>
              </w:rPr>
            </w:pPr>
            <w:r>
              <w:rPr>
                <w:rFonts w:hint="eastAsia" w:ascii="仿宋" w:hAnsi="仿宋" w:eastAsia="仿宋"/>
                <w:color w:val="000000"/>
                <w:sz w:val="24"/>
              </w:rPr>
              <w:t>3</w:t>
            </w:r>
          </w:p>
        </w:tc>
        <w:tc>
          <w:tcPr>
            <w:tcW w:w="1693" w:type="dxa"/>
            <w:gridSpan w:val="2"/>
            <w:vAlign w:val="center"/>
          </w:tcPr>
          <w:p w14:paraId="7302D0D9">
            <w:pPr>
              <w:jc w:val="center"/>
              <w:rPr>
                <w:rFonts w:hint="eastAsia"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4E130F0A">
            <w:pPr>
              <w:jc w:val="center"/>
              <w:rPr>
                <w:rFonts w:hint="eastAsia" w:ascii="仿宋" w:hAnsi="仿宋" w:eastAsia="仿宋"/>
                <w:color w:val="000000"/>
                <w:sz w:val="24"/>
              </w:rPr>
            </w:pPr>
            <w:r>
              <w:rPr>
                <w:rFonts w:hint="eastAsia" w:ascii="仿宋" w:hAnsi="仿宋" w:eastAsia="仿宋"/>
                <w:color w:val="000000"/>
                <w:sz w:val="24"/>
              </w:rPr>
              <w:t>48</w:t>
            </w:r>
          </w:p>
        </w:tc>
      </w:tr>
      <w:tr w14:paraId="385E9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2107E8F">
            <w:pPr>
              <w:jc w:val="center"/>
              <w:rPr>
                <w:rFonts w:hint="eastAsia" w:ascii="仿宋" w:hAnsi="仿宋" w:eastAsia="仿宋"/>
                <w:b/>
                <w:color w:val="000000"/>
                <w:sz w:val="24"/>
              </w:rPr>
            </w:pPr>
            <w:r>
              <w:rPr>
                <w:rFonts w:ascii="仿宋" w:hAnsi="仿宋" w:eastAsia="仿宋"/>
                <w:b/>
                <w:color w:val="000000"/>
                <w:sz w:val="24"/>
              </w:rPr>
              <w:t>理论学时</w:t>
            </w:r>
          </w:p>
        </w:tc>
        <w:tc>
          <w:tcPr>
            <w:tcW w:w="2592" w:type="dxa"/>
            <w:vAlign w:val="center"/>
          </w:tcPr>
          <w:p w14:paraId="6DD40671">
            <w:pPr>
              <w:jc w:val="center"/>
              <w:rPr>
                <w:rFonts w:hint="eastAsia" w:ascii="仿宋" w:hAnsi="仿宋" w:eastAsia="仿宋"/>
                <w:color w:val="000000"/>
                <w:sz w:val="24"/>
                <w:lang w:val="en-US" w:eastAsia="zh-CN"/>
              </w:rPr>
            </w:pPr>
            <w:r>
              <w:rPr>
                <w:rFonts w:hint="eastAsia" w:ascii="仿宋" w:hAnsi="仿宋" w:eastAsia="仿宋"/>
                <w:color w:val="000000"/>
                <w:sz w:val="24"/>
              </w:rPr>
              <w:t>4</w:t>
            </w:r>
            <w:r>
              <w:rPr>
                <w:rFonts w:hint="eastAsia" w:ascii="仿宋" w:hAnsi="仿宋" w:eastAsia="仿宋"/>
                <w:color w:val="000000"/>
                <w:sz w:val="24"/>
                <w:lang w:val="en-US" w:eastAsia="zh-CN"/>
              </w:rPr>
              <w:t>8</w:t>
            </w:r>
          </w:p>
        </w:tc>
        <w:tc>
          <w:tcPr>
            <w:tcW w:w="1693" w:type="dxa"/>
            <w:gridSpan w:val="2"/>
            <w:vAlign w:val="center"/>
          </w:tcPr>
          <w:p w14:paraId="7A081CBA">
            <w:pPr>
              <w:jc w:val="center"/>
              <w:rPr>
                <w:rFonts w:hint="eastAsia" w:ascii="仿宋" w:hAnsi="仿宋" w:eastAsia="仿宋"/>
                <w:b/>
                <w:color w:val="000000"/>
                <w:sz w:val="24"/>
              </w:rPr>
            </w:pPr>
            <w:r>
              <w:rPr>
                <w:rFonts w:ascii="仿宋" w:hAnsi="仿宋" w:eastAsia="仿宋"/>
                <w:b/>
                <w:color w:val="000000"/>
                <w:sz w:val="24"/>
              </w:rPr>
              <w:t>实验学时</w:t>
            </w:r>
          </w:p>
        </w:tc>
        <w:tc>
          <w:tcPr>
            <w:tcW w:w="2067" w:type="dxa"/>
            <w:vAlign w:val="center"/>
          </w:tcPr>
          <w:p w14:paraId="2442F931">
            <w:pPr>
              <w:jc w:val="center"/>
              <w:rPr>
                <w:rFonts w:hint="eastAsia" w:ascii="仿宋" w:hAnsi="仿宋" w:eastAsia="仿宋"/>
                <w:color w:val="000000"/>
                <w:sz w:val="24"/>
              </w:rPr>
            </w:pPr>
            <w:r>
              <w:rPr>
                <w:rFonts w:hint="eastAsia" w:ascii="仿宋" w:hAnsi="仿宋" w:eastAsia="仿宋"/>
                <w:color w:val="000000"/>
                <w:sz w:val="24"/>
              </w:rPr>
              <w:t>0</w:t>
            </w:r>
          </w:p>
        </w:tc>
      </w:tr>
      <w:tr w14:paraId="221A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20B04453">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2539DE13">
            <w:pPr>
              <w:jc w:val="center"/>
              <w:rPr>
                <w:rFonts w:hint="eastAsia" w:ascii="仿宋" w:hAnsi="仿宋" w:eastAsia="仿宋"/>
                <w:color w:val="000000"/>
                <w:sz w:val="24"/>
              </w:rPr>
            </w:pPr>
            <w:r>
              <w:rPr>
                <w:rFonts w:hint="eastAsia" w:ascii="仿宋" w:hAnsi="仿宋" w:eastAsia="仿宋"/>
                <w:color w:val="000000"/>
                <w:sz w:val="24"/>
              </w:rPr>
              <w:t>8</w:t>
            </w:r>
          </w:p>
        </w:tc>
        <w:tc>
          <w:tcPr>
            <w:tcW w:w="1693" w:type="dxa"/>
            <w:gridSpan w:val="2"/>
            <w:vAlign w:val="center"/>
          </w:tcPr>
          <w:p w14:paraId="3809420A">
            <w:pPr>
              <w:jc w:val="center"/>
              <w:rPr>
                <w:rFonts w:hint="eastAsia"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563749E1">
            <w:pPr>
              <w:jc w:val="center"/>
              <w:rPr>
                <w:rFonts w:hint="eastAsia" w:ascii="仿宋" w:hAnsi="仿宋" w:eastAsia="仿宋"/>
                <w:color w:val="000000"/>
                <w:sz w:val="24"/>
              </w:rPr>
            </w:pPr>
            <w:r>
              <w:rPr>
                <w:rFonts w:hint="eastAsia" w:ascii="仿宋" w:hAnsi="仿宋" w:eastAsia="仿宋"/>
                <w:color w:val="000000"/>
                <w:sz w:val="24"/>
              </w:rPr>
              <w:t>0</w:t>
            </w:r>
          </w:p>
        </w:tc>
      </w:tr>
      <w:tr w14:paraId="7949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0F779DF">
            <w:pPr>
              <w:jc w:val="center"/>
              <w:rPr>
                <w:rFonts w:hint="eastAsia"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110B4B03">
            <w:pPr>
              <w:jc w:val="center"/>
              <w:rPr>
                <w:rFonts w:hint="eastAsia" w:ascii="仿宋" w:hAnsi="仿宋" w:eastAsia="仿宋"/>
                <w:color w:val="000000"/>
                <w:sz w:val="24"/>
              </w:rPr>
            </w:pPr>
            <w:r>
              <w:rPr>
                <w:rFonts w:hint="eastAsia" w:ascii="仿宋" w:hAnsi="仿宋" w:eastAsia="仿宋"/>
                <w:color w:val="000000"/>
                <w:sz w:val="24"/>
              </w:rPr>
              <w:t>微观经济学，宏观经济学，高等数学</w:t>
            </w:r>
          </w:p>
        </w:tc>
      </w:tr>
    </w:tbl>
    <w:p w14:paraId="11FDA401">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4A896B71">
      <w:pPr>
        <w:snapToGrid w:val="0"/>
        <w:spacing w:line="36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金融市场学是金融专业的一门专业必修课，也是会计专业的学生可以通过本课程研究市场经济条件下金融市场运行机制及其各主体行为规律的科学。随着中国改革开放的日益深入和社会主义市场运行的原理和规律，适应教育部“宽口径、厚基础”的改革要求，适应社会主义市场经济对于人才的要求具有重要意义。</w:t>
      </w:r>
    </w:p>
    <w:p w14:paraId="14EBA6EB">
      <w:pPr>
        <w:snapToGrid w:val="0"/>
        <w:spacing w:line="36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本课程的教学目的是要求学生掌握金融市场的基本理论、基本知识和基本技能，掌握金融市场的各种运行机制（包括利率机制和证券价格机制等）、金融资产的定价方法并能够运用所学理论、知识和方法分析解决金融市场的相关问题，能为会计专业日后进一步学习、丰富会计专业学生的理论研究和奠定扎实的会计基础。在教学过程中，结合当前世界政治和经济形势，学习北京证券交易所设立的国家战略意义、中国债券市场的发展状况以及如何支持国家经济社会协同发展，分析国际金融市场动荡与国民生活的密切关系，引导学生深入社会实践、关注现实问题，培育学生经世济民、诚信服务、德法兼修的职业素养。</w:t>
      </w:r>
    </w:p>
    <w:p w14:paraId="2F6F492F">
      <w:pPr>
        <w:snapToGrid w:val="0"/>
        <w:spacing w:line="36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本课程分为两部分共10章的内容。包括第一部分介绍金融市场的货币市场、股票市场、债券市场的特征以及利率运行机制，第二部分介绍不同证券的估值模型。</w:t>
      </w:r>
    </w:p>
    <w:p w14:paraId="5A01D785">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14:paraId="3FFD906B">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7D9A2C0A">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（一）课程目标</w:t>
      </w:r>
    </w:p>
    <w:p w14:paraId="1E986D4D">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14:paraId="58A5EB94">
      <w:pPr>
        <w:spacing w:line="360" w:lineRule="auto"/>
        <w:ind w:firstLine="480" w:firstLineChars="200"/>
        <w:rPr>
          <w:rFonts w:hint="eastAsia" w:ascii="仿宋" w:hAnsi="仿宋" w:eastAsia="仿宋"/>
          <w:bCs/>
          <w:color w:val="000000" w:themeColor="text1"/>
          <w:sz w:val="24"/>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要求学生金融市场的基本理论、基本知识和基本技能的同时，注重培养学生的金融分析能力、风险防范意识和市场敏感度。通过案例分析、小组讨论等教学方式，引导学生从中总结经验教训，反思自身的行为和价值观念，强化道德自觉和规范意识。增强他们的综合素质和人文素养。通过讲解金融市场中的伦理道德问题来引导学生思考金融从业人员在实践中应该遵循的道德规范，强调金融行业的责任和使命，培养学生的社会责任感和公民意识。</w:t>
      </w:r>
    </w:p>
    <w:p w14:paraId="704B66FA">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课程目标2：</w:t>
      </w:r>
    </w:p>
    <w:p w14:paraId="17BA7956">
      <w:pPr>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rPr>
        <w:t>将本课程学习内容与劳育相结合，在掌握理论知识和方法的同时，要注意将理论和实践联系起来。通过参与模拟交易，培养学生的金融实践能力；并通过小组汇报答辩，培养学生的团队合作精神和创新能力。</w:t>
      </w:r>
    </w:p>
    <w:p w14:paraId="67CD9D19">
      <w:pPr>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rPr>
        <w:t>同时，也将美育融于本课程中，让学生更深入地理解金融市场的本质和特征，提升学生的金融素养和综合素质。基于审美视角，让学生学会从不同视角去理解金融市场的本质和特征，从而更加准确地把握市场的运行规律。同时，也让学生意识到不要局限于冷冰冰的金融数字和模型，金融行业创造和发展是可以借鉴艺术创作的思维方式和表现手法来推动的。</w:t>
      </w:r>
    </w:p>
    <w:p w14:paraId="5610C583">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r>
        <w:rPr>
          <w:rFonts w:hint="eastAsia" w:ascii="仿宋" w:hAnsi="仿宋" w:eastAsia="仿宋"/>
          <w:b/>
          <w:color w:val="000000"/>
          <w:sz w:val="24"/>
        </w:rPr>
        <w:t>：</w:t>
      </w:r>
    </w:p>
    <w:p w14:paraId="5C760EFA">
      <w:pPr>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rPr>
        <w:t>学生需要对金融市场的基本概念和基本理论有正确的理解和较深刻的认识，掌握市场机制下的债务证券市场、权益证券市场、衍生金融市场的运作情况；深入分析市场机制下金融市场上各种金融工具估价与风险；要了解各类金融市场的发行和交易机制，掌握科学的分析金融市场问题的方法。需要通过对中国金融市场发展历史和现状的介绍，使学生了解中国金融市场的运行机制和存在的问题，加强学生分析和解决金融市场问题的动手能力，并能够通过案例的分析运用所学理论、知识和方法分析解决金融市场的相关问题。</w:t>
      </w:r>
    </w:p>
    <w:p w14:paraId="34FE10A5">
      <w:pPr>
        <w:spacing w:line="360" w:lineRule="auto"/>
        <w:ind w:firstLine="480" w:firstLineChars="200"/>
        <w:rPr>
          <w:rFonts w:hint="eastAsia" w:ascii="仿宋" w:hAnsi="仿宋" w:eastAsia="仿宋"/>
          <w:color w:val="000000"/>
          <w:sz w:val="24"/>
        </w:rPr>
      </w:pPr>
    </w:p>
    <w:p w14:paraId="271C6399">
      <w:pPr>
        <w:spacing w:line="360" w:lineRule="auto"/>
        <w:ind w:firstLine="480" w:firstLineChars="200"/>
        <w:rPr>
          <w:rFonts w:hint="eastAsia" w:ascii="仿宋" w:hAnsi="仿宋" w:eastAsia="仿宋"/>
          <w:color w:val="000000"/>
          <w:sz w:val="24"/>
        </w:rPr>
      </w:pPr>
    </w:p>
    <w:p w14:paraId="0C6BF4F2">
      <w:pPr>
        <w:spacing w:line="360" w:lineRule="auto"/>
        <w:ind w:firstLine="480" w:firstLineChars="200"/>
        <w:rPr>
          <w:rFonts w:hint="eastAsia" w:ascii="仿宋" w:hAnsi="仿宋" w:eastAsia="仿宋"/>
          <w:color w:val="000000"/>
          <w:sz w:val="24"/>
        </w:rPr>
      </w:pPr>
    </w:p>
    <w:p w14:paraId="11D1510D">
      <w:p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（二）课程目标对毕业要求的支撑</w:t>
      </w:r>
    </w:p>
    <w:tbl>
      <w:tblPr>
        <w:tblStyle w:val="9"/>
        <w:tblW w:w="5132" w:type="pct"/>
        <w:jc w:val="center"/>
        <w:tblLayout w:type="autofit"/>
        <w:tblCellMar>
          <w:top w:w="0" w:type="dxa"/>
          <w:left w:w="108" w:type="dxa"/>
          <w:bottom w:w="0" w:type="dxa"/>
          <w:right w:w="108" w:type="dxa"/>
        </w:tblCellMar>
      </w:tblPr>
      <w:tblGrid>
        <w:gridCol w:w="2674"/>
        <w:gridCol w:w="3227"/>
        <w:gridCol w:w="1628"/>
        <w:gridCol w:w="1218"/>
      </w:tblGrid>
      <w:tr w14:paraId="078EDE8E">
        <w:tblPrEx>
          <w:tblCellMar>
            <w:top w:w="0" w:type="dxa"/>
            <w:left w:w="108" w:type="dxa"/>
            <w:bottom w:w="0" w:type="dxa"/>
            <w:right w:w="108" w:type="dxa"/>
          </w:tblCellMar>
        </w:tblPrEx>
        <w:trPr>
          <w:trHeight w:val="510" w:hRule="atLeast"/>
          <w:jc w:val="center"/>
        </w:trPr>
        <w:tc>
          <w:tcPr>
            <w:tcW w:w="1528" w:type="pct"/>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261F21A9">
            <w:pPr>
              <w:widowControl/>
              <w:spacing w:line="360" w:lineRule="auto"/>
              <w:jc w:val="center"/>
              <w:rPr>
                <w:rFonts w:hint="eastAsia" w:ascii="仿宋" w:hAnsi="仿宋" w:eastAsia="仿宋"/>
                <w:b/>
                <w:color w:val="000000"/>
                <w:kern w:val="0"/>
                <w:sz w:val="24"/>
              </w:rPr>
            </w:pPr>
            <w:r>
              <w:rPr>
                <w:rFonts w:hint="eastAsia" w:ascii="仿宋" w:hAnsi="仿宋" w:eastAsia="仿宋"/>
                <w:b/>
                <w:color w:val="000000"/>
                <w:kern w:val="0"/>
                <w:sz w:val="24"/>
              </w:rPr>
              <w:t>毕业要求</w:t>
            </w:r>
          </w:p>
        </w:tc>
        <w:tc>
          <w:tcPr>
            <w:tcW w:w="1844" w:type="pct"/>
            <w:tcBorders>
              <w:top w:val="single" w:color="auto" w:sz="4" w:space="0"/>
              <w:left w:val="nil"/>
              <w:bottom w:val="single" w:color="auto" w:sz="4" w:space="0"/>
              <w:right w:val="single" w:color="auto" w:sz="4" w:space="0"/>
            </w:tcBorders>
            <w:shd w:val="clear" w:color="auto" w:fill="BEBEBE" w:themeFill="background1" w:themeFillShade="BF"/>
            <w:vAlign w:val="center"/>
          </w:tcPr>
          <w:p w14:paraId="135B243E">
            <w:pPr>
              <w:widowControl/>
              <w:spacing w:line="360" w:lineRule="auto"/>
              <w:jc w:val="center"/>
              <w:rPr>
                <w:rFonts w:hint="eastAsia" w:ascii="仿宋" w:hAnsi="仿宋" w:eastAsia="仿宋"/>
                <w:b/>
                <w:color w:val="000000"/>
                <w:kern w:val="0"/>
                <w:sz w:val="24"/>
              </w:rPr>
            </w:pPr>
            <w:r>
              <w:rPr>
                <w:rFonts w:hint="eastAsia" w:ascii="仿宋" w:hAnsi="仿宋" w:eastAsia="仿宋"/>
                <w:b/>
                <w:color w:val="000000"/>
                <w:kern w:val="0"/>
                <w:sz w:val="24"/>
              </w:rPr>
              <w:t>观测点</w:t>
            </w:r>
          </w:p>
        </w:tc>
        <w:tc>
          <w:tcPr>
            <w:tcW w:w="930" w:type="pct"/>
            <w:tcBorders>
              <w:top w:val="single" w:color="auto" w:sz="4" w:space="0"/>
              <w:left w:val="nil"/>
              <w:bottom w:val="single" w:color="auto" w:sz="4" w:space="0"/>
              <w:right w:val="single" w:color="auto" w:sz="4" w:space="0"/>
            </w:tcBorders>
            <w:shd w:val="clear" w:color="auto" w:fill="BEBEBE" w:themeFill="background1" w:themeFillShade="BF"/>
          </w:tcPr>
          <w:p w14:paraId="2A8A1BD1">
            <w:pPr>
              <w:widowControl/>
              <w:spacing w:line="360" w:lineRule="auto"/>
              <w:jc w:val="center"/>
              <w:rPr>
                <w:rFonts w:hint="eastAsia" w:ascii="仿宋" w:hAnsi="仿宋" w:eastAsia="仿宋"/>
                <w:b/>
                <w:color w:val="000000"/>
                <w:kern w:val="0"/>
                <w:sz w:val="24"/>
              </w:rPr>
            </w:pPr>
            <w:r>
              <w:rPr>
                <w:rFonts w:hint="eastAsia" w:ascii="仿宋" w:hAnsi="仿宋" w:eastAsia="仿宋"/>
                <w:b/>
                <w:color w:val="000000"/>
                <w:kern w:val="0"/>
                <w:sz w:val="24"/>
              </w:rPr>
              <w:t>课程目标</w:t>
            </w:r>
          </w:p>
        </w:tc>
        <w:tc>
          <w:tcPr>
            <w:tcW w:w="696" w:type="pct"/>
            <w:tcBorders>
              <w:top w:val="single" w:color="auto" w:sz="4" w:space="0"/>
              <w:left w:val="nil"/>
              <w:bottom w:val="single" w:color="auto" w:sz="4" w:space="0"/>
              <w:right w:val="single" w:color="auto" w:sz="4" w:space="0"/>
            </w:tcBorders>
            <w:shd w:val="clear" w:color="auto" w:fill="BEBEBE" w:themeFill="background1" w:themeFillShade="BF"/>
          </w:tcPr>
          <w:p w14:paraId="0F59EABC">
            <w:pPr>
              <w:widowControl/>
              <w:spacing w:line="360" w:lineRule="auto"/>
              <w:jc w:val="center"/>
              <w:rPr>
                <w:rFonts w:hint="eastAsia" w:ascii="仿宋" w:hAnsi="仿宋" w:eastAsia="仿宋"/>
                <w:b/>
                <w:color w:val="000000"/>
                <w:kern w:val="0"/>
                <w:sz w:val="24"/>
              </w:rPr>
            </w:pPr>
            <w:r>
              <w:rPr>
                <w:rFonts w:hint="eastAsia" w:ascii="仿宋" w:hAnsi="仿宋" w:eastAsia="仿宋"/>
                <w:b/>
                <w:color w:val="000000"/>
                <w:kern w:val="0"/>
                <w:sz w:val="24"/>
              </w:rPr>
              <w:t>支撑强度</w:t>
            </w:r>
          </w:p>
        </w:tc>
      </w:tr>
      <w:tr w14:paraId="5F5748F6">
        <w:tblPrEx>
          <w:tblCellMar>
            <w:top w:w="0" w:type="dxa"/>
            <w:left w:w="108" w:type="dxa"/>
            <w:bottom w:w="0" w:type="dxa"/>
            <w:right w:w="108" w:type="dxa"/>
          </w:tblCellMar>
        </w:tblPrEx>
        <w:trPr>
          <w:trHeight w:val="1425" w:hRule="atLeast"/>
          <w:jc w:val="center"/>
        </w:trPr>
        <w:tc>
          <w:tcPr>
            <w:tcW w:w="1528" w:type="pct"/>
            <w:tcBorders>
              <w:top w:val="single" w:color="auto" w:sz="4" w:space="0"/>
              <w:left w:val="single" w:color="auto" w:sz="4" w:space="0"/>
              <w:bottom w:val="single" w:color="auto" w:sz="4" w:space="0"/>
              <w:right w:val="single" w:color="auto" w:sz="4" w:space="0"/>
            </w:tcBorders>
          </w:tcPr>
          <w:p w14:paraId="0EFCA02A">
            <w:pPr>
              <w:widowControl/>
              <w:spacing w:line="276" w:lineRule="auto"/>
              <w:jc w:val="left"/>
              <w:rPr>
                <w:rFonts w:hint="eastAsia" w:ascii="仿宋" w:hAnsi="仿宋" w:eastAsia="仿宋"/>
                <w:b/>
                <w:bCs/>
                <w:sz w:val="24"/>
              </w:rPr>
            </w:pPr>
          </w:p>
          <w:p w14:paraId="0C99360A">
            <w:pPr>
              <w:widowControl/>
              <w:spacing w:line="276" w:lineRule="auto"/>
              <w:jc w:val="left"/>
              <w:rPr>
                <w:rFonts w:hint="eastAsia" w:ascii="仿宋" w:hAnsi="仿宋" w:eastAsia="仿宋"/>
                <w:b/>
                <w:bCs/>
                <w:sz w:val="24"/>
              </w:rPr>
            </w:pPr>
          </w:p>
          <w:p w14:paraId="6CBADBBF">
            <w:pPr>
              <w:widowControl/>
              <w:spacing w:line="276" w:lineRule="auto"/>
              <w:jc w:val="left"/>
              <w:rPr>
                <w:rFonts w:hint="eastAsia" w:ascii="仿宋" w:hAnsi="仿宋" w:eastAsia="仿宋"/>
                <w:b/>
                <w:bCs/>
                <w:sz w:val="24"/>
              </w:rPr>
            </w:pPr>
          </w:p>
          <w:p w14:paraId="578D1E7A">
            <w:pPr>
              <w:widowControl/>
              <w:spacing w:line="276" w:lineRule="auto"/>
              <w:jc w:val="left"/>
              <w:rPr>
                <w:rFonts w:hint="eastAsia" w:ascii="仿宋" w:hAnsi="仿宋" w:eastAsia="仿宋"/>
                <w:color w:val="0070C0"/>
                <w:kern w:val="0"/>
                <w:sz w:val="24"/>
              </w:rPr>
            </w:pPr>
            <w:r>
              <w:rPr>
                <w:rFonts w:hint="eastAsia" w:ascii="仿宋" w:hAnsi="仿宋" w:eastAsia="仿宋"/>
                <w:b/>
                <w:bCs/>
                <w:sz w:val="24"/>
              </w:rPr>
              <w:t>毕业要求1：</w:t>
            </w:r>
            <w:r>
              <w:rPr>
                <w:rFonts w:hint="eastAsia" w:ascii="仿宋" w:hAnsi="仿宋" w:eastAsia="仿宋"/>
                <w:color w:val="000000"/>
                <w:kern w:val="0"/>
                <w:sz w:val="24"/>
              </w:rPr>
              <w:t>能够通过数学、自然科学、金融学基础理解金融市场的基本原理，掌握金融专业的基本知识和方法。</w:t>
            </w:r>
          </w:p>
        </w:tc>
        <w:tc>
          <w:tcPr>
            <w:tcW w:w="1844" w:type="pct"/>
            <w:tcBorders>
              <w:top w:val="single" w:color="auto" w:sz="4" w:space="0"/>
              <w:left w:val="nil"/>
              <w:bottom w:val="single" w:color="auto" w:sz="4" w:space="0"/>
              <w:right w:val="single" w:color="auto" w:sz="4" w:space="0"/>
            </w:tcBorders>
          </w:tcPr>
          <w:p w14:paraId="5BD72455">
            <w:pPr>
              <w:spacing w:line="276" w:lineRule="auto"/>
              <w:rPr>
                <w:rFonts w:hint="eastAsia" w:ascii="仿宋" w:hAnsi="仿宋" w:eastAsia="仿宋"/>
                <w:b/>
                <w:bCs/>
                <w:sz w:val="24"/>
              </w:rPr>
            </w:pPr>
            <w:r>
              <w:rPr>
                <w:rFonts w:ascii="仿宋" w:hAnsi="仿宋" w:eastAsia="仿宋"/>
                <w:b/>
                <w:bCs/>
                <w:sz w:val="24"/>
              </w:rPr>
              <w:t>观测点1</w:t>
            </w:r>
            <w:r>
              <w:rPr>
                <w:rFonts w:hint="eastAsia" w:ascii="仿宋" w:hAnsi="仿宋" w:eastAsia="仿宋"/>
                <w:b/>
                <w:bCs/>
                <w:sz w:val="24"/>
              </w:rPr>
              <w:t>：</w:t>
            </w:r>
          </w:p>
          <w:p w14:paraId="6799ADF0">
            <w:pPr>
              <w:spacing w:line="276" w:lineRule="auto"/>
              <w:rPr>
                <w:rFonts w:hint="eastAsia" w:ascii="仿宋" w:hAnsi="仿宋" w:eastAsia="仿宋"/>
                <w:color w:val="0070C0"/>
                <w:sz w:val="24"/>
              </w:rPr>
            </w:pPr>
            <w:r>
              <w:rPr>
                <w:rFonts w:hint="eastAsia" w:ascii="仿宋" w:hAnsi="仿宋" w:eastAsia="仿宋"/>
                <w:color w:val="000000"/>
                <w:kern w:val="0"/>
                <w:sz w:val="24"/>
              </w:rPr>
              <w:t>掌握金融市场的基本概念及三大子市场的运作情况。</w:t>
            </w:r>
          </w:p>
          <w:p w14:paraId="0DB2C0F5">
            <w:pPr>
              <w:spacing w:line="276" w:lineRule="auto"/>
              <w:rPr>
                <w:rFonts w:hint="eastAsia" w:ascii="仿宋" w:hAnsi="仿宋" w:eastAsia="仿宋"/>
                <w:b/>
                <w:bCs/>
                <w:sz w:val="24"/>
              </w:rPr>
            </w:pPr>
            <w:r>
              <w:rPr>
                <w:rFonts w:hint="eastAsia" w:ascii="仿宋" w:hAnsi="仿宋" w:eastAsia="仿宋"/>
                <w:b/>
                <w:bCs/>
                <w:sz w:val="24"/>
              </w:rPr>
              <w:t>观测点2：</w:t>
            </w:r>
          </w:p>
          <w:p w14:paraId="1DA138A5">
            <w:pPr>
              <w:spacing w:line="276" w:lineRule="auto"/>
              <w:rPr>
                <w:rFonts w:hint="eastAsia" w:ascii="仿宋" w:hAnsi="仿宋" w:eastAsia="仿宋"/>
                <w:color w:val="000000"/>
                <w:kern w:val="0"/>
                <w:sz w:val="24"/>
              </w:rPr>
            </w:pPr>
            <w:r>
              <w:rPr>
                <w:rFonts w:hint="eastAsia" w:ascii="仿宋" w:hAnsi="仿宋" w:eastAsia="仿宋"/>
                <w:color w:val="000000"/>
                <w:kern w:val="0"/>
                <w:sz w:val="24"/>
              </w:rPr>
              <w:t>清楚金融机构对各类金融市场的利用及其在金融市场上所扮演的角色。</w:t>
            </w:r>
          </w:p>
          <w:p w14:paraId="4D06C9EA">
            <w:pPr>
              <w:spacing w:line="276" w:lineRule="auto"/>
              <w:rPr>
                <w:rFonts w:hint="eastAsia" w:ascii="仿宋" w:hAnsi="仿宋" w:eastAsia="仿宋"/>
                <w:b/>
                <w:bCs/>
                <w:sz w:val="24"/>
              </w:rPr>
            </w:pPr>
            <w:r>
              <w:rPr>
                <w:rFonts w:hint="eastAsia" w:ascii="仿宋" w:hAnsi="仿宋" w:eastAsia="仿宋"/>
                <w:b/>
                <w:bCs/>
                <w:sz w:val="24"/>
              </w:rPr>
              <w:t>观测点3：</w:t>
            </w:r>
          </w:p>
          <w:p w14:paraId="187CE3C9">
            <w:pPr>
              <w:spacing w:line="276" w:lineRule="auto"/>
              <w:rPr>
                <w:rFonts w:hint="eastAsia" w:ascii="仿宋" w:hAnsi="仿宋" w:eastAsia="仿宋"/>
                <w:color w:val="000000"/>
                <w:kern w:val="0"/>
                <w:sz w:val="24"/>
              </w:rPr>
            </w:pPr>
            <w:r>
              <w:rPr>
                <w:rFonts w:hint="eastAsia" w:ascii="仿宋" w:hAnsi="仿宋" w:eastAsia="仿宋"/>
                <w:color w:val="000000"/>
                <w:kern w:val="0"/>
                <w:sz w:val="24"/>
              </w:rPr>
              <w:t>了解各类金融市场的发行和交易机制，并掌握科学前沿的分析方法。</w:t>
            </w:r>
          </w:p>
        </w:tc>
        <w:tc>
          <w:tcPr>
            <w:tcW w:w="930" w:type="pct"/>
            <w:tcBorders>
              <w:top w:val="single" w:color="auto" w:sz="4" w:space="0"/>
              <w:left w:val="nil"/>
              <w:bottom w:val="single" w:color="auto" w:sz="4" w:space="0"/>
              <w:right w:val="single" w:color="auto" w:sz="4" w:space="0"/>
            </w:tcBorders>
            <w:vAlign w:val="center"/>
          </w:tcPr>
          <w:p w14:paraId="0A3B5E54">
            <w:pPr>
              <w:spacing w:line="276" w:lineRule="auto"/>
              <w:rPr>
                <w:rFonts w:hint="eastAsia" w:ascii="仿宋" w:hAnsi="仿宋" w:eastAsia="仿宋"/>
                <w:color w:val="000000"/>
                <w:sz w:val="24"/>
              </w:rPr>
            </w:pPr>
            <w:r>
              <w:rPr>
                <w:rFonts w:hint="eastAsia" w:ascii="仿宋" w:hAnsi="仿宋" w:eastAsia="仿宋"/>
                <w:color w:val="000000"/>
                <w:kern w:val="0"/>
                <w:sz w:val="24"/>
              </w:rPr>
              <w:t>课程目标1，3</w:t>
            </w:r>
          </w:p>
        </w:tc>
        <w:tc>
          <w:tcPr>
            <w:tcW w:w="696" w:type="pct"/>
            <w:tcBorders>
              <w:top w:val="single" w:color="auto" w:sz="4" w:space="0"/>
              <w:left w:val="nil"/>
              <w:bottom w:val="single" w:color="auto" w:sz="4" w:space="0"/>
              <w:right w:val="single" w:color="auto" w:sz="4" w:space="0"/>
            </w:tcBorders>
            <w:vAlign w:val="center"/>
          </w:tcPr>
          <w:p w14:paraId="229E7ADC">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H</w:t>
            </w:r>
          </w:p>
          <w:p w14:paraId="34DC0232">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14:paraId="774CFB72">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14:paraId="1C6CEFAF">
        <w:tblPrEx>
          <w:tblCellMar>
            <w:top w:w="0" w:type="dxa"/>
            <w:left w:w="108" w:type="dxa"/>
            <w:bottom w:w="0" w:type="dxa"/>
            <w:right w:w="108" w:type="dxa"/>
          </w:tblCellMar>
        </w:tblPrEx>
        <w:trPr>
          <w:trHeight w:val="690" w:hRule="atLeast"/>
          <w:jc w:val="center"/>
        </w:trPr>
        <w:tc>
          <w:tcPr>
            <w:tcW w:w="1528" w:type="pct"/>
            <w:tcBorders>
              <w:top w:val="single" w:color="auto" w:sz="4" w:space="0"/>
              <w:left w:val="single" w:color="auto" w:sz="4" w:space="0"/>
              <w:bottom w:val="single" w:color="auto" w:sz="4" w:space="0"/>
              <w:right w:val="single" w:color="auto" w:sz="4" w:space="0"/>
            </w:tcBorders>
            <w:vAlign w:val="center"/>
          </w:tcPr>
          <w:p w14:paraId="3296EBA5">
            <w:pPr>
              <w:widowControl/>
              <w:spacing w:line="276" w:lineRule="auto"/>
              <w:jc w:val="left"/>
              <w:rPr>
                <w:rFonts w:hint="eastAsia" w:ascii="仿宋" w:hAnsi="仿宋" w:eastAsia="仿宋"/>
                <w:b/>
                <w:bCs/>
                <w:color w:val="000000"/>
                <w:kern w:val="0"/>
                <w:sz w:val="24"/>
              </w:rPr>
            </w:pPr>
            <w:r>
              <w:rPr>
                <w:rFonts w:hint="eastAsia" w:ascii="仿宋" w:hAnsi="仿宋" w:eastAsia="仿宋"/>
                <w:b/>
                <w:bCs/>
                <w:color w:val="000000"/>
                <w:kern w:val="0"/>
                <w:sz w:val="24"/>
              </w:rPr>
              <w:t>毕业要求2：</w:t>
            </w:r>
            <w:r>
              <w:rPr>
                <w:rFonts w:hint="eastAsia" w:ascii="仿宋" w:hAnsi="仿宋" w:eastAsia="仿宋"/>
                <w:color w:val="000000"/>
                <w:kern w:val="0"/>
                <w:sz w:val="24"/>
              </w:rPr>
              <w:t>能够运用经济学、金融学和会计学的基本理论，以及对现实金融问题进行分析研究。</w:t>
            </w:r>
          </w:p>
        </w:tc>
        <w:tc>
          <w:tcPr>
            <w:tcW w:w="1844" w:type="pct"/>
            <w:tcBorders>
              <w:top w:val="single" w:color="auto" w:sz="4" w:space="0"/>
              <w:left w:val="nil"/>
              <w:bottom w:val="single" w:color="auto" w:sz="4" w:space="0"/>
              <w:right w:val="single" w:color="auto" w:sz="4" w:space="0"/>
            </w:tcBorders>
            <w:vAlign w:val="center"/>
          </w:tcPr>
          <w:p w14:paraId="62DAF075">
            <w:pPr>
              <w:spacing w:line="276" w:lineRule="auto"/>
              <w:rPr>
                <w:rFonts w:hint="eastAsia" w:ascii="仿宋" w:hAnsi="仿宋" w:eastAsia="仿宋"/>
                <w:b/>
                <w:bCs/>
                <w:color w:val="000000"/>
                <w:sz w:val="24"/>
              </w:rPr>
            </w:pPr>
            <w:r>
              <w:rPr>
                <w:rFonts w:hint="eastAsia" w:ascii="仿宋" w:hAnsi="仿宋" w:eastAsia="仿宋"/>
                <w:b/>
                <w:bCs/>
                <w:color w:val="000000"/>
                <w:sz w:val="24"/>
              </w:rPr>
              <w:t>观测点4：</w:t>
            </w:r>
          </w:p>
          <w:p w14:paraId="04479857">
            <w:pPr>
              <w:spacing w:line="276" w:lineRule="auto"/>
              <w:rPr>
                <w:rFonts w:hint="eastAsia" w:ascii="仿宋" w:hAnsi="仿宋" w:eastAsia="仿宋"/>
                <w:color w:val="000000"/>
                <w:kern w:val="0"/>
                <w:sz w:val="24"/>
              </w:rPr>
            </w:pPr>
            <w:r>
              <w:rPr>
                <w:rFonts w:hint="eastAsia" w:ascii="仿宋" w:hAnsi="仿宋" w:eastAsia="仿宋"/>
                <w:color w:val="000000"/>
                <w:kern w:val="0"/>
                <w:sz w:val="24"/>
              </w:rPr>
              <w:t>了解最新的金融市场前沿问题，提高学生对各类金融市场运行机制的把握。</w:t>
            </w:r>
          </w:p>
          <w:p w14:paraId="49AC014B">
            <w:pPr>
              <w:spacing w:line="276" w:lineRule="auto"/>
              <w:rPr>
                <w:rFonts w:hint="eastAsia" w:ascii="仿宋" w:hAnsi="仿宋" w:eastAsia="仿宋"/>
                <w:b/>
                <w:bCs/>
                <w:color w:val="000000"/>
                <w:sz w:val="24"/>
              </w:rPr>
            </w:pPr>
            <w:r>
              <w:rPr>
                <w:rFonts w:hint="eastAsia" w:ascii="仿宋" w:hAnsi="仿宋" w:eastAsia="仿宋"/>
                <w:b/>
                <w:bCs/>
                <w:color w:val="000000"/>
                <w:sz w:val="24"/>
              </w:rPr>
              <w:t>观测点5：</w:t>
            </w:r>
          </w:p>
          <w:p w14:paraId="66BA8338">
            <w:pPr>
              <w:spacing w:line="276" w:lineRule="auto"/>
              <w:rPr>
                <w:rFonts w:hint="eastAsia" w:ascii="仿宋" w:hAnsi="仿宋" w:eastAsia="仿宋"/>
                <w:b/>
                <w:bCs/>
                <w:color w:val="000000"/>
                <w:sz w:val="24"/>
              </w:rPr>
            </w:pPr>
            <w:r>
              <w:rPr>
                <w:rFonts w:hint="eastAsia" w:ascii="仿宋" w:hAnsi="仿宋" w:eastAsia="仿宋"/>
                <w:color w:val="000000"/>
                <w:kern w:val="0"/>
                <w:sz w:val="24"/>
              </w:rPr>
              <w:t>可根据实际经济情况预测金融市场利率、计算各类有价证券的收益率，判断各类有价证券价格变动的趋势并能够分析原因。</w:t>
            </w:r>
          </w:p>
        </w:tc>
        <w:tc>
          <w:tcPr>
            <w:tcW w:w="930" w:type="pct"/>
            <w:tcBorders>
              <w:top w:val="single" w:color="auto" w:sz="4" w:space="0"/>
              <w:left w:val="nil"/>
              <w:bottom w:val="single" w:color="auto" w:sz="4" w:space="0"/>
              <w:right w:val="single" w:color="auto" w:sz="4" w:space="0"/>
            </w:tcBorders>
            <w:vAlign w:val="center"/>
          </w:tcPr>
          <w:p w14:paraId="1C48E78B">
            <w:pPr>
              <w:spacing w:line="276" w:lineRule="auto"/>
              <w:rPr>
                <w:rFonts w:hint="eastAsia" w:ascii="仿宋" w:hAnsi="仿宋" w:eastAsia="仿宋"/>
                <w:color w:val="000000"/>
                <w:sz w:val="24"/>
              </w:rPr>
            </w:pPr>
            <w:r>
              <w:rPr>
                <w:rFonts w:hint="eastAsia" w:ascii="仿宋" w:hAnsi="仿宋" w:eastAsia="仿宋"/>
                <w:color w:val="000000"/>
                <w:kern w:val="0"/>
                <w:sz w:val="24"/>
              </w:rPr>
              <w:t>课程目标2，3</w:t>
            </w:r>
          </w:p>
        </w:tc>
        <w:tc>
          <w:tcPr>
            <w:tcW w:w="696" w:type="pct"/>
            <w:tcBorders>
              <w:top w:val="single" w:color="auto" w:sz="4" w:space="0"/>
              <w:left w:val="nil"/>
              <w:bottom w:val="single" w:color="auto" w:sz="4" w:space="0"/>
              <w:right w:val="single" w:color="auto" w:sz="4" w:space="0"/>
            </w:tcBorders>
          </w:tcPr>
          <w:p w14:paraId="33E77E10">
            <w:pPr>
              <w:rPr>
                <w:rFonts w:hint="eastAsia" w:ascii="仿宋" w:hAnsi="仿宋" w:eastAsia="仿宋"/>
                <w:color w:val="000000"/>
                <w:sz w:val="24"/>
              </w:rPr>
            </w:pPr>
          </w:p>
          <w:p w14:paraId="52DBF8FD">
            <w:pPr>
              <w:rPr>
                <w:rFonts w:hint="eastAsia" w:ascii="仿宋" w:hAnsi="仿宋" w:eastAsia="仿宋"/>
                <w:color w:val="000000"/>
                <w:sz w:val="24"/>
              </w:rPr>
            </w:pPr>
          </w:p>
          <w:p w14:paraId="5BEBDF32">
            <w:pPr>
              <w:numPr>
                <w:ilvl w:val="0"/>
                <w:numId w:val="2"/>
              </w:numPr>
              <w:jc w:val="center"/>
              <w:rPr>
                <w:rFonts w:hint="eastAsia" w:ascii="仿宋" w:hAnsi="仿宋" w:eastAsia="仿宋"/>
                <w:color w:val="000000"/>
                <w:sz w:val="24"/>
              </w:rPr>
            </w:pPr>
            <w:r>
              <w:rPr>
                <w:rFonts w:hint="eastAsia" w:ascii="仿宋" w:hAnsi="仿宋" w:eastAsia="仿宋"/>
                <w:color w:val="000000"/>
                <w:sz w:val="24"/>
              </w:rPr>
              <w:t>H</w:t>
            </w:r>
          </w:p>
          <w:p w14:paraId="02DE607A">
            <w:pPr>
              <w:numPr>
                <w:ilvl w:val="0"/>
                <w:numId w:val="3"/>
              </w:numPr>
              <w:jc w:val="center"/>
              <w:rPr>
                <w:rFonts w:hint="eastAsia" w:ascii="仿宋" w:hAnsi="仿宋" w:eastAsia="仿宋"/>
                <w:color w:val="000000"/>
                <w:sz w:val="24"/>
              </w:rPr>
            </w:pPr>
            <w:r>
              <w:rPr>
                <w:rFonts w:hint="eastAsia" w:ascii="仿宋" w:hAnsi="仿宋" w:eastAsia="仿宋"/>
                <w:color w:val="000000"/>
                <w:sz w:val="24"/>
              </w:rPr>
              <w:t>M</w:t>
            </w:r>
          </w:p>
          <w:p w14:paraId="2827DD99">
            <w:pPr>
              <w:numPr>
                <w:ilvl w:val="0"/>
                <w:numId w:val="2"/>
              </w:numPr>
              <w:jc w:val="center"/>
              <w:rPr>
                <w:rFonts w:hint="eastAsia" w:ascii="仿宋" w:hAnsi="仿宋" w:eastAsia="仿宋"/>
                <w:color w:val="000000"/>
                <w:sz w:val="24"/>
              </w:rPr>
            </w:pPr>
            <w:r>
              <w:rPr>
                <w:rFonts w:hint="eastAsia" w:ascii="仿宋" w:hAnsi="仿宋" w:eastAsia="仿宋"/>
                <w:color w:val="000000"/>
                <w:sz w:val="24"/>
              </w:rPr>
              <w:t>L</w:t>
            </w:r>
          </w:p>
        </w:tc>
      </w:tr>
      <w:tr w14:paraId="63F70196">
        <w:tblPrEx>
          <w:tblCellMar>
            <w:top w:w="0" w:type="dxa"/>
            <w:left w:w="108" w:type="dxa"/>
            <w:bottom w:w="0" w:type="dxa"/>
            <w:right w:w="108" w:type="dxa"/>
          </w:tblCellMar>
        </w:tblPrEx>
        <w:trPr>
          <w:trHeight w:val="690" w:hRule="atLeast"/>
          <w:jc w:val="center"/>
        </w:trPr>
        <w:tc>
          <w:tcPr>
            <w:tcW w:w="1528" w:type="pct"/>
            <w:tcBorders>
              <w:top w:val="single" w:color="auto" w:sz="4" w:space="0"/>
              <w:left w:val="single" w:color="auto" w:sz="4" w:space="0"/>
              <w:bottom w:val="single" w:color="auto" w:sz="4" w:space="0"/>
              <w:right w:val="single" w:color="auto" w:sz="4" w:space="0"/>
            </w:tcBorders>
            <w:vAlign w:val="center"/>
          </w:tcPr>
          <w:p w14:paraId="1A33C06D">
            <w:pPr>
              <w:widowControl/>
              <w:spacing w:line="276" w:lineRule="auto"/>
              <w:jc w:val="left"/>
              <w:rPr>
                <w:rFonts w:hint="eastAsia" w:ascii="仿宋" w:hAnsi="仿宋" w:eastAsia="仿宋"/>
                <w:color w:val="000000"/>
                <w:kern w:val="0"/>
                <w:sz w:val="24"/>
              </w:rPr>
            </w:pPr>
            <w:r>
              <w:rPr>
                <w:rFonts w:hint="eastAsia" w:ascii="仿宋" w:hAnsi="仿宋" w:eastAsia="仿宋"/>
                <w:b/>
                <w:bCs/>
                <w:color w:val="000000"/>
                <w:kern w:val="0"/>
                <w:sz w:val="24"/>
              </w:rPr>
              <w:t>毕业要求</w:t>
            </w:r>
            <w:r>
              <w:rPr>
                <w:rFonts w:ascii="仿宋" w:hAnsi="仿宋" w:eastAsia="仿宋"/>
                <w:b/>
                <w:bCs/>
                <w:color w:val="000000"/>
                <w:kern w:val="0"/>
                <w:sz w:val="24"/>
              </w:rPr>
              <w:t>3</w:t>
            </w:r>
            <w:r>
              <w:rPr>
                <w:rFonts w:hint="eastAsia" w:ascii="仿宋" w:hAnsi="仿宋" w:eastAsia="仿宋"/>
                <w:b/>
                <w:bCs/>
                <w:color w:val="000000"/>
                <w:kern w:val="0"/>
                <w:sz w:val="24"/>
              </w:rPr>
              <w:t>：</w:t>
            </w:r>
            <w:r>
              <w:rPr>
                <w:rFonts w:hint="eastAsia" w:ascii="仿宋" w:hAnsi="仿宋" w:eastAsia="仿宋"/>
                <w:color w:val="000000"/>
                <w:kern w:val="0"/>
                <w:sz w:val="24"/>
              </w:rPr>
              <w:t>能够基于金融相关背景知识进行合理分析，运用统计学、计量经济学等工具解决管理、科技、法律、能源、人文等领域的社会相关问题。</w:t>
            </w:r>
          </w:p>
        </w:tc>
        <w:tc>
          <w:tcPr>
            <w:tcW w:w="1844" w:type="pct"/>
            <w:tcBorders>
              <w:top w:val="single" w:color="auto" w:sz="4" w:space="0"/>
              <w:left w:val="nil"/>
              <w:bottom w:val="single" w:color="auto" w:sz="4" w:space="0"/>
              <w:right w:val="single" w:color="auto" w:sz="4" w:space="0"/>
            </w:tcBorders>
            <w:vAlign w:val="center"/>
          </w:tcPr>
          <w:p w14:paraId="4E69E3BF">
            <w:pPr>
              <w:spacing w:line="276" w:lineRule="auto"/>
              <w:rPr>
                <w:rFonts w:hint="eastAsia" w:ascii="仿宋" w:hAnsi="仿宋" w:eastAsia="仿宋"/>
                <w:b/>
                <w:bCs/>
                <w:color w:val="000000"/>
                <w:sz w:val="24"/>
              </w:rPr>
            </w:pPr>
            <w:r>
              <w:rPr>
                <w:rFonts w:hint="eastAsia" w:ascii="仿宋" w:hAnsi="仿宋" w:eastAsia="仿宋"/>
                <w:b/>
                <w:bCs/>
                <w:color w:val="000000"/>
                <w:sz w:val="24"/>
              </w:rPr>
              <w:t>观测点6：</w:t>
            </w:r>
          </w:p>
          <w:p w14:paraId="4F530189">
            <w:pPr>
              <w:spacing w:line="276" w:lineRule="auto"/>
              <w:rPr>
                <w:rFonts w:hint="eastAsia" w:ascii="仿宋" w:hAnsi="仿宋" w:eastAsia="仿宋"/>
                <w:color w:val="000000"/>
                <w:sz w:val="24"/>
              </w:rPr>
            </w:pPr>
            <w:r>
              <w:rPr>
                <w:rFonts w:hint="eastAsia" w:ascii="仿宋" w:hAnsi="仿宋" w:eastAsia="仿宋"/>
                <w:color w:val="000000"/>
                <w:kern w:val="0"/>
                <w:sz w:val="24"/>
              </w:rPr>
              <w:t>能掌握分析和解决金融市场问题的基本方法，并通过所掌握的方法进行实证分析，指出中国金融（各行业：能源、科技等）市场现存的问题并给出建议。</w:t>
            </w:r>
          </w:p>
        </w:tc>
        <w:tc>
          <w:tcPr>
            <w:tcW w:w="930" w:type="pct"/>
            <w:tcBorders>
              <w:top w:val="single" w:color="auto" w:sz="4" w:space="0"/>
              <w:left w:val="nil"/>
              <w:bottom w:val="single" w:color="auto" w:sz="4" w:space="0"/>
              <w:right w:val="single" w:color="auto" w:sz="4" w:space="0"/>
            </w:tcBorders>
            <w:vAlign w:val="center"/>
          </w:tcPr>
          <w:p w14:paraId="3E6EB4DE">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课程目标1，2</w:t>
            </w:r>
          </w:p>
        </w:tc>
        <w:tc>
          <w:tcPr>
            <w:tcW w:w="696" w:type="pct"/>
            <w:tcBorders>
              <w:top w:val="single" w:color="auto" w:sz="4" w:space="0"/>
              <w:left w:val="nil"/>
              <w:bottom w:val="single" w:color="auto" w:sz="4" w:space="0"/>
              <w:right w:val="single" w:color="auto" w:sz="4" w:space="0"/>
            </w:tcBorders>
          </w:tcPr>
          <w:p w14:paraId="381D8928">
            <w:pPr>
              <w:spacing w:line="276" w:lineRule="auto"/>
              <w:rPr>
                <w:rFonts w:hint="eastAsia" w:ascii="仿宋" w:hAnsi="仿宋" w:eastAsia="仿宋"/>
                <w:color w:val="000000"/>
                <w:sz w:val="24"/>
              </w:rPr>
            </w:pPr>
          </w:p>
          <w:p w14:paraId="60239B92">
            <w:pPr>
              <w:numPr>
                <w:ilvl w:val="0"/>
                <w:numId w:val="1"/>
              </w:numPr>
              <w:spacing w:line="276" w:lineRule="auto"/>
              <w:jc w:val="center"/>
              <w:rPr>
                <w:rFonts w:hint="eastAsia" w:ascii="仿宋" w:hAnsi="仿宋" w:eastAsia="仿宋"/>
                <w:color w:val="000000"/>
                <w:sz w:val="24"/>
              </w:rPr>
            </w:pPr>
            <w:r>
              <w:rPr>
                <w:rFonts w:hint="eastAsia" w:ascii="仿宋" w:hAnsi="仿宋" w:eastAsia="仿宋"/>
                <w:color w:val="000000"/>
                <w:sz w:val="24"/>
              </w:rPr>
              <w:t>H</w:t>
            </w:r>
          </w:p>
          <w:p w14:paraId="51141A49">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14:paraId="0B415217">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bl>
    <w:p w14:paraId="57088EA7">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14:paraId="356C1680">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14:paraId="3BB9EE66">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14:paraId="5F8A5A0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46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042"/>
        <w:gridCol w:w="1909"/>
        <w:gridCol w:w="371"/>
        <w:gridCol w:w="1457"/>
        <w:gridCol w:w="973"/>
        <w:gridCol w:w="886"/>
        <w:gridCol w:w="727"/>
      </w:tblGrid>
      <w:tr w14:paraId="5FA9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 w:type="pct"/>
            <w:shd w:val="clear" w:color="auto" w:fill="BEBEBE" w:themeFill="background1" w:themeFillShade="BF"/>
            <w:vAlign w:val="center"/>
          </w:tcPr>
          <w:p w14:paraId="59AC68A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656" w:type="pct"/>
            <w:shd w:val="clear" w:color="auto" w:fill="BEBEBE" w:themeFill="background1" w:themeFillShade="BF"/>
            <w:vAlign w:val="center"/>
          </w:tcPr>
          <w:p w14:paraId="4637ABA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1203" w:type="pct"/>
            <w:shd w:val="clear" w:color="auto" w:fill="BEBEBE" w:themeFill="background1" w:themeFillShade="BF"/>
            <w:vAlign w:val="center"/>
          </w:tcPr>
          <w:p w14:paraId="60C10F7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234" w:type="pct"/>
            <w:shd w:val="clear" w:color="auto" w:fill="BEBEBE" w:themeFill="background1" w:themeFillShade="BF"/>
            <w:vAlign w:val="center"/>
          </w:tcPr>
          <w:p w14:paraId="697B345A">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918" w:type="pct"/>
            <w:shd w:val="clear" w:color="auto" w:fill="BEBEBE" w:themeFill="background1" w:themeFillShade="BF"/>
            <w:vAlign w:val="center"/>
          </w:tcPr>
          <w:p w14:paraId="36943EA8">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14:paraId="70348453">
            <w:pPr>
              <w:suppressAutoHyphens/>
              <w:spacing w:before="156" w:beforeLines="50" w:after="156" w:afterLines="50" w:line="276" w:lineRule="auto"/>
              <w:jc w:val="center"/>
              <w:rPr>
                <w:rFonts w:eastAsia="仿宋"/>
                <w:b/>
                <w:spacing w:val="-3"/>
                <w:sz w:val="24"/>
                <w:lang w:val="en-GB"/>
              </w:rPr>
            </w:pPr>
            <w:r>
              <w:rPr>
                <w:rFonts w:hint="eastAsia" w:eastAsia="仿宋"/>
                <w:b/>
                <w:spacing w:val="-3"/>
                <w:sz w:val="13"/>
                <w:szCs w:val="13"/>
                <w:lang w:val="en-GB"/>
              </w:rPr>
              <w:t>（重点、难点、课程思政元素等）</w:t>
            </w:r>
          </w:p>
        </w:tc>
        <w:tc>
          <w:tcPr>
            <w:tcW w:w="614" w:type="pct"/>
            <w:shd w:val="clear" w:color="auto" w:fill="BEBEBE" w:themeFill="background1" w:themeFillShade="BF"/>
            <w:vAlign w:val="center"/>
          </w:tcPr>
          <w:p w14:paraId="29C5676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559" w:type="pct"/>
            <w:shd w:val="clear" w:color="auto" w:fill="BEBEBE" w:themeFill="background1" w:themeFillShade="BF"/>
            <w:vAlign w:val="center"/>
          </w:tcPr>
          <w:p w14:paraId="151DA36E">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459" w:type="pct"/>
            <w:shd w:val="clear" w:color="auto" w:fill="BEBEBE" w:themeFill="background1" w:themeFillShade="BF"/>
            <w:vAlign w:val="center"/>
          </w:tcPr>
          <w:p w14:paraId="2D137CD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19469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7" w:hRule="atLeast"/>
          <w:jc w:val="center"/>
        </w:trPr>
        <w:tc>
          <w:tcPr>
            <w:tcW w:w="353" w:type="pct"/>
            <w:shd w:val="clear" w:color="auto" w:fill="auto"/>
            <w:vAlign w:val="center"/>
          </w:tcPr>
          <w:p w14:paraId="767E581E">
            <w:pPr>
              <w:rPr>
                <w:rFonts w:hint="eastAsia" w:ascii="仿宋" w:hAnsi="仿宋" w:eastAsia="仿宋"/>
                <w:sz w:val="24"/>
                <w:lang w:val="en-GB"/>
              </w:rPr>
            </w:pPr>
            <w:r>
              <w:rPr>
                <w:rFonts w:hint="eastAsia" w:ascii="仿宋" w:hAnsi="仿宋" w:eastAsia="仿宋"/>
                <w:sz w:val="24"/>
                <w:lang w:val="en-GB"/>
              </w:rPr>
              <w:t>1</w:t>
            </w:r>
          </w:p>
        </w:tc>
        <w:tc>
          <w:tcPr>
            <w:tcW w:w="656" w:type="pct"/>
            <w:shd w:val="clear" w:color="auto" w:fill="auto"/>
            <w:vAlign w:val="center"/>
          </w:tcPr>
          <w:p w14:paraId="6807686A">
            <w:pPr>
              <w:rPr>
                <w:rFonts w:hint="eastAsia" w:ascii="仿宋" w:hAnsi="仿宋" w:eastAsia="仿宋"/>
                <w:sz w:val="24"/>
                <w:lang w:val="zh-CN"/>
              </w:rPr>
            </w:pPr>
            <w:r>
              <w:rPr>
                <w:rFonts w:hint="eastAsia" w:ascii="仿宋" w:hAnsi="仿宋" w:eastAsia="仿宋"/>
                <w:sz w:val="24"/>
                <w:lang w:val="zh-CN"/>
              </w:rPr>
              <w:t>第一章</w:t>
            </w:r>
          </w:p>
          <w:p w14:paraId="7F3D8B89">
            <w:pPr>
              <w:rPr>
                <w:rFonts w:eastAsia="仿宋"/>
                <w:b/>
                <w:spacing w:val="-3"/>
                <w:sz w:val="24"/>
                <w:lang w:val="en-GB"/>
              </w:rPr>
            </w:pPr>
            <w:r>
              <w:rPr>
                <w:rFonts w:hint="eastAsia" w:ascii="仿宋" w:hAnsi="仿宋" w:eastAsia="仿宋"/>
                <w:sz w:val="24"/>
              </w:rPr>
              <w:t>金融市场概论</w:t>
            </w:r>
          </w:p>
        </w:tc>
        <w:tc>
          <w:tcPr>
            <w:tcW w:w="1203" w:type="pct"/>
            <w:shd w:val="clear" w:color="auto" w:fill="auto"/>
            <w:vAlign w:val="center"/>
          </w:tcPr>
          <w:p w14:paraId="771F0F96">
            <w:pPr>
              <w:numPr>
                <w:ilvl w:val="1"/>
                <w:numId w:val="4"/>
              </w:numPr>
              <w:rPr>
                <w:rFonts w:hint="eastAsia" w:ascii="仿宋" w:hAnsi="仿宋" w:eastAsia="仿宋"/>
                <w:sz w:val="24"/>
              </w:rPr>
            </w:pPr>
            <w:r>
              <w:rPr>
                <w:rFonts w:hint="eastAsia" w:ascii="仿宋" w:hAnsi="仿宋" w:eastAsia="仿宋"/>
                <w:sz w:val="24"/>
              </w:rPr>
              <w:t>金融市场</w:t>
            </w:r>
          </w:p>
          <w:p w14:paraId="7DA5E167">
            <w:pPr>
              <w:numPr>
                <w:ilvl w:val="1"/>
                <w:numId w:val="4"/>
              </w:numPr>
              <w:rPr>
                <w:rFonts w:hint="eastAsia" w:ascii="仿宋" w:hAnsi="仿宋" w:eastAsia="仿宋"/>
                <w:sz w:val="24"/>
              </w:rPr>
            </w:pPr>
            <w:r>
              <w:rPr>
                <w:rFonts w:hint="eastAsia" w:ascii="仿宋" w:hAnsi="仿宋" w:eastAsia="仿宋"/>
                <w:sz w:val="24"/>
              </w:rPr>
              <w:t>金融工具</w:t>
            </w:r>
          </w:p>
          <w:p w14:paraId="5FC52C9E">
            <w:pPr>
              <w:rPr>
                <w:rFonts w:hint="eastAsia" w:ascii="仿宋" w:hAnsi="仿宋" w:eastAsia="仿宋"/>
                <w:sz w:val="24"/>
              </w:rPr>
            </w:pPr>
            <w:r>
              <w:rPr>
                <w:rFonts w:hint="eastAsia" w:ascii="仿宋" w:hAnsi="仿宋" w:eastAsia="仿宋"/>
                <w:sz w:val="24"/>
              </w:rPr>
              <w:t>1.3金融市场的类型</w:t>
            </w:r>
          </w:p>
          <w:p w14:paraId="2A4DA183">
            <w:pPr>
              <w:rPr>
                <w:rFonts w:hint="eastAsia" w:ascii="仿宋" w:hAnsi="仿宋" w:eastAsia="仿宋"/>
                <w:sz w:val="24"/>
              </w:rPr>
            </w:pPr>
            <w:r>
              <w:rPr>
                <w:rFonts w:ascii="仿宋" w:hAnsi="仿宋" w:eastAsia="仿宋"/>
                <w:sz w:val="24"/>
                <w:lang w:val="zh-CN"/>
              </w:rPr>
              <w:t>1.</w:t>
            </w:r>
            <w:r>
              <w:rPr>
                <w:rFonts w:hint="eastAsia" w:ascii="仿宋" w:hAnsi="仿宋" w:eastAsia="仿宋"/>
                <w:sz w:val="24"/>
              </w:rPr>
              <w:t>4我国金融市场概况</w:t>
            </w:r>
          </w:p>
          <w:p w14:paraId="7F39D895">
            <w:pPr>
              <w:rPr>
                <w:rFonts w:eastAsia="仿宋"/>
                <w:b/>
                <w:spacing w:val="-3"/>
                <w:sz w:val="24"/>
                <w:lang w:val="en-GB"/>
              </w:rPr>
            </w:pPr>
            <w:r>
              <w:rPr>
                <w:rFonts w:hint="eastAsia" w:ascii="仿宋" w:hAnsi="仿宋" w:eastAsia="仿宋"/>
                <w:sz w:val="24"/>
              </w:rPr>
              <w:t>1.5金融市场中的金融机构</w:t>
            </w:r>
          </w:p>
        </w:tc>
        <w:tc>
          <w:tcPr>
            <w:tcW w:w="234" w:type="pct"/>
            <w:vAlign w:val="center"/>
          </w:tcPr>
          <w:p w14:paraId="6936BC98">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3</w:t>
            </w:r>
          </w:p>
        </w:tc>
        <w:tc>
          <w:tcPr>
            <w:tcW w:w="918" w:type="pct"/>
            <w:vAlign w:val="center"/>
          </w:tcPr>
          <w:p w14:paraId="73EE05C8">
            <w:pPr>
              <w:rPr>
                <w:rFonts w:hint="eastAsia" w:ascii="仿宋" w:hAnsi="仿宋" w:eastAsia="仿宋"/>
                <w:sz w:val="24"/>
              </w:rPr>
            </w:pPr>
            <w:r>
              <w:rPr>
                <w:rFonts w:hint="eastAsia" w:ascii="仿宋" w:hAnsi="仿宋" w:eastAsia="仿宋"/>
                <w:b/>
                <w:bCs/>
                <w:sz w:val="24"/>
              </w:rPr>
              <w:t>重点：</w:t>
            </w:r>
            <w:r>
              <w:rPr>
                <w:rFonts w:hint="eastAsia" w:ascii="仿宋" w:hAnsi="仿宋" w:eastAsia="仿宋"/>
                <w:sz w:val="24"/>
              </w:rPr>
              <w:t>金融市场和金融工具的概念、金融市场的主要类型</w:t>
            </w:r>
          </w:p>
          <w:p w14:paraId="0D60BF72">
            <w:pPr>
              <w:rPr>
                <w:rFonts w:eastAsia="仿宋"/>
                <w:b/>
                <w:spacing w:val="-3"/>
                <w:sz w:val="24"/>
              </w:rPr>
            </w:pPr>
            <w:r>
              <w:rPr>
                <w:rFonts w:hint="eastAsia" w:ascii="仿宋" w:hAnsi="仿宋" w:eastAsia="仿宋"/>
                <w:b/>
                <w:bCs/>
                <w:sz w:val="24"/>
              </w:rPr>
              <w:t>课程思政：</w:t>
            </w:r>
            <w:r>
              <w:rPr>
                <w:rFonts w:hint="eastAsia" w:ascii="仿宋" w:hAnsi="仿宋" w:eastAsia="仿宋"/>
                <w:sz w:val="24"/>
              </w:rPr>
              <w:t>树立文化自信;明确金融机构应杜绝勾连、防范道德风险，敬畏金融规则与制度;在“一带一路”倡议背景下讲述成立亚投行(AIIB)这一金融机构的重大意义。</w:t>
            </w:r>
          </w:p>
        </w:tc>
        <w:tc>
          <w:tcPr>
            <w:tcW w:w="614" w:type="pct"/>
          </w:tcPr>
          <w:p w14:paraId="539D4092">
            <w:pPr>
              <w:suppressAutoHyphens/>
              <w:spacing w:before="156" w:beforeLines="50" w:after="156" w:afterLines="50" w:line="276" w:lineRule="auto"/>
              <w:jc w:val="center"/>
              <w:rPr>
                <w:rFonts w:eastAsia="仿宋"/>
                <w:b/>
                <w:spacing w:val="-3"/>
                <w:sz w:val="24"/>
              </w:rPr>
            </w:pPr>
          </w:p>
          <w:p w14:paraId="52C2F7CE">
            <w:pPr>
              <w:suppressAutoHyphens/>
              <w:spacing w:before="156" w:beforeLines="50" w:after="156" w:afterLines="50" w:line="276" w:lineRule="auto"/>
              <w:jc w:val="center"/>
              <w:rPr>
                <w:rFonts w:eastAsia="仿宋"/>
                <w:b/>
                <w:spacing w:val="-3"/>
                <w:sz w:val="24"/>
              </w:rPr>
            </w:pPr>
          </w:p>
          <w:p w14:paraId="1CA980B7">
            <w:pPr>
              <w:suppressAutoHyphens/>
              <w:spacing w:before="156" w:beforeLines="50" w:after="156" w:afterLines="50" w:line="276" w:lineRule="auto"/>
              <w:jc w:val="center"/>
              <w:rPr>
                <w:rFonts w:eastAsia="仿宋"/>
                <w:b/>
                <w:spacing w:val="-3"/>
                <w:sz w:val="24"/>
              </w:rPr>
            </w:pPr>
          </w:p>
          <w:p w14:paraId="2DBBAF05">
            <w:pPr>
              <w:suppressAutoHyphens/>
              <w:spacing w:before="156" w:beforeLines="50" w:after="156" w:afterLines="50" w:line="276" w:lineRule="auto"/>
              <w:jc w:val="center"/>
              <w:rPr>
                <w:rFonts w:eastAsia="仿宋"/>
                <w:b/>
                <w:spacing w:val="-3"/>
                <w:sz w:val="24"/>
              </w:rPr>
            </w:pPr>
          </w:p>
          <w:p w14:paraId="143611AF">
            <w:pPr>
              <w:suppressAutoHyphens/>
              <w:spacing w:before="156" w:beforeLines="50" w:after="156" w:afterLines="50" w:line="276" w:lineRule="auto"/>
              <w:jc w:val="center"/>
              <w:rPr>
                <w:rFonts w:eastAsia="仿宋"/>
                <w:b/>
                <w:spacing w:val="-3"/>
                <w:sz w:val="24"/>
              </w:rPr>
            </w:pPr>
            <w:r>
              <w:rPr>
                <w:rFonts w:hint="eastAsia" w:ascii="仿宋" w:hAnsi="仿宋" w:eastAsia="仿宋"/>
                <w:sz w:val="24"/>
              </w:rPr>
              <w:t>讲授法</w:t>
            </w:r>
          </w:p>
        </w:tc>
        <w:tc>
          <w:tcPr>
            <w:tcW w:w="559" w:type="pct"/>
            <w:vAlign w:val="center"/>
          </w:tcPr>
          <w:p w14:paraId="79512942">
            <w:pPr>
              <w:suppressAutoHyphens/>
              <w:spacing w:before="156" w:beforeLines="50" w:after="156" w:afterLines="50" w:line="276" w:lineRule="auto"/>
              <w:jc w:val="center"/>
              <w:rPr>
                <w:rFonts w:eastAsia="仿宋"/>
                <w:b/>
                <w:spacing w:val="-3"/>
                <w:sz w:val="24"/>
              </w:rPr>
            </w:pPr>
            <w:r>
              <w:rPr>
                <w:rFonts w:hint="eastAsia" w:ascii="仿宋" w:hAnsi="仿宋" w:eastAsia="仿宋"/>
                <w:sz w:val="24"/>
              </w:rPr>
              <w:t>课后作业、随堂测验闭卷考试</w:t>
            </w:r>
          </w:p>
        </w:tc>
        <w:tc>
          <w:tcPr>
            <w:tcW w:w="459" w:type="pct"/>
            <w:vAlign w:val="center"/>
          </w:tcPr>
          <w:p w14:paraId="39A8BC24">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1,3</w:t>
            </w:r>
          </w:p>
        </w:tc>
      </w:tr>
      <w:tr w14:paraId="69A9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353" w:type="pct"/>
            <w:shd w:val="clear" w:color="auto" w:fill="auto"/>
            <w:vAlign w:val="center"/>
          </w:tcPr>
          <w:p w14:paraId="435A5EE3">
            <w:pPr>
              <w:rPr>
                <w:rFonts w:hint="eastAsia" w:ascii="仿宋" w:hAnsi="仿宋" w:eastAsia="仿宋"/>
                <w:sz w:val="24"/>
                <w:lang w:val="en-GB"/>
              </w:rPr>
            </w:pPr>
            <w:r>
              <w:rPr>
                <w:rFonts w:hint="eastAsia" w:ascii="仿宋" w:hAnsi="仿宋" w:eastAsia="仿宋"/>
                <w:sz w:val="24"/>
                <w:lang w:val="en-GB"/>
              </w:rPr>
              <w:t>2</w:t>
            </w:r>
          </w:p>
        </w:tc>
        <w:tc>
          <w:tcPr>
            <w:tcW w:w="656" w:type="pct"/>
            <w:shd w:val="clear" w:color="auto" w:fill="auto"/>
            <w:vAlign w:val="center"/>
          </w:tcPr>
          <w:p w14:paraId="7CF7001B">
            <w:pPr>
              <w:rPr>
                <w:rFonts w:eastAsia="仿宋"/>
                <w:b/>
                <w:spacing w:val="-3"/>
                <w:sz w:val="24"/>
                <w:lang w:val="en-GB"/>
              </w:rPr>
            </w:pPr>
            <w:r>
              <w:rPr>
                <w:rFonts w:hint="eastAsia" w:ascii="仿宋" w:hAnsi="仿宋" w:eastAsia="仿宋"/>
                <w:sz w:val="24"/>
              </w:rPr>
              <w:t xml:space="preserve">第二章 利率的决定 </w:t>
            </w:r>
          </w:p>
        </w:tc>
        <w:tc>
          <w:tcPr>
            <w:tcW w:w="1203" w:type="pct"/>
            <w:shd w:val="clear" w:color="auto" w:fill="auto"/>
            <w:vAlign w:val="center"/>
          </w:tcPr>
          <w:p w14:paraId="2ACBFD40">
            <w:pPr>
              <w:rPr>
                <w:rFonts w:hint="eastAsia" w:ascii="仿宋" w:hAnsi="仿宋" w:eastAsia="仿宋"/>
                <w:sz w:val="24"/>
              </w:rPr>
            </w:pPr>
            <w:r>
              <w:rPr>
                <w:rFonts w:hint="eastAsia" w:ascii="仿宋" w:hAnsi="仿宋" w:eastAsia="仿宋"/>
                <w:sz w:val="24"/>
              </w:rPr>
              <w:t>2.1利率概述</w:t>
            </w:r>
          </w:p>
          <w:p w14:paraId="6EBF5A63">
            <w:pPr>
              <w:rPr>
                <w:rFonts w:hint="eastAsia" w:ascii="仿宋" w:hAnsi="仿宋" w:eastAsia="仿宋"/>
                <w:sz w:val="24"/>
              </w:rPr>
            </w:pPr>
            <w:r>
              <w:rPr>
                <w:rFonts w:hint="eastAsia" w:ascii="仿宋" w:hAnsi="仿宋" w:eastAsia="仿宋"/>
                <w:sz w:val="24"/>
              </w:rPr>
              <w:t>2.2利率水平的决定</w:t>
            </w:r>
          </w:p>
          <w:p w14:paraId="3DFB7583">
            <w:pPr>
              <w:rPr>
                <w:rFonts w:eastAsia="仿宋"/>
                <w:b/>
                <w:spacing w:val="-3"/>
                <w:sz w:val="24"/>
                <w:lang w:val="en-GB"/>
              </w:rPr>
            </w:pPr>
            <w:r>
              <w:rPr>
                <w:rFonts w:hint="eastAsia" w:ascii="仿宋" w:hAnsi="仿宋" w:eastAsia="仿宋"/>
                <w:sz w:val="24"/>
              </w:rPr>
              <w:t>2.3影响利率的经济因素</w:t>
            </w:r>
          </w:p>
        </w:tc>
        <w:tc>
          <w:tcPr>
            <w:tcW w:w="234" w:type="pct"/>
            <w:vAlign w:val="center"/>
          </w:tcPr>
          <w:p w14:paraId="72D7EBA4">
            <w:pPr>
              <w:suppressAutoHyphens/>
              <w:spacing w:before="156" w:beforeLines="50" w:after="156" w:afterLines="50" w:line="276" w:lineRule="auto"/>
              <w:jc w:val="center"/>
              <w:rPr>
                <w:rFonts w:eastAsia="仿宋"/>
                <w:b/>
                <w:spacing w:val="-3"/>
                <w:sz w:val="24"/>
              </w:rPr>
            </w:pPr>
            <w:r>
              <w:rPr>
                <w:rFonts w:hint="eastAsia" w:ascii="仿宋" w:hAnsi="仿宋" w:eastAsia="仿宋"/>
                <w:sz w:val="24"/>
              </w:rPr>
              <w:t>4</w:t>
            </w:r>
          </w:p>
        </w:tc>
        <w:tc>
          <w:tcPr>
            <w:tcW w:w="918" w:type="pct"/>
            <w:vAlign w:val="center"/>
          </w:tcPr>
          <w:p w14:paraId="6077F69A">
            <w:pPr>
              <w:rPr>
                <w:rFonts w:hint="eastAsia" w:ascii="仿宋" w:hAnsi="仿宋" w:eastAsia="仿宋"/>
                <w:sz w:val="24"/>
              </w:rPr>
            </w:pPr>
            <w:r>
              <w:rPr>
                <w:rFonts w:hint="eastAsia" w:ascii="仿宋" w:hAnsi="仿宋" w:eastAsia="仿宋"/>
                <w:b/>
                <w:bCs/>
                <w:sz w:val="24"/>
              </w:rPr>
              <w:t>重点：</w:t>
            </w:r>
            <w:r>
              <w:rPr>
                <w:rFonts w:hint="eastAsia" w:ascii="仿宋" w:hAnsi="仿宋" w:eastAsia="仿宋"/>
                <w:sz w:val="24"/>
              </w:rPr>
              <w:t>利率的含义和主要类型、利率水平的决定理论</w:t>
            </w:r>
          </w:p>
          <w:p w14:paraId="753C4DE1">
            <w:pPr>
              <w:rPr>
                <w:rFonts w:hint="eastAsia" w:ascii="仿宋" w:hAnsi="仿宋" w:eastAsia="仿宋"/>
                <w:sz w:val="24"/>
              </w:rPr>
            </w:pPr>
            <w:r>
              <w:rPr>
                <w:rFonts w:hint="eastAsia" w:ascii="仿宋" w:hAnsi="仿宋" w:eastAsia="仿宋"/>
                <w:b/>
                <w:bCs/>
                <w:sz w:val="24"/>
              </w:rPr>
              <w:t>难点：</w:t>
            </w:r>
            <w:r>
              <w:rPr>
                <w:rFonts w:hint="eastAsia" w:ascii="仿宋" w:hAnsi="仿宋" w:eastAsia="仿宋"/>
                <w:sz w:val="24"/>
              </w:rPr>
              <w:t>可贷资金理论推导</w:t>
            </w:r>
          </w:p>
          <w:p w14:paraId="2584AC12">
            <w:pPr>
              <w:rPr>
                <w:rFonts w:hint="eastAsia" w:ascii="仿宋" w:hAnsi="仿宋" w:eastAsia="仿宋"/>
                <w:sz w:val="24"/>
              </w:rPr>
            </w:pPr>
            <w:r>
              <w:rPr>
                <w:rFonts w:hint="eastAsia" w:ascii="仿宋" w:hAnsi="仿宋" w:eastAsia="仿宋"/>
                <w:b/>
                <w:bCs/>
                <w:sz w:val="24"/>
              </w:rPr>
              <w:t>课程思政：</w:t>
            </w:r>
            <w:r>
              <w:rPr>
                <w:rFonts w:hint="eastAsia" w:ascii="仿宋" w:hAnsi="仿宋" w:eastAsia="仿宋"/>
                <w:sz w:val="24"/>
              </w:rPr>
              <w:t>通过“法国拿破仑玫瑰事件”，提醒学生谨慎看待网贷防范金融诈骗</w:t>
            </w:r>
          </w:p>
        </w:tc>
        <w:tc>
          <w:tcPr>
            <w:tcW w:w="614" w:type="pct"/>
          </w:tcPr>
          <w:p w14:paraId="6DCA07C7">
            <w:pPr>
              <w:suppressAutoHyphens/>
              <w:spacing w:before="156" w:beforeLines="50" w:after="156" w:afterLines="50" w:line="276" w:lineRule="auto"/>
              <w:rPr>
                <w:rFonts w:eastAsia="仿宋"/>
                <w:b/>
                <w:spacing w:val="-3"/>
                <w:sz w:val="24"/>
              </w:rPr>
            </w:pPr>
          </w:p>
          <w:p w14:paraId="7A9943F1">
            <w:pPr>
              <w:suppressAutoHyphens/>
              <w:spacing w:before="156" w:beforeLines="50" w:after="156" w:afterLines="50" w:line="276" w:lineRule="auto"/>
              <w:jc w:val="center"/>
              <w:rPr>
                <w:rFonts w:eastAsia="仿宋"/>
                <w:b/>
                <w:spacing w:val="-3"/>
                <w:sz w:val="24"/>
              </w:rPr>
            </w:pPr>
          </w:p>
          <w:p w14:paraId="64D06F0E">
            <w:pPr>
              <w:suppressAutoHyphens/>
              <w:spacing w:before="156" w:beforeLines="50" w:after="156" w:afterLines="50" w:line="276" w:lineRule="auto"/>
              <w:jc w:val="center"/>
              <w:rPr>
                <w:rFonts w:eastAsia="仿宋"/>
                <w:b/>
                <w:spacing w:val="-3"/>
                <w:sz w:val="24"/>
              </w:rPr>
            </w:pPr>
          </w:p>
          <w:p w14:paraId="2B416BB1">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讲授法</w:t>
            </w:r>
          </w:p>
        </w:tc>
        <w:tc>
          <w:tcPr>
            <w:tcW w:w="559" w:type="pct"/>
            <w:vAlign w:val="center"/>
          </w:tcPr>
          <w:p w14:paraId="07CD2598">
            <w:pPr>
              <w:suppressAutoHyphens/>
              <w:spacing w:before="156" w:beforeLines="50" w:after="156" w:afterLines="50" w:line="276" w:lineRule="auto"/>
              <w:jc w:val="center"/>
              <w:rPr>
                <w:rFonts w:eastAsia="仿宋"/>
                <w:b/>
                <w:spacing w:val="-3"/>
                <w:sz w:val="24"/>
              </w:rPr>
            </w:pPr>
            <w:r>
              <w:rPr>
                <w:rFonts w:hint="eastAsia" w:ascii="仿宋" w:hAnsi="仿宋" w:eastAsia="仿宋"/>
                <w:sz w:val="24"/>
              </w:rPr>
              <w:t>课后作业、随堂测验闭卷考试</w:t>
            </w:r>
          </w:p>
        </w:tc>
        <w:tc>
          <w:tcPr>
            <w:tcW w:w="459" w:type="pct"/>
            <w:vAlign w:val="center"/>
          </w:tcPr>
          <w:p w14:paraId="6427E5D9">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1，3</w:t>
            </w:r>
          </w:p>
        </w:tc>
      </w:tr>
      <w:tr w14:paraId="5917A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shd w:val="clear" w:color="auto" w:fill="auto"/>
            <w:vAlign w:val="center"/>
          </w:tcPr>
          <w:p w14:paraId="2C88C229">
            <w:pPr>
              <w:rPr>
                <w:rFonts w:hint="eastAsia" w:ascii="仿宋" w:hAnsi="仿宋" w:eastAsia="仿宋"/>
                <w:sz w:val="24"/>
                <w:lang w:val="en-GB"/>
              </w:rPr>
            </w:pPr>
            <w:r>
              <w:rPr>
                <w:rFonts w:hint="eastAsia" w:ascii="仿宋" w:hAnsi="仿宋" w:eastAsia="仿宋"/>
                <w:sz w:val="24"/>
                <w:lang w:val="en-GB"/>
              </w:rPr>
              <w:t>3</w:t>
            </w:r>
          </w:p>
        </w:tc>
        <w:tc>
          <w:tcPr>
            <w:tcW w:w="656" w:type="pct"/>
            <w:shd w:val="clear" w:color="auto" w:fill="auto"/>
            <w:vAlign w:val="center"/>
          </w:tcPr>
          <w:p w14:paraId="158D7644">
            <w:pPr>
              <w:rPr>
                <w:rFonts w:eastAsia="仿宋"/>
                <w:b/>
                <w:spacing w:val="-3"/>
                <w:sz w:val="24"/>
                <w:lang w:val="en-GB"/>
              </w:rPr>
            </w:pPr>
            <w:r>
              <w:rPr>
                <w:rFonts w:hint="eastAsia" w:ascii="仿宋" w:hAnsi="仿宋" w:eastAsia="仿宋"/>
                <w:sz w:val="24"/>
              </w:rPr>
              <w:t>第三章 利率结构</w:t>
            </w:r>
          </w:p>
        </w:tc>
        <w:tc>
          <w:tcPr>
            <w:tcW w:w="1203" w:type="pct"/>
            <w:shd w:val="clear" w:color="auto" w:fill="auto"/>
            <w:vAlign w:val="center"/>
          </w:tcPr>
          <w:p w14:paraId="6EFEBA3C">
            <w:pPr>
              <w:rPr>
                <w:rFonts w:hint="eastAsia" w:ascii="仿宋" w:hAnsi="仿宋" w:eastAsia="仿宋"/>
                <w:sz w:val="24"/>
              </w:rPr>
            </w:pPr>
            <w:r>
              <w:rPr>
                <w:rFonts w:hint="eastAsia" w:ascii="仿宋" w:hAnsi="仿宋" w:eastAsia="仿宋"/>
                <w:sz w:val="24"/>
              </w:rPr>
              <w:t>3.1影响债务证券收益率的主要因素</w:t>
            </w:r>
          </w:p>
          <w:p w14:paraId="3D3B7E18">
            <w:pPr>
              <w:rPr>
                <w:rFonts w:hint="eastAsia" w:ascii="仿宋" w:hAnsi="仿宋" w:eastAsia="仿宋"/>
                <w:sz w:val="24"/>
              </w:rPr>
            </w:pPr>
            <w:r>
              <w:rPr>
                <w:rFonts w:hint="eastAsia" w:ascii="仿宋" w:hAnsi="仿宋" w:eastAsia="仿宋"/>
                <w:sz w:val="24"/>
              </w:rPr>
              <w:t>3.2</w:t>
            </w:r>
            <w:r>
              <w:rPr>
                <w:rFonts w:ascii="仿宋" w:hAnsi="仿宋" w:eastAsia="仿宋"/>
                <w:sz w:val="24"/>
              </w:rPr>
              <w:t>债务证券收益率的估算</w:t>
            </w:r>
          </w:p>
          <w:p w14:paraId="2E612095">
            <w:pPr>
              <w:rPr>
                <w:rFonts w:eastAsia="仿宋"/>
                <w:b/>
                <w:spacing w:val="-3"/>
                <w:sz w:val="24"/>
                <w:lang w:val="en-GB"/>
              </w:rPr>
            </w:pPr>
            <w:r>
              <w:rPr>
                <w:rFonts w:hint="eastAsia" w:ascii="仿宋" w:hAnsi="仿宋" w:eastAsia="仿宋"/>
                <w:sz w:val="24"/>
              </w:rPr>
              <w:t>3.3利率期限结构</w:t>
            </w:r>
          </w:p>
        </w:tc>
        <w:tc>
          <w:tcPr>
            <w:tcW w:w="234" w:type="pct"/>
            <w:vAlign w:val="center"/>
          </w:tcPr>
          <w:p w14:paraId="5F2BC101">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4</w:t>
            </w:r>
          </w:p>
        </w:tc>
        <w:tc>
          <w:tcPr>
            <w:tcW w:w="918" w:type="pct"/>
            <w:vAlign w:val="center"/>
          </w:tcPr>
          <w:p w14:paraId="2C982B24">
            <w:pPr>
              <w:rPr>
                <w:rFonts w:hint="eastAsia" w:ascii="仿宋" w:hAnsi="仿宋" w:eastAsia="仿宋"/>
                <w:sz w:val="24"/>
              </w:rPr>
            </w:pPr>
            <w:r>
              <w:rPr>
                <w:rFonts w:hint="eastAsia" w:ascii="仿宋" w:hAnsi="仿宋" w:eastAsia="仿宋"/>
                <w:b/>
                <w:bCs/>
                <w:sz w:val="24"/>
              </w:rPr>
              <w:t>重点：</w:t>
            </w:r>
            <w:r>
              <w:rPr>
                <w:rFonts w:hint="eastAsia" w:ascii="仿宋" w:hAnsi="仿宋" w:eastAsia="仿宋"/>
                <w:sz w:val="24"/>
              </w:rPr>
              <w:t>利率期限结构的含义及其假说</w:t>
            </w:r>
          </w:p>
          <w:p w14:paraId="64BBCD82">
            <w:pPr>
              <w:suppressAutoHyphens/>
              <w:spacing w:before="156" w:beforeLines="50" w:after="156" w:afterLines="50"/>
              <w:jc w:val="left"/>
              <w:rPr>
                <w:rFonts w:eastAsia="仿宋"/>
                <w:b/>
                <w:spacing w:val="-3"/>
                <w:sz w:val="24"/>
                <w:lang w:val="en-GB"/>
              </w:rPr>
            </w:pPr>
            <w:r>
              <w:rPr>
                <w:rFonts w:hint="eastAsia" w:ascii="仿宋" w:hAnsi="仿宋" w:eastAsia="仿宋"/>
                <w:b/>
                <w:bCs/>
                <w:sz w:val="24"/>
              </w:rPr>
              <w:t>难点：</w:t>
            </w:r>
            <w:r>
              <w:rPr>
                <w:rFonts w:hint="eastAsia" w:ascii="仿宋" w:hAnsi="仿宋" w:eastAsia="仿宋"/>
                <w:sz w:val="24"/>
              </w:rPr>
              <w:t>利率期限结构理论及其应用</w:t>
            </w:r>
          </w:p>
        </w:tc>
        <w:tc>
          <w:tcPr>
            <w:tcW w:w="614" w:type="pct"/>
          </w:tcPr>
          <w:p w14:paraId="13C7CE5E">
            <w:pPr>
              <w:suppressAutoHyphens/>
              <w:spacing w:before="156" w:beforeLines="50" w:after="156" w:afterLines="50" w:line="276" w:lineRule="auto"/>
              <w:rPr>
                <w:rFonts w:eastAsia="仿宋"/>
                <w:b/>
                <w:spacing w:val="-3"/>
                <w:sz w:val="24"/>
              </w:rPr>
            </w:pPr>
          </w:p>
          <w:p w14:paraId="7344B354">
            <w:pPr>
              <w:suppressAutoHyphens/>
              <w:spacing w:before="156" w:beforeLines="50" w:after="156" w:afterLines="50" w:line="276" w:lineRule="auto"/>
              <w:rPr>
                <w:rFonts w:eastAsia="仿宋"/>
                <w:b/>
                <w:spacing w:val="-3"/>
                <w:sz w:val="24"/>
              </w:rPr>
            </w:pPr>
          </w:p>
          <w:p w14:paraId="2DA08CC9">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讲授法</w:t>
            </w:r>
          </w:p>
        </w:tc>
        <w:tc>
          <w:tcPr>
            <w:tcW w:w="559" w:type="pct"/>
            <w:vAlign w:val="center"/>
          </w:tcPr>
          <w:p w14:paraId="0345CAD2">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课后作业、随堂测验闭卷考试</w:t>
            </w:r>
          </w:p>
        </w:tc>
        <w:tc>
          <w:tcPr>
            <w:tcW w:w="459" w:type="pct"/>
            <w:vAlign w:val="center"/>
          </w:tcPr>
          <w:p w14:paraId="27829EED">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3</w:t>
            </w:r>
          </w:p>
        </w:tc>
      </w:tr>
      <w:tr w14:paraId="3B2BC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jc w:val="center"/>
        </w:trPr>
        <w:tc>
          <w:tcPr>
            <w:tcW w:w="353" w:type="pct"/>
            <w:shd w:val="clear" w:color="auto" w:fill="auto"/>
            <w:vAlign w:val="center"/>
          </w:tcPr>
          <w:p w14:paraId="7C385FBA">
            <w:pPr>
              <w:rPr>
                <w:rFonts w:hint="eastAsia" w:ascii="仿宋" w:hAnsi="仿宋" w:eastAsia="仿宋"/>
                <w:sz w:val="24"/>
              </w:rPr>
            </w:pPr>
            <w:r>
              <w:rPr>
                <w:rFonts w:hint="eastAsia" w:ascii="仿宋" w:hAnsi="仿宋" w:eastAsia="仿宋"/>
                <w:sz w:val="24"/>
              </w:rPr>
              <w:t>4</w:t>
            </w:r>
          </w:p>
        </w:tc>
        <w:tc>
          <w:tcPr>
            <w:tcW w:w="656" w:type="pct"/>
            <w:shd w:val="clear" w:color="auto" w:fill="auto"/>
            <w:vAlign w:val="center"/>
          </w:tcPr>
          <w:p w14:paraId="19BD5729">
            <w:pPr>
              <w:rPr>
                <w:rFonts w:eastAsia="仿宋"/>
                <w:b/>
                <w:spacing w:val="-3"/>
                <w:sz w:val="24"/>
                <w:lang w:val="en-GB"/>
              </w:rPr>
            </w:pPr>
            <w:r>
              <w:rPr>
                <w:rFonts w:hint="eastAsia" w:ascii="仿宋" w:hAnsi="仿宋" w:eastAsia="仿宋"/>
                <w:sz w:val="24"/>
              </w:rPr>
              <w:t>第四章 货币市场</w:t>
            </w:r>
          </w:p>
        </w:tc>
        <w:tc>
          <w:tcPr>
            <w:tcW w:w="1203" w:type="pct"/>
            <w:shd w:val="clear" w:color="auto" w:fill="auto"/>
            <w:vAlign w:val="center"/>
          </w:tcPr>
          <w:p w14:paraId="0FC58BA6">
            <w:pPr>
              <w:rPr>
                <w:rFonts w:hint="eastAsia" w:ascii="仿宋" w:hAnsi="仿宋" w:eastAsia="仿宋"/>
                <w:sz w:val="24"/>
              </w:rPr>
            </w:pPr>
            <w:r>
              <w:rPr>
                <w:rFonts w:hint="eastAsia" w:ascii="仿宋" w:hAnsi="仿宋" w:eastAsia="仿宋"/>
                <w:sz w:val="24"/>
              </w:rPr>
              <w:t>4.1 货币市场概述</w:t>
            </w:r>
          </w:p>
          <w:p w14:paraId="288B2B49">
            <w:pPr>
              <w:rPr>
                <w:rFonts w:hint="eastAsia" w:ascii="仿宋" w:hAnsi="仿宋" w:eastAsia="仿宋"/>
                <w:sz w:val="24"/>
              </w:rPr>
            </w:pPr>
            <w:r>
              <w:rPr>
                <w:rFonts w:hint="eastAsia" w:ascii="仿宋" w:hAnsi="仿宋" w:eastAsia="仿宋"/>
                <w:sz w:val="24"/>
              </w:rPr>
              <w:t>4.2短期债券市场</w:t>
            </w:r>
          </w:p>
          <w:p w14:paraId="7E084A09">
            <w:pPr>
              <w:rPr>
                <w:rFonts w:hint="eastAsia" w:ascii="仿宋" w:hAnsi="仿宋" w:eastAsia="仿宋"/>
                <w:sz w:val="24"/>
              </w:rPr>
            </w:pPr>
            <w:r>
              <w:rPr>
                <w:rFonts w:hint="eastAsia" w:ascii="仿宋" w:hAnsi="仿宋" w:eastAsia="仿宋"/>
                <w:sz w:val="24"/>
              </w:rPr>
              <w:t>4.3同业拆借市场</w:t>
            </w:r>
          </w:p>
          <w:p w14:paraId="1F0D3627">
            <w:pPr>
              <w:rPr>
                <w:rFonts w:hint="eastAsia" w:ascii="仿宋" w:hAnsi="仿宋" w:eastAsia="仿宋"/>
                <w:sz w:val="24"/>
              </w:rPr>
            </w:pPr>
            <w:r>
              <w:rPr>
                <w:rFonts w:hint="eastAsia" w:ascii="仿宋" w:hAnsi="仿宋" w:eastAsia="仿宋"/>
                <w:sz w:val="24"/>
              </w:rPr>
              <w:t>4.4回购市场</w:t>
            </w:r>
          </w:p>
          <w:p w14:paraId="58E34BCF">
            <w:pPr>
              <w:rPr>
                <w:rFonts w:hint="eastAsia" w:ascii="仿宋" w:hAnsi="仿宋" w:eastAsia="仿宋"/>
                <w:sz w:val="24"/>
              </w:rPr>
            </w:pPr>
            <w:r>
              <w:rPr>
                <w:rFonts w:hint="eastAsia" w:ascii="仿宋" w:hAnsi="仿宋" w:eastAsia="仿宋"/>
                <w:sz w:val="24"/>
              </w:rPr>
              <w:t>4.5商业票据市场</w:t>
            </w:r>
          </w:p>
          <w:p w14:paraId="22E035A5">
            <w:pPr>
              <w:rPr>
                <w:rFonts w:hint="eastAsia" w:ascii="仿宋" w:hAnsi="仿宋" w:eastAsia="仿宋"/>
                <w:sz w:val="24"/>
              </w:rPr>
            </w:pPr>
            <w:r>
              <w:rPr>
                <w:rFonts w:hint="eastAsia" w:ascii="仿宋" w:hAnsi="仿宋" w:eastAsia="仿宋"/>
                <w:sz w:val="24"/>
              </w:rPr>
              <w:t>4.6汇票市场</w:t>
            </w:r>
          </w:p>
          <w:p w14:paraId="0E76AE92">
            <w:pPr>
              <w:rPr>
                <w:rFonts w:eastAsia="仿宋"/>
                <w:b/>
                <w:spacing w:val="-3"/>
                <w:sz w:val="24"/>
                <w:lang w:val="en-GB"/>
              </w:rPr>
            </w:pPr>
            <w:r>
              <w:rPr>
                <w:rFonts w:hint="eastAsia" w:ascii="仿宋" w:hAnsi="仿宋" w:eastAsia="仿宋"/>
                <w:sz w:val="24"/>
              </w:rPr>
              <w:t>4.7大额可转让定期存单市场</w:t>
            </w:r>
          </w:p>
        </w:tc>
        <w:tc>
          <w:tcPr>
            <w:tcW w:w="234" w:type="pct"/>
            <w:vAlign w:val="center"/>
          </w:tcPr>
          <w:p w14:paraId="7A13D048">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4</w:t>
            </w:r>
          </w:p>
        </w:tc>
        <w:tc>
          <w:tcPr>
            <w:tcW w:w="918" w:type="pct"/>
            <w:vAlign w:val="center"/>
          </w:tcPr>
          <w:p w14:paraId="652A51AA">
            <w:pPr>
              <w:suppressAutoHyphens/>
              <w:spacing w:before="156" w:beforeLines="50" w:after="156" w:afterLines="50" w:line="276" w:lineRule="auto"/>
              <w:jc w:val="left"/>
              <w:rPr>
                <w:rFonts w:eastAsia="仿宋"/>
                <w:b/>
                <w:spacing w:val="-3"/>
                <w:sz w:val="24"/>
                <w:lang w:val="en-GB"/>
              </w:rPr>
            </w:pPr>
            <w:r>
              <w:rPr>
                <w:rFonts w:hint="eastAsia" w:ascii="仿宋" w:hAnsi="仿宋" w:eastAsia="仿宋"/>
                <w:b/>
                <w:bCs/>
                <w:sz w:val="24"/>
              </w:rPr>
              <w:t>重点：</w:t>
            </w:r>
            <w:r>
              <w:rPr>
                <w:rFonts w:hint="eastAsia" w:ascii="仿宋" w:hAnsi="仿宋" w:eastAsia="仿宋"/>
                <w:sz w:val="24"/>
                <w:lang w:val="en-GB"/>
              </w:rPr>
              <w:t>了解货币市场</w:t>
            </w:r>
            <w:r>
              <w:rPr>
                <w:rFonts w:hint="eastAsia" w:ascii="仿宋" w:hAnsi="仿宋" w:eastAsia="仿宋"/>
                <w:sz w:val="24"/>
              </w:rPr>
              <w:t>及子市场</w:t>
            </w:r>
            <w:r>
              <w:rPr>
                <w:rFonts w:hint="eastAsia" w:ascii="仿宋" w:hAnsi="仿宋" w:eastAsia="仿宋"/>
                <w:sz w:val="24"/>
                <w:lang w:val="en-GB"/>
              </w:rPr>
              <w:t>的定义、结构</w:t>
            </w:r>
            <w:r>
              <w:rPr>
                <w:rFonts w:hint="eastAsia" w:ascii="仿宋" w:hAnsi="仿宋" w:eastAsia="仿宋"/>
                <w:sz w:val="24"/>
              </w:rPr>
              <w:t>及</w:t>
            </w:r>
            <w:r>
              <w:rPr>
                <w:rFonts w:hint="eastAsia" w:ascii="仿宋" w:hAnsi="仿宋" w:eastAsia="仿宋"/>
                <w:sz w:val="24"/>
                <w:lang w:val="en-GB"/>
              </w:rPr>
              <w:t>基本交易原理</w:t>
            </w:r>
            <w:r>
              <w:rPr>
                <w:rFonts w:hint="eastAsia" w:ascii="仿宋" w:hAnsi="仿宋" w:eastAsia="仿宋"/>
                <w:b/>
                <w:bCs/>
                <w:sz w:val="24"/>
              </w:rPr>
              <w:t>难点：</w:t>
            </w:r>
            <w:r>
              <w:rPr>
                <w:rFonts w:hint="eastAsia" w:ascii="仿宋" w:hAnsi="仿宋" w:eastAsia="仿宋"/>
                <w:sz w:val="24"/>
                <w:lang w:val="en-GB"/>
              </w:rPr>
              <w:t>掌握货币市场工具的定价</w:t>
            </w:r>
          </w:p>
        </w:tc>
        <w:tc>
          <w:tcPr>
            <w:tcW w:w="614" w:type="pct"/>
          </w:tcPr>
          <w:p w14:paraId="238BDC2C">
            <w:pPr>
              <w:suppressAutoHyphens/>
              <w:spacing w:before="156" w:beforeLines="50" w:after="156" w:afterLines="50" w:line="276" w:lineRule="auto"/>
              <w:rPr>
                <w:rFonts w:eastAsia="仿宋"/>
                <w:b/>
                <w:spacing w:val="-3"/>
                <w:sz w:val="24"/>
              </w:rPr>
            </w:pPr>
          </w:p>
          <w:p w14:paraId="478A4FA9">
            <w:pPr>
              <w:suppressAutoHyphens/>
              <w:spacing w:before="156" w:beforeLines="50" w:after="156" w:afterLines="50" w:line="276" w:lineRule="auto"/>
              <w:rPr>
                <w:rFonts w:eastAsia="仿宋"/>
                <w:b/>
                <w:spacing w:val="-3"/>
                <w:sz w:val="24"/>
              </w:rPr>
            </w:pPr>
          </w:p>
          <w:p w14:paraId="201EF1C5">
            <w:pPr>
              <w:suppressAutoHyphens/>
              <w:spacing w:before="156" w:beforeLines="50" w:after="156" w:afterLines="50" w:line="276" w:lineRule="auto"/>
              <w:jc w:val="center"/>
              <w:rPr>
                <w:rFonts w:eastAsia="仿宋"/>
                <w:b/>
                <w:spacing w:val="-3"/>
                <w:sz w:val="24"/>
              </w:rPr>
            </w:pPr>
            <w:r>
              <w:rPr>
                <w:rFonts w:hint="eastAsia" w:ascii="仿宋" w:hAnsi="仿宋" w:eastAsia="仿宋"/>
                <w:sz w:val="24"/>
              </w:rPr>
              <w:t>讲授法</w:t>
            </w:r>
          </w:p>
        </w:tc>
        <w:tc>
          <w:tcPr>
            <w:tcW w:w="559" w:type="pct"/>
            <w:vAlign w:val="center"/>
          </w:tcPr>
          <w:p w14:paraId="5E2DD134">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课后作业、随堂测验闭卷考试</w:t>
            </w:r>
          </w:p>
        </w:tc>
        <w:tc>
          <w:tcPr>
            <w:tcW w:w="459" w:type="pct"/>
            <w:vAlign w:val="center"/>
          </w:tcPr>
          <w:p w14:paraId="1EBFB267">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3</w:t>
            </w:r>
          </w:p>
        </w:tc>
      </w:tr>
      <w:tr w14:paraId="45073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1" w:hRule="atLeast"/>
          <w:jc w:val="center"/>
        </w:trPr>
        <w:tc>
          <w:tcPr>
            <w:tcW w:w="353" w:type="pct"/>
            <w:shd w:val="clear" w:color="auto" w:fill="auto"/>
            <w:vAlign w:val="center"/>
          </w:tcPr>
          <w:p w14:paraId="1A466008">
            <w:pPr>
              <w:rPr>
                <w:rFonts w:hint="eastAsia" w:ascii="仿宋" w:hAnsi="仿宋" w:eastAsia="仿宋"/>
                <w:sz w:val="24"/>
              </w:rPr>
            </w:pPr>
            <w:r>
              <w:rPr>
                <w:rFonts w:hint="eastAsia" w:ascii="仿宋" w:hAnsi="仿宋" w:eastAsia="仿宋"/>
                <w:sz w:val="24"/>
              </w:rPr>
              <w:t>5</w:t>
            </w:r>
          </w:p>
        </w:tc>
        <w:tc>
          <w:tcPr>
            <w:tcW w:w="656" w:type="pct"/>
            <w:shd w:val="clear" w:color="auto" w:fill="auto"/>
            <w:vAlign w:val="center"/>
          </w:tcPr>
          <w:p w14:paraId="18DEC4A9">
            <w:pPr>
              <w:rPr>
                <w:rFonts w:eastAsia="仿宋"/>
                <w:b/>
                <w:spacing w:val="-3"/>
                <w:sz w:val="24"/>
                <w:lang w:val="en-GB"/>
              </w:rPr>
            </w:pPr>
            <w:r>
              <w:rPr>
                <w:rFonts w:hint="eastAsia" w:ascii="仿宋" w:hAnsi="仿宋" w:eastAsia="仿宋"/>
                <w:sz w:val="24"/>
              </w:rPr>
              <w:t>第五章 债券市场</w:t>
            </w:r>
          </w:p>
        </w:tc>
        <w:tc>
          <w:tcPr>
            <w:tcW w:w="1203" w:type="pct"/>
            <w:shd w:val="clear" w:color="auto" w:fill="auto"/>
            <w:vAlign w:val="center"/>
          </w:tcPr>
          <w:p w14:paraId="352B5240">
            <w:pPr>
              <w:rPr>
                <w:rFonts w:hint="eastAsia" w:ascii="仿宋" w:hAnsi="仿宋" w:eastAsia="仿宋"/>
                <w:sz w:val="24"/>
              </w:rPr>
            </w:pPr>
            <w:r>
              <w:rPr>
                <w:rFonts w:hint="eastAsia" w:ascii="仿宋" w:hAnsi="仿宋" w:eastAsia="仿宋"/>
                <w:sz w:val="24"/>
              </w:rPr>
              <w:t>5.1 债券的基础知识</w:t>
            </w:r>
          </w:p>
          <w:p w14:paraId="59FF2655">
            <w:pPr>
              <w:rPr>
                <w:rFonts w:eastAsia="仿宋"/>
                <w:b/>
                <w:spacing w:val="-3"/>
                <w:sz w:val="24"/>
                <w:lang w:val="en-GB"/>
              </w:rPr>
            </w:pPr>
            <w:r>
              <w:rPr>
                <w:rFonts w:hint="eastAsia" w:ascii="仿宋" w:hAnsi="仿宋" w:eastAsia="仿宋"/>
                <w:sz w:val="24"/>
              </w:rPr>
              <w:t>5.2我国的债券市场</w:t>
            </w:r>
          </w:p>
        </w:tc>
        <w:tc>
          <w:tcPr>
            <w:tcW w:w="234" w:type="pct"/>
            <w:vAlign w:val="center"/>
          </w:tcPr>
          <w:p w14:paraId="2C6E76DA">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2</w:t>
            </w:r>
          </w:p>
        </w:tc>
        <w:tc>
          <w:tcPr>
            <w:tcW w:w="918" w:type="pct"/>
            <w:vAlign w:val="center"/>
          </w:tcPr>
          <w:p w14:paraId="24D25939">
            <w:pPr>
              <w:suppressAutoHyphens/>
              <w:spacing w:before="156" w:beforeLines="50" w:after="156" w:afterLines="50" w:line="276" w:lineRule="auto"/>
              <w:jc w:val="left"/>
              <w:rPr>
                <w:rFonts w:hint="eastAsia" w:ascii="仿宋" w:hAnsi="仿宋" w:eastAsia="仿宋"/>
                <w:sz w:val="24"/>
              </w:rPr>
            </w:pPr>
            <w:r>
              <w:rPr>
                <w:rFonts w:hint="eastAsia" w:ascii="仿宋" w:hAnsi="仿宋" w:eastAsia="仿宋"/>
                <w:b/>
                <w:bCs/>
                <w:sz w:val="24"/>
              </w:rPr>
              <w:t>重点：</w:t>
            </w:r>
            <w:r>
              <w:rPr>
                <w:rFonts w:hint="eastAsia" w:ascii="仿宋" w:hAnsi="仿宋" w:eastAsia="仿宋"/>
                <w:sz w:val="24"/>
              </w:rPr>
              <w:t>掌握债券市场的基本知识和基本原理，了解中国债券市场的现状和存在的问题。</w:t>
            </w:r>
          </w:p>
          <w:p w14:paraId="34B592E2">
            <w:pPr>
              <w:jc w:val="left"/>
              <w:rPr>
                <w:rFonts w:hint="eastAsia" w:ascii="仿宋" w:hAnsi="仿宋" w:eastAsia="仿宋"/>
                <w:sz w:val="24"/>
                <w:lang w:val="en-GB"/>
              </w:rPr>
            </w:pPr>
            <w:r>
              <w:rPr>
                <w:rFonts w:hint="eastAsia" w:ascii="仿宋" w:hAnsi="仿宋" w:eastAsia="仿宋"/>
                <w:b/>
                <w:bCs/>
                <w:sz w:val="24"/>
              </w:rPr>
              <w:t>思政元素：</w:t>
            </w:r>
            <w:r>
              <w:rPr>
                <w:rFonts w:hint="eastAsia" w:ascii="仿宋" w:hAnsi="仿宋" w:eastAsia="仿宋"/>
                <w:color w:val="000000" w:themeColor="text1"/>
                <w:sz w:val="24"/>
                <w14:textFill>
                  <w14:solidFill>
                    <w14:schemeClr w14:val="tx1"/>
                  </w14:solidFill>
                </w14:textFill>
              </w:rPr>
              <w:t>了解中国债券市场的发展状况以及如何支持国家经济社会协同发展</w:t>
            </w:r>
          </w:p>
        </w:tc>
        <w:tc>
          <w:tcPr>
            <w:tcW w:w="614" w:type="pct"/>
          </w:tcPr>
          <w:p w14:paraId="34D0C444">
            <w:pPr>
              <w:suppressAutoHyphens/>
              <w:spacing w:before="156" w:beforeLines="50" w:after="156" w:afterLines="50" w:line="276" w:lineRule="auto"/>
              <w:rPr>
                <w:rFonts w:eastAsia="仿宋"/>
                <w:b/>
                <w:spacing w:val="-3"/>
                <w:sz w:val="24"/>
              </w:rPr>
            </w:pPr>
          </w:p>
          <w:p w14:paraId="48062837">
            <w:pPr>
              <w:suppressAutoHyphens/>
              <w:spacing w:before="156" w:beforeLines="50" w:after="156" w:afterLines="50" w:line="276" w:lineRule="auto"/>
              <w:rPr>
                <w:rFonts w:eastAsia="仿宋"/>
                <w:b/>
                <w:spacing w:val="-3"/>
                <w:sz w:val="24"/>
              </w:rPr>
            </w:pPr>
          </w:p>
          <w:p w14:paraId="2F4192B5">
            <w:pPr>
              <w:suppressAutoHyphens/>
              <w:spacing w:before="156" w:beforeLines="50" w:after="156" w:afterLines="50" w:line="276" w:lineRule="auto"/>
              <w:rPr>
                <w:rFonts w:eastAsia="仿宋"/>
                <w:b/>
                <w:spacing w:val="-3"/>
                <w:sz w:val="24"/>
              </w:rPr>
            </w:pPr>
          </w:p>
          <w:p w14:paraId="01A60399">
            <w:pPr>
              <w:suppressAutoHyphens/>
              <w:spacing w:before="156" w:beforeLines="50" w:after="156" w:afterLines="50" w:line="276" w:lineRule="auto"/>
              <w:rPr>
                <w:rFonts w:eastAsia="仿宋"/>
                <w:b/>
                <w:spacing w:val="-3"/>
                <w:sz w:val="24"/>
              </w:rPr>
            </w:pPr>
          </w:p>
          <w:p w14:paraId="58E4AFE4">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讲授法</w:t>
            </w:r>
          </w:p>
        </w:tc>
        <w:tc>
          <w:tcPr>
            <w:tcW w:w="559" w:type="pct"/>
            <w:vAlign w:val="center"/>
          </w:tcPr>
          <w:p w14:paraId="583C9738">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课后作业、随堂测验闭卷考试</w:t>
            </w:r>
          </w:p>
        </w:tc>
        <w:tc>
          <w:tcPr>
            <w:tcW w:w="459" w:type="pct"/>
            <w:vAlign w:val="center"/>
          </w:tcPr>
          <w:p w14:paraId="27821909">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1.3</w:t>
            </w:r>
          </w:p>
        </w:tc>
      </w:tr>
      <w:tr w14:paraId="7358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 w:type="pct"/>
            <w:shd w:val="clear" w:color="auto" w:fill="auto"/>
            <w:vAlign w:val="center"/>
          </w:tcPr>
          <w:p w14:paraId="401631FF">
            <w:pPr>
              <w:rPr>
                <w:rFonts w:hint="eastAsia" w:ascii="仿宋" w:hAnsi="仿宋" w:eastAsia="仿宋"/>
                <w:sz w:val="24"/>
              </w:rPr>
            </w:pPr>
            <w:r>
              <w:rPr>
                <w:rFonts w:hint="eastAsia" w:ascii="仿宋" w:hAnsi="仿宋" w:eastAsia="仿宋"/>
                <w:sz w:val="24"/>
              </w:rPr>
              <w:t>6</w:t>
            </w:r>
          </w:p>
        </w:tc>
        <w:tc>
          <w:tcPr>
            <w:tcW w:w="656" w:type="pct"/>
            <w:shd w:val="clear" w:color="auto" w:fill="auto"/>
            <w:vAlign w:val="center"/>
          </w:tcPr>
          <w:p w14:paraId="2E88D11D">
            <w:pPr>
              <w:rPr>
                <w:rFonts w:eastAsia="仿宋"/>
                <w:b/>
                <w:spacing w:val="-3"/>
                <w:sz w:val="24"/>
                <w:lang w:val="en-GB"/>
              </w:rPr>
            </w:pPr>
            <w:r>
              <w:rPr>
                <w:rFonts w:hint="eastAsia" w:ascii="仿宋" w:hAnsi="仿宋" w:eastAsia="仿宋"/>
                <w:sz w:val="24"/>
              </w:rPr>
              <w:t>第六章 债券价值分析</w:t>
            </w:r>
          </w:p>
        </w:tc>
        <w:tc>
          <w:tcPr>
            <w:tcW w:w="1203" w:type="pct"/>
            <w:shd w:val="clear" w:color="auto" w:fill="auto"/>
            <w:vAlign w:val="center"/>
          </w:tcPr>
          <w:p w14:paraId="51CB1855">
            <w:pPr>
              <w:rPr>
                <w:rFonts w:hint="eastAsia" w:ascii="仿宋" w:hAnsi="仿宋" w:eastAsia="仿宋"/>
                <w:sz w:val="24"/>
              </w:rPr>
            </w:pPr>
            <w:r>
              <w:rPr>
                <w:rFonts w:hint="eastAsia" w:ascii="仿宋" w:hAnsi="仿宋" w:eastAsia="仿宋"/>
                <w:sz w:val="24"/>
              </w:rPr>
              <w:t>6.1收入资本化法在债券价值分析中的运用</w:t>
            </w:r>
          </w:p>
          <w:p w14:paraId="777143B3">
            <w:pPr>
              <w:rPr>
                <w:rFonts w:hint="eastAsia" w:ascii="仿宋" w:hAnsi="仿宋" w:eastAsia="仿宋"/>
                <w:sz w:val="24"/>
              </w:rPr>
            </w:pPr>
            <w:r>
              <w:rPr>
                <w:rFonts w:hint="eastAsia" w:ascii="仿宋" w:hAnsi="仿宋" w:eastAsia="仿宋"/>
                <w:sz w:val="24"/>
              </w:rPr>
              <w:t>6.2债券定价原理</w:t>
            </w:r>
          </w:p>
          <w:p w14:paraId="4F3F2D87">
            <w:pPr>
              <w:rPr>
                <w:rFonts w:hint="eastAsia" w:ascii="仿宋" w:hAnsi="仿宋" w:eastAsia="仿宋"/>
                <w:sz w:val="24"/>
              </w:rPr>
            </w:pPr>
            <w:r>
              <w:rPr>
                <w:rFonts w:hint="eastAsia" w:ascii="仿宋" w:hAnsi="仿宋" w:eastAsia="仿宋"/>
                <w:sz w:val="24"/>
              </w:rPr>
              <w:t>6.3债券价值属性</w:t>
            </w:r>
          </w:p>
          <w:p w14:paraId="45C2657D">
            <w:pPr>
              <w:rPr>
                <w:rFonts w:eastAsia="仿宋"/>
                <w:b/>
                <w:spacing w:val="-3"/>
                <w:sz w:val="24"/>
                <w:lang w:val="en-GB"/>
              </w:rPr>
            </w:pPr>
            <w:r>
              <w:rPr>
                <w:rFonts w:hint="eastAsia" w:ascii="仿宋" w:hAnsi="仿宋" w:eastAsia="仿宋"/>
                <w:sz w:val="24"/>
              </w:rPr>
              <w:t>6.4久期</w:t>
            </w:r>
          </w:p>
        </w:tc>
        <w:tc>
          <w:tcPr>
            <w:tcW w:w="234" w:type="pct"/>
            <w:vAlign w:val="center"/>
          </w:tcPr>
          <w:p w14:paraId="4DBC5742">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6</w:t>
            </w:r>
          </w:p>
        </w:tc>
        <w:tc>
          <w:tcPr>
            <w:tcW w:w="918" w:type="pct"/>
            <w:vAlign w:val="center"/>
          </w:tcPr>
          <w:p w14:paraId="4D6C5990">
            <w:pPr>
              <w:rPr>
                <w:rFonts w:hint="eastAsia" w:ascii="仿宋" w:hAnsi="仿宋" w:eastAsia="仿宋"/>
                <w:sz w:val="24"/>
              </w:rPr>
            </w:pPr>
            <w:r>
              <w:rPr>
                <w:rFonts w:hint="eastAsia" w:ascii="仿宋" w:hAnsi="仿宋" w:eastAsia="仿宋"/>
                <w:b/>
                <w:bCs/>
                <w:sz w:val="24"/>
              </w:rPr>
              <w:t>重点：</w:t>
            </w:r>
            <w:r>
              <w:rPr>
                <w:rFonts w:hint="eastAsia" w:ascii="仿宋" w:hAnsi="仿宋" w:eastAsia="仿宋"/>
                <w:sz w:val="24"/>
              </w:rPr>
              <w:t>收入资本化法、债券定价基本原理、债券属性与债券价值分析、久期计算</w:t>
            </w:r>
          </w:p>
          <w:p w14:paraId="50B4DA4E">
            <w:pPr>
              <w:rPr>
                <w:rFonts w:hint="eastAsia" w:ascii="仿宋" w:hAnsi="仿宋" w:eastAsia="仿宋"/>
                <w:sz w:val="24"/>
              </w:rPr>
            </w:pPr>
            <w:r>
              <w:rPr>
                <w:rFonts w:hint="eastAsia" w:ascii="仿宋" w:hAnsi="仿宋" w:eastAsia="仿宋"/>
                <w:b/>
                <w:bCs/>
                <w:sz w:val="24"/>
              </w:rPr>
              <w:t>难点：</w:t>
            </w:r>
            <w:r>
              <w:rPr>
                <w:rFonts w:hint="eastAsia" w:ascii="仿宋" w:hAnsi="仿宋" w:eastAsia="仿宋"/>
                <w:sz w:val="24"/>
              </w:rPr>
              <w:t>债券价格及久期计算，理解债券价值属性</w:t>
            </w:r>
          </w:p>
        </w:tc>
        <w:tc>
          <w:tcPr>
            <w:tcW w:w="614" w:type="pct"/>
          </w:tcPr>
          <w:p w14:paraId="4527B8E1">
            <w:pPr>
              <w:suppressAutoHyphens/>
              <w:spacing w:before="156" w:beforeLines="50" w:after="156" w:afterLines="50" w:line="276" w:lineRule="auto"/>
              <w:rPr>
                <w:rFonts w:eastAsia="仿宋"/>
                <w:b/>
                <w:spacing w:val="-3"/>
                <w:sz w:val="24"/>
              </w:rPr>
            </w:pPr>
          </w:p>
          <w:p w14:paraId="1FEC61B6">
            <w:pPr>
              <w:suppressAutoHyphens/>
              <w:spacing w:before="156" w:beforeLines="50" w:after="156" w:afterLines="50" w:line="276" w:lineRule="auto"/>
              <w:rPr>
                <w:rFonts w:eastAsia="仿宋"/>
                <w:b/>
                <w:spacing w:val="-3"/>
                <w:sz w:val="24"/>
              </w:rPr>
            </w:pPr>
          </w:p>
          <w:p w14:paraId="4A6D5204">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讲授法</w:t>
            </w:r>
          </w:p>
        </w:tc>
        <w:tc>
          <w:tcPr>
            <w:tcW w:w="559" w:type="pct"/>
            <w:vAlign w:val="center"/>
          </w:tcPr>
          <w:p w14:paraId="5EF0478E">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课后作业、随堂测验闭卷考试</w:t>
            </w:r>
          </w:p>
        </w:tc>
        <w:tc>
          <w:tcPr>
            <w:tcW w:w="459" w:type="pct"/>
            <w:vAlign w:val="center"/>
          </w:tcPr>
          <w:p w14:paraId="42F60633">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3</w:t>
            </w:r>
          </w:p>
        </w:tc>
      </w:tr>
      <w:tr w14:paraId="4ED8F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353" w:type="pct"/>
            <w:shd w:val="clear" w:color="auto" w:fill="auto"/>
            <w:vAlign w:val="center"/>
          </w:tcPr>
          <w:p w14:paraId="2D68F1D8">
            <w:pPr>
              <w:rPr>
                <w:rFonts w:hint="eastAsia" w:ascii="仿宋" w:hAnsi="仿宋" w:eastAsia="仿宋"/>
                <w:sz w:val="24"/>
              </w:rPr>
            </w:pPr>
            <w:r>
              <w:rPr>
                <w:rFonts w:hint="eastAsia" w:ascii="仿宋" w:hAnsi="仿宋" w:eastAsia="仿宋"/>
                <w:sz w:val="24"/>
              </w:rPr>
              <w:t>7</w:t>
            </w:r>
          </w:p>
        </w:tc>
        <w:tc>
          <w:tcPr>
            <w:tcW w:w="656" w:type="pct"/>
            <w:shd w:val="clear" w:color="auto" w:fill="auto"/>
            <w:vAlign w:val="center"/>
          </w:tcPr>
          <w:p w14:paraId="2E12C78F">
            <w:pPr>
              <w:rPr>
                <w:rFonts w:eastAsia="仿宋"/>
                <w:b/>
                <w:spacing w:val="-3"/>
                <w:sz w:val="24"/>
                <w:lang w:val="en-GB"/>
              </w:rPr>
            </w:pPr>
            <w:r>
              <w:rPr>
                <w:rFonts w:hint="eastAsia" w:ascii="仿宋" w:hAnsi="仿宋" w:eastAsia="仿宋"/>
                <w:sz w:val="24"/>
              </w:rPr>
              <w:t>第七章</w:t>
            </w:r>
            <w:r>
              <w:rPr>
                <w:rFonts w:hint="eastAsia" w:ascii="仿宋" w:hAnsi="仿宋" w:eastAsia="仿宋"/>
                <w:sz w:val="24"/>
                <w:lang w:val="zh-CN"/>
              </w:rPr>
              <w:t xml:space="preserve"> 抵押</w:t>
            </w:r>
            <w:r>
              <w:rPr>
                <w:rFonts w:hint="eastAsia" w:ascii="仿宋" w:hAnsi="仿宋" w:eastAsia="仿宋"/>
                <w:sz w:val="24"/>
              </w:rPr>
              <w:t>贷款市场</w:t>
            </w:r>
          </w:p>
        </w:tc>
        <w:tc>
          <w:tcPr>
            <w:tcW w:w="1203" w:type="pct"/>
            <w:shd w:val="clear" w:color="auto" w:fill="auto"/>
            <w:vAlign w:val="center"/>
          </w:tcPr>
          <w:p w14:paraId="217E757E">
            <w:pPr>
              <w:rPr>
                <w:rFonts w:hint="eastAsia" w:ascii="仿宋" w:hAnsi="仿宋" w:eastAsia="仿宋"/>
                <w:sz w:val="24"/>
              </w:rPr>
            </w:pPr>
            <w:r>
              <w:rPr>
                <w:rFonts w:hint="eastAsia" w:ascii="仿宋" w:hAnsi="仿宋" w:eastAsia="仿宋"/>
                <w:sz w:val="24"/>
              </w:rPr>
              <w:t>7</w:t>
            </w:r>
            <w:r>
              <w:rPr>
                <w:rFonts w:ascii="仿宋" w:hAnsi="仿宋" w:eastAsia="仿宋"/>
                <w:sz w:val="24"/>
                <w:lang w:val="zh-CN"/>
              </w:rPr>
              <w:t>.1</w:t>
            </w:r>
            <w:r>
              <w:rPr>
                <w:rFonts w:hint="eastAsia" w:ascii="仿宋" w:hAnsi="仿宋" w:eastAsia="仿宋"/>
                <w:sz w:val="24"/>
              </w:rPr>
              <w:t>抵押贷款市场概述</w:t>
            </w:r>
          </w:p>
          <w:p w14:paraId="0B6E33A0">
            <w:pPr>
              <w:rPr>
                <w:rFonts w:eastAsia="仿宋"/>
                <w:b/>
                <w:spacing w:val="-3"/>
                <w:sz w:val="24"/>
                <w:lang w:val="en-GB"/>
              </w:rPr>
            </w:pPr>
            <w:r>
              <w:rPr>
                <w:rFonts w:hint="eastAsia" w:ascii="仿宋" w:hAnsi="仿宋" w:eastAsia="仿宋"/>
                <w:sz w:val="24"/>
              </w:rPr>
              <w:t>7.2</w:t>
            </w:r>
            <w:r>
              <w:rPr>
                <w:rFonts w:hint="eastAsia" w:ascii="仿宋" w:hAnsi="仿宋" w:eastAsia="仿宋"/>
                <w:sz w:val="24"/>
                <w:lang w:val="zh-CN"/>
              </w:rPr>
              <w:t>资产证券化</w:t>
            </w:r>
          </w:p>
        </w:tc>
        <w:tc>
          <w:tcPr>
            <w:tcW w:w="234" w:type="pct"/>
            <w:vAlign w:val="center"/>
          </w:tcPr>
          <w:p w14:paraId="1DBF343B">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4</w:t>
            </w:r>
          </w:p>
        </w:tc>
        <w:tc>
          <w:tcPr>
            <w:tcW w:w="918" w:type="pct"/>
            <w:vAlign w:val="center"/>
          </w:tcPr>
          <w:p w14:paraId="4B436A43">
            <w:pPr>
              <w:rPr>
                <w:rFonts w:hint="eastAsia" w:ascii="仿宋" w:hAnsi="仿宋" w:eastAsia="仿宋"/>
                <w:sz w:val="24"/>
              </w:rPr>
            </w:pPr>
            <w:r>
              <w:rPr>
                <w:rFonts w:hint="eastAsia" w:ascii="仿宋" w:hAnsi="仿宋" w:eastAsia="仿宋"/>
                <w:b/>
                <w:bCs/>
                <w:sz w:val="24"/>
              </w:rPr>
              <w:t>重点：</w:t>
            </w:r>
            <w:r>
              <w:rPr>
                <w:rFonts w:hint="eastAsia" w:ascii="仿宋" w:hAnsi="仿宋" w:eastAsia="仿宋"/>
                <w:sz w:val="24"/>
              </w:rPr>
              <w:t>抵押贷款市场的运行、资产证券化的基本原理</w:t>
            </w:r>
          </w:p>
          <w:p w14:paraId="74507A55">
            <w:pPr>
              <w:rPr>
                <w:rFonts w:eastAsia="仿宋"/>
                <w:b/>
                <w:spacing w:val="-3"/>
                <w:sz w:val="24"/>
              </w:rPr>
            </w:pPr>
            <w:r>
              <w:rPr>
                <w:rFonts w:hint="eastAsia" w:ascii="仿宋" w:hAnsi="仿宋" w:eastAsia="仿宋"/>
                <w:b/>
                <w:bCs/>
                <w:sz w:val="24"/>
              </w:rPr>
              <w:t>难点：</w:t>
            </w:r>
            <w:r>
              <w:rPr>
                <w:rFonts w:hint="eastAsia" w:ascii="仿宋" w:hAnsi="仿宋" w:eastAsia="仿宋"/>
                <w:sz w:val="24"/>
              </w:rPr>
              <w:t>资产证券化原理及风险思政元素：08年金融危机，让学生意识到风险管理的重要性</w:t>
            </w:r>
          </w:p>
        </w:tc>
        <w:tc>
          <w:tcPr>
            <w:tcW w:w="614" w:type="pct"/>
          </w:tcPr>
          <w:p w14:paraId="4E720198">
            <w:pPr>
              <w:suppressAutoHyphens/>
              <w:spacing w:before="156" w:beforeLines="50" w:after="156" w:afterLines="50" w:line="276" w:lineRule="auto"/>
              <w:rPr>
                <w:rFonts w:eastAsia="仿宋"/>
                <w:b/>
                <w:spacing w:val="-3"/>
                <w:sz w:val="24"/>
              </w:rPr>
            </w:pPr>
          </w:p>
          <w:p w14:paraId="06B401A8">
            <w:pPr>
              <w:suppressAutoHyphens/>
              <w:spacing w:before="156" w:beforeLines="50" w:after="156" w:afterLines="50" w:line="276" w:lineRule="auto"/>
              <w:jc w:val="center"/>
              <w:rPr>
                <w:rFonts w:eastAsia="仿宋"/>
                <w:b/>
                <w:spacing w:val="-3"/>
                <w:sz w:val="24"/>
              </w:rPr>
            </w:pPr>
            <w:r>
              <w:rPr>
                <w:rFonts w:hint="eastAsia" w:ascii="仿宋" w:hAnsi="仿宋" w:eastAsia="仿宋"/>
                <w:sz w:val="24"/>
              </w:rPr>
              <w:t>讲授法、研究分析法（案例分析）</w:t>
            </w:r>
          </w:p>
        </w:tc>
        <w:tc>
          <w:tcPr>
            <w:tcW w:w="559" w:type="pct"/>
            <w:vAlign w:val="center"/>
          </w:tcPr>
          <w:p w14:paraId="42B050EA">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课后作业、随堂测验闭卷考试</w:t>
            </w:r>
          </w:p>
        </w:tc>
        <w:tc>
          <w:tcPr>
            <w:tcW w:w="459" w:type="pct"/>
            <w:vAlign w:val="center"/>
          </w:tcPr>
          <w:p w14:paraId="011CF468">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1，2.3</w:t>
            </w:r>
          </w:p>
        </w:tc>
      </w:tr>
      <w:tr w14:paraId="1025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jc w:val="center"/>
        </w:trPr>
        <w:tc>
          <w:tcPr>
            <w:tcW w:w="353" w:type="pct"/>
            <w:shd w:val="clear" w:color="auto" w:fill="auto"/>
            <w:vAlign w:val="center"/>
          </w:tcPr>
          <w:p w14:paraId="740723A7">
            <w:pPr>
              <w:rPr>
                <w:rFonts w:hint="eastAsia" w:ascii="仿宋" w:hAnsi="仿宋" w:eastAsia="仿宋"/>
                <w:sz w:val="24"/>
              </w:rPr>
            </w:pPr>
            <w:r>
              <w:rPr>
                <w:rFonts w:hint="eastAsia" w:ascii="仿宋" w:hAnsi="仿宋" w:eastAsia="仿宋"/>
                <w:sz w:val="24"/>
              </w:rPr>
              <w:t>8</w:t>
            </w:r>
          </w:p>
        </w:tc>
        <w:tc>
          <w:tcPr>
            <w:tcW w:w="656" w:type="pct"/>
            <w:shd w:val="clear" w:color="auto" w:fill="auto"/>
            <w:vAlign w:val="center"/>
          </w:tcPr>
          <w:p w14:paraId="50EFC3DD">
            <w:pPr>
              <w:rPr>
                <w:rFonts w:eastAsia="仿宋"/>
                <w:b/>
                <w:spacing w:val="-3"/>
                <w:sz w:val="24"/>
                <w:lang w:val="en-GB"/>
              </w:rPr>
            </w:pPr>
            <w:r>
              <w:rPr>
                <w:rFonts w:hint="eastAsia" w:ascii="仿宋" w:hAnsi="仿宋" w:eastAsia="仿宋"/>
                <w:sz w:val="24"/>
              </w:rPr>
              <w:t>第八章 股票市场</w:t>
            </w:r>
          </w:p>
        </w:tc>
        <w:tc>
          <w:tcPr>
            <w:tcW w:w="1203" w:type="pct"/>
            <w:shd w:val="clear" w:color="auto" w:fill="auto"/>
            <w:vAlign w:val="center"/>
          </w:tcPr>
          <w:p w14:paraId="1939DB6A">
            <w:pPr>
              <w:rPr>
                <w:rFonts w:hint="eastAsia" w:ascii="仿宋" w:hAnsi="仿宋" w:eastAsia="仿宋"/>
                <w:sz w:val="24"/>
              </w:rPr>
            </w:pPr>
            <w:r>
              <w:rPr>
                <w:rFonts w:hint="eastAsia" w:ascii="仿宋" w:hAnsi="仿宋" w:eastAsia="仿宋"/>
                <w:sz w:val="24"/>
              </w:rPr>
              <w:t>8.1股票市场概述</w:t>
            </w:r>
          </w:p>
          <w:p w14:paraId="5BA33B16">
            <w:pPr>
              <w:rPr>
                <w:rFonts w:eastAsia="仿宋"/>
                <w:b/>
                <w:spacing w:val="-3"/>
                <w:sz w:val="24"/>
                <w:lang w:val="en-GB"/>
              </w:rPr>
            </w:pPr>
            <w:r>
              <w:rPr>
                <w:rFonts w:hint="eastAsia" w:ascii="仿宋" w:hAnsi="仿宋" w:eastAsia="仿宋"/>
                <w:sz w:val="24"/>
              </w:rPr>
              <w:t>8.2中国的股票市场</w:t>
            </w:r>
          </w:p>
        </w:tc>
        <w:tc>
          <w:tcPr>
            <w:tcW w:w="234" w:type="pct"/>
            <w:vAlign w:val="center"/>
          </w:tcPr>
          <w:p w14:paraId="201EA312">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2</w:t>
            </w:r>
          </w:p>
        </w:tc>
        <w:tc>
          <w:tcPr>
            <w:tcW w:w="918" w:type="pct"/>
            <w:vAlign w:val="center"/>
          </w:tcPr>
          <w:p w14:paraId="5262A87A">
            <w:pPr>
              <w:rPr>
                <w:rFonts w:hint="eastAsia" w:ascii="仿宋" w:hAnsi="仿宋" w:eastAsia="仿宋"/>
                <w:sz w:val="24"/>
              </w:rPr>
            </w:pPr>
            <w:r>
              <w:rPr>
                <w:rFonts w:hint="eastAsia" w:ascii="仿宋" w:hAnsi="仿宋" w:eastAsia="仿宋"/>
                <w:b/>
                <w:bCs/>
                <w:sz w:val="24"/>
              </w:rPr>
              <w:t>重点：</w:t>
            </w:r>
            <w:r>
              <w:rPr>
                <w:rFonts w:hint="eastAsia" w:ascii="仿宋" w:hAnsi="仿宋" w:eastAsia="仿宋"/>
                <w:sz w:val="24"/>
              </w:rPr>
              <w:t>股票的概念、种类、发行方式；我国的股票市场</w:t>
            </w:r>
          </w:p>
          <w:p w14:paraId="2DE64057">
            <w:pPr>
              <w:rPr>
                <w:rFonts w:eastAsia="仿宋"/>
                <w:b/>
                <w:spacing w:val="-3"/>
                <w:sz w:val="24"/>
                <w:lang w:val="en-GB"/>
              </w:rPr>
            </w:pPr>
            <w:r>
              <w:rPr>
                <w:rFonts w:hint="eastAsia" w:ascii="仿宋" w:hAnsi="仿宋" w:eastAsia="仿宋"/>
                <w:b/>
                <w:bCs/>
                <w:sz w:val="24"/>
              </w:rPr>
              <w:t>思政元素：</w:t>
            </w:r>
            <w:r>
              <w:rPr>
                <w:rFonts w:hint="eastAsia" w:ascii="仿宋" w:hAnsi="仿宋" w:eastAsia="仿宋"/>
                <w:sz w:val="24"/>
              </w:rPr>
              <w:t>了解北京证券交易所设立的国家战略意义</w:t>
            </w:r>
          </w:p>
        </w:tc>
        <w:tc>
          <w:tcPr>
            <w:tcW w:w="614" w:type="pct"/>
          </w:tcPr>
          <w:p w14:paraId="753F1248">
            <w:pPr>
              <w:suppressAutoHyphens/>
              <w:spacing w:before="156" w:beforeLines="50" w:after="156" w:afterLines="50" w:line="276" w:lineRule="auto"/>
              <w:jc w:val="center"/>
              <w:rPr>
                <w:rFonts w:hint="eastAsia" w:ascii="仿宋" w:hAnsi="仿宋" w:eastAsia="仿宋"/>
                <w:sz w:val="24"/>
              </w:rPr>
            </w:pPr>
          </w:p>
          <w:p w14:paraId="0FAD5BB4">
            <w:pPr>
              <w:suppressAutoHyphens/>
              <w:spacing w:before="156" w:beforeLines="50" w:after="156" w:afterLines="50" w:line="276" w:lineRule="auto"/>
              <w:jc w:val="center"/>
              <w:rPr>
                <w:rFonts w:hint="eastAsia" w:ascii="仿宋" w:hAnsi="仿宋" w:eastAsia="仿宋"/>
                <w:sz w:val="24"/>
              </w:rPr>
            </w:pPr>
          </w:p>
          <w:p w14:paraId="08A3D280">
            <w:pPr>
              <w:suppressAutoHyphens/>
              <w:spacing w:before="156" w:beforeLines="50" w:after="156" w:afterLines="50" w:line="276" w:lineRule="auto"/>
              <w:rPr>
                <w:rFonts w:eastAsia="仿宋"/>
                <w:b/>
                <w:spacing w:val="-3"/>
                <w:sz w:val="24"/>
              </w:rPr>
            </w:pPr>
            <w:r>
              <w:rPr>
                <w:rFonts w:hint="eastAsia" w:ascii="仿宋" w:hAnsi="仿宋" w:eastAsia="仿宋"/>
                <w:sz w:val="24"/>
              </w:rPr>
              <w:t>讲授法</w:t>
            </w:r>
          </w:p>
        </w:tc>
        <w:tc>
          <w:tcPr>
            <w:tcW w:w="559" w:type="pct"/>
            <w:vAlign w:val="center"/>
          </w:tcPr>
          <w:p w14:paraId="0FCF1E44">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课后作业、随堂测验闭卷考试</w:t>
            </w:r>
          </w:p>
        </w:tc>
        <w:tc>
          <w:tcPr>
            <w:tcW w:w="459" w:type="pct"/>
            <w:vAlign w:val="center"/>
          </w:tcPr>
          <w:p w14:paraId="17C8DF29">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1,3</w:t>
            </w:r>
          </w:p>
        </w:tc>
      </w:tr>
      <w:tr w14:paraId="430E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jc w:val="center"/>
        </w:trPr>
        <w:tc>
          <w:tcPr>
            <w:tcW w:w="353" w:type="pct"/>
            <w:shd w:val="clear" w:color="auto" w:fill="auto"/>
            <w:vAlign w:val="center"/>
          </w:tcPr>
          <w:p w14:paraId="1B151261">
            <w:pPr>
              <w:rPr>
                <w:rFonts w:hint="eastAsia" w:ascii="仿宋" w:hAnsi="仿宋" w:eastAsia="仿宋"/>
                <w:sz w:val="24"/>
              </w:rPr>
            </w:pPr>
            <w:r>
              <w:rPr>
                <w:rFonts w:hint="eastAsia" w:ascii="仿宋" w:hAnsi="仿宋" w:eastAsia="仿宋"/>
                <w:sz w:val="24"/>
              </w:rPr>
              <w:t>9</w:t>
            </w:r>
          </w:p>
        </w:tc>
        <w:tc>
          <w:tcPr>
            <w:tcW w:w="656" w:type="pct"/>
            <w:shd w:val="clear" w:color="auto" w:fill="auto"/>
            <w:vAlign w:val="center"/>
          </w:tcPr>
          <w:p w14:paraId="126ED747">
            <w:pPr>
              <w:rPr>
                <w:rFonts w:eastAsia="仿宋"/>
                <w:b/>
                <w:spacing w:val="-3"/>
                <w:sz w:val="24"/>
                <w:lang w:val="en-GB"/>
              </w:rPr>
            </w:pPr>
            <w:r>
              <w:rPr>
                <w:rFonts w:hint="eastAsia" w:ascii="仿宋" w:hAnsi="仿宋" w:eastAsia="仿宋"/>
                <w:sz w:val="24"/>
              </w:rPr>
              <w:t>第九章 股票估价</w:t>
            </w:r>
          </w:p>
        </w:tc>
        <w:tc>
          <w:tcPr>
            <w:tcW w:w="1203" w:type="pct"/>
            <w:shd w:val="clear" w:color="auto" w:fill="auto"/>
            <w:vAlign w:val="center"/>
          </w:tcPr>
          <w:p w14:paraId="41456F92">
            <w:pPr>
              <w:rPr>
                <w:rFonts w:hint="eastAsia" w:ascii="仿宋" w:hAnsi="仿宋" w:eastAsia="仿宋"/>
                <w:sz w:val="24"/>
              </w:rPr>
            </w:pPr>
            <w:r>
              <w:rPr>
                <w:rFonts w:hint="eastAsia" w:ascii="仿宋" w:hAnsi="仿宋" w:eastAsia="仿宋"/>
                <w:sz w:val="24"/>
              </w:rPr>
              <w:t>9.1股息贴现模型</w:t>
            </w:r>
          </w:p>
          <w:p w14:paraId="1FD61765">
            <w:pPr>
              <w:rPr>
                <w:rFonts w:eastAsia="仿宋"/>
                <w:b/>
                <w:spacing w:val="-3"/>
                <w:sz w:val="24"/>
                <w:lang w:val="en-GB"/>
              </w:rPr>
            </w:pPr>
            <w:r>
              <w:rPr>
                <w:rFonts w:hint="eastAsia" w:ascii="仿宋" w:hAnsi="仿宋" w:eastAsia="仿宋"/>
                <w:sz w:val="24"/>
              </w:rPr>
              <w:t>9.2市盈率模型</w:t>
            </w:r>
          </w:p>
        </w:tc>
        <w:tc>
          <w:tcPr>
            <w:tcW w:w="234" w:type="pct"/>
            <w:vAlign w:val="center"/>
          </w:tcPr>
          <w:p w14:paraId="734C51FC">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6</w:t>
            </w:r>
          </w:p>
        </w:tc>
        <w:tc>
          <w:tcPr>
            <w:tcW w:w="918" w:type="pct"/>
            <w:vAlign w:val="center"/>
          </w:tcPr>
          <w:p w14:paraId="51F217A6">
            <w:pPr>
              <w:rPr>
                <w:rFonts w:hint="eastAsia" w:ascii="仿宋" w:hAnsi="仿宋" w:eastAsia="仿宋"/>
                <w:sz w:val="24"/>
              </w:rPr>
            </w:pPr>
            <w:r>
              <w:rPr>
                <w:rFonts w:hint="eastAsia" w:ascii="仿宋" w:hAnsi="仿宋" w:eastAsia="仿宋"/>
                <w:b/>
                <w:bCs/>
                <w:sz w:val="24"/>
              </w:rPr>
              <w:t>重点：</w:t>
            </w:r>
            <w:r>
              <w:rPr>
                <w:rFonts w:hint="eastAsia" w:ascii="仿宋" w:hAnsi="仿宋" w:eastAsia="仿宋"/>
                <w:sz w:val="24"/>
              </w:rPr>
              <w:t>不同类型的股息贴现模型、不同类型的市盈率模型</w:t>
            </w:r>
          </w:p>
          <w:p w14:paraId="4F8212BF">
            <w:pPr>
              <w:rPr>
                <w:rFonts w:hint="eastAsia" w:ascii="仿宋" w:hAnsi="仿宋" w:eastAsia="仿宋"/>
                <w:sz w:val="24"/>
              </w:rPr>
            </w:pPr>
            <w:r>
              <w:rPr>
                <w:rFonts w:hint="eastAsia" w:ascii="仿宋" w:hAnsi="仿宋" w:eastAsia="仿宋"/>
                <w:b/>
                <w:bCs/>
                <w:sz w:val="24"/>
              </w:rPr>
              <w:t>难点：</w:t>
            </w:r>
            <w:r>
              <w:rPr>
                <w:rFonts w:hint="eastAsia" w:ascii="仿宋" w:hAnsi="仿宋" w:eastAsia="仿宋"/>
                <w:sz w:val="24"/>
              </w:rPr>
              <w:t>股利贴现模型、市盈率模型的应用</w:t>
            </w:r>
          </w:p>
          <w:p w14:paraId="4C160240">
            <w:pPr>
              <w:rPr>
                <w:rFonts w:hint="eastAsia" w:ascii="仿宋" w:hAnsi="仿宋" w:eastAsia="仿宋"/>
                <w:sz w:val="24"/>
              </w:rPr>
            </w:pPr>
            <w:r>
              <w:rPr>
                <w:rFonts w:hint="eastAsia" w:ascii="仿宋" w:hAnsi="仿宋" w:eastAsia="仿宋"/>
                <w:b/>
                <w:bCs/>
                <w:sz w:val="24"/>
              </w:rPr>
              <w:t>思政元素：</w:t>
            </w:r>
            <w:r>
              <w:rPr>
                <w:rFonts w:ascii="仿宋_GB2312" w:hAnsi="仿宋_GB2312" w:eastAsia="仿宋_GB2312" w:cs="仿宋_GB2312"/>
                <w:kern w:val="0"/>
                <w:sz w:val="24"/>
                <w:lang w:bidi="ar"/>
              </w:rPr>
              <w:t>瑞幸咖啡</w:t>
            </w:r>
            <w:r>
              <w:rPr>
                <w:kern w:val="0"/>
                <w:sz w:val="24"/>
                <w:lang w:bidi="ar"/>
              </w:rPr>
              <w:t xml:space="preserve"> </w:t>
            </w:r>
            <w:r>
              <w:rPr>
                <w:rFonts w:ascii="仿宋_GB2312" w:hAnsi="仿宋_GB2312" w:eastAsia="仿宋_GB2312" w:cs="仿宋_GB2312"/>
                <w:kern w:val="0"/>
                <w:sz w:val="24"/>
                <w:lang w:bidi="ar"/>
              </w:rPr>
              <w:t>财务造假以及“起死回生”的跌宕历程</w:t>
            </w:r>
            <w:r>
              <w:rPr>
                <w:rFonts w:hint="eastAsia" w:ascii="仿宋_GB2312" w:hAnsi="仿宋_GB2312" w:eastAsia="仿宋_GB2312" w:cs="仿宋_GB2312"/>
                <w:kern w:val="0"/>
                <w:sz w:val="24"/>
                <w:lang w:bidi="ar"/>
              </w:rPr>
              <w:t>，</w:t>
            </w:r>
            <w:r>
              <w:rPr>
                <w:rFonts w:ascii="仿宋_GB2312" w:hAnsi="仿宋_GB2312" w:eastAsia="仿宋_GB2312" w:cs="仿宋_GB2312"/>
                <w:sz w:val="24"/>
              </w:rPr>
              <w:t>树立</w:t>
            </w:r>
            <w:r>
              <w:rPr>
                <w:rFonts w:hint="eastAsia" w:ascii="仿宋_GB2312" w:hAnsi="仿宋_GB2312" w:eastAsia="仿宋_GB2312" w:cs="仿宋_GB2312"/>
                <w:sz w:val="24"/>
              </w:rPr>
              <w:t>学生的</w:t>
            </w:r>
            <w:r>
              <w:rPr>
                <w:rFonts w:ascii="仿宋_GB2312" w:hAnsi="仿宋_GB2312" w:eastAsia="仿宋_GB2312" w:cs="仿宋_GB2312"/>
                <w:sz w:val="24"/>
              </w:rPr>
              <w:t>正确投资观念，遵循价值投资</w:t>
            </w:r>
          </w:p>
        </w:tc>
        <w:tc>
          <w:tcPr>
            <w:tcW w:w="614" w:type="pct"/>
          </w:tcPr>
          <w:p w14:paraId="03613B6D">
            <w:pPr>
              <w:suppressAutoHyphens/>
              <w:spacing w:before="156" w:beforeLines="50" w:after="156" w:afterLines="50" w:line="276" w:lineRule="auto"/>
              <w:jc w:val="center"/>
              <w:rPr>
                <w:rFonts w:hint="eastAsia" w:ascii="仿宋" w:hAnsi="仿宋" w:eastAsia="仿宋"/>
                <w:sz w:val="24"/>
              </w:rPr>
            </w:pPr>
          </w:p>
          <w:p w14:paraId="443186D6">
            <w:pPr>
              <w:suppressAutoHyphens/>
              <w:spacing w:before="156" w:beforeLines="50" w:after="156" w:afterLines="50" w:line="276" w:lineRule="auto"/>
              <w:jc w:val="center"/>
              <w:rPr>
                <w:rFonts w:hint="eastAsia" w:ascii="仿宋" w:hAnsi="仿宋" w:eastAsia="仿宋"/>
                <w:sz w:val="24"/>
              </w:rPr>
            </w:pPr>
          </w:p>
          <w:p w14:paraId="3B0E8919">
            <w:pPr>
              <w:suppressAutoHyphens/>
              <w:spacing w:before="156" w:beforeLines="50" w:after="156" w:afterLines="50" w:line="276" w:lineRule="auto"/>
              <w:jc w:val="center"/>
              <w:rPr>
                <w:rFonts w:hint="eastAsia" w:ascii="仿宋" w:hAnsi="仿宋" w:eastAsia="仿宋"/>
                <w:sz w:val="24"/>
              </w:rPr>
            </w:pPr>
          </w:p>
          <w:p w14:paraId="37AE5741">
            <w:pPr>
              <w:suppressAutoHyphens/>
              <w:spacing w:before="156" w:beforeLines="50" w:after="156" w:afterLines="50" w:line="276" w:lineRule="auto"/>
              <w:jc w:val="center"/>
              <w:rPr>
                <w:rFonts w:hint="eastAsia" w:ascii="仿宋" w:hAnsi="仿宋" w:eastAsia="仿宋"/>
                <w:sz w:val="24"/>
              </w:rPr>
            </w:pPr>
          </w:p>
          <w:p w14:paraId="365623EB">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讲授法</w:t>
            </w:r>
          </w:p>
        </w:tc>
        <w:tc>
          <w:tcPr>
            <w:tcW w:w="559" w:type="pct"/>
            <w:vAlign w:val="center"/>
          </w:tcPr>
          <w:p w14:paraId="21ACB6E7">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课后作业、随堂测验闭卷考试</w:t>
            </w:r>
          </w:p>
        </w:tc>
        <w:tc>
          <w:tcPr>
            <w:tcW w:w="459" w:type="pct"/>
            <w:vAlign w:val="center"/>
          </w:tcPr>
          <w:p w14:paraId="79F18F29">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1,2,3</w:t>
            </w:r>
          </w:p>
        </w:tc>
      </w:tr>
      <w:tr w14:paraId="1BA71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4" w:hRule="atLeast"/>
          <w:jc w:val="center"/>
        </w:trPr>
        <w:tc>
          <w:tcPr>
            <w:tcW w:w="353" w:type="pct"/>
            <w:shd w:val="clear" w:color="auto" w:fill="auto"/>
            <w:vAlign w:val="center"/>
          </w:tcPr>
          <w:p w14:paraId="0D9CF5F8">
            <w:pPr>
              <w:rPr>
                <w:rFonts w:hint="eastAsia" w:ascii="仿宋" w:hAnsi="仿宋" w:eastAsia="仿宋"/>
                <w:sz w:val="24"/>
              </w:rPr>
            </w:pPr>
            <w:r>
              <w:rPr>
                <w:rFonts w:hint="eastAsia" w:ascii="仿宋" w:hAnsi="仿宋" w:eastAsia="仿宋"/>
                <w:sz w:val="24"/>
              </w:rPr>
              <w:t>10</w:t>
            </w:r>
          </w:p>
        </w:tc>
        <w:tc>
          <w:tcPr>
            <w:tcW w:w="656" w:type="pct"/>
            <w:shd w:val="clear" w:color="auto" w:fill="auto"/>
            <w:vAlign w:val="center"/>
          </w:tcPr>
          <w:p w14:paraId="5994E649">
            <w:pPr>
              <w:rPr>
                <w:rFonts w:eastAsia="仿宋"/>
                <w:b/>
                <w:spacing w:val="-3"/>
                <w:sz w:val="24"/>
                <w:lang w:val="en-GB"/>
              </w:rPr>
            </w:pPr>
            <w:r>
              <w:rPr>
                <w:rFonts w:hint="eastAsia" w:ascii="仿宋" w:hAnsi="仿宋" w:eastAsia="仿宋"/>
                <w:sz w:val="24"/>
                <w:lang w:val="zh-CN"/>
              </w:rPr>
              <w:t>第</w:t>
            </w:r>
            <w:r>
              <w:rPr>
                <w:rFonts w:hint="eastAsia" w:ascii="仿宋" w:hAnsi="仿宋" w:eastAsia="仿宋"/>
                <w:sz w:val="24"/>
              </w:rPr>
              <w:t>十</w:t>
            </w:r>
            <w:r>
              <w:rPr>
                <w:rFonts w:hint="eastAsia" w:ascii="仿宋" w:hAnsi="仿宋" w:eastAsia="仿宋"/>
                <w:sz w:val="24"/>
                <w:lang w:val="zh-CN"/>
              </w:rPr>
              <w:t xml:space="preserve">章 </w:t>
            </w:r>
            <w:r>
              <w:rPr>
                <w:rFonts w:hint="eastAsia" w:ascii="仿宋" w:hAnsi="仿宋" w:eastAsia="仿宋"/>
                <w:sz w:val="24"/>
              </w:rPr>
              <w:t>衍生金融市场</w:t>
            </w:r>
          </w:p>
        </w:tc>
        <w:tc>
          <w:tcPr>
            <w:tcW w:w="1203" w:type="pct"/>
            <w:shd w:val="clear" w:color="auto" w:fill="auto"/>
            <w:vAlign w:val="center"/>
          </w:tcPr>
          <w:p w14:paraId="40536B64">
            <w:pPr>
              <w:rPr>
                <w:rFonts w:hint="eastAsia" w:ascii="仿宋" w:hAnsi="仿宋" w:eastAsia="仿宋"/>
                <w:sz w:val="24"/>
              </w:rPr>
            </w:pPr>
            <w:r>
              <w:rPr>
                <w:rFonts w:hint="eastAsia" w:ascii="仿宋" w:hAnsi="仿宋" w:eastAsia="仿宋"/>
                <w:sz w:val="24"/>
              </w:rPr>
              <w:t>10.1期货市场</w:t>
            </w:r>
          </w:p>
          <w:p w14:paraId="5B4BB23E">
            <w:pPr>
              <w:rPr>
                <w:rFonts w:hint="eastAsia" w:ascii="仿宋" w:hAnsi="仿宋" w:eastAsia="仿宋"/>
                <w:sz w:val="24"/>
              </w:rPr>
            </w:pPr>
            <w:r>
              <w:rPr>
                <w:rFonts w:hint="eastAsia" w:ascii="仿宋" w:hAnsi="仿宋" w:eastAsia="仿宋"/>
                <w:sz w:val="24"/>
              </w:rPr>
              <w:t>10.2期权市场</w:t>
            </w:r>
          </w:p>
          <w:p w14:paraId="0201E957">
            <w:pPr>
              <w:rPr>
                <w:rFonts w:eastAsia="仿宋"/>
                <w:b/>
                <w:spacing w:val="-3"/>
                <w:sz w:val="24"/>
                <w:lang w:val="en-GB"/>
              </w:rPr>
            </w:pPr>
            <w:r>
              <w:rPr>
                <w:rFonts w:hint="eastAsia" w:ascii="仿宋" w:hAnsi="仿宋" w:eastAsia="仿宋"/>
                <w:sz w:val="24"/>
              </w:rPr>
              <w:t>10.3利率衍生品市场</w:t>
            </w:r>
          </w:p>
        </w:tc>
        <w:tc>
          <w:tcPr>
            <w:tcW w:w="234" w:type="pct"/>
            <w:vAlign w:val="center"/>
          </w:tcPr>
          <w:p w14:paraId="1E6168E7">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3</w:t>
            </w:r>
          </w:p>
        </w:tc>
        <w:tc>
          <w:tcPr>
            <w:tcW w:w="918" w:type="pct"/>
            <w:vAlign w:val="center"/>
          </w:tcPr>
          <w:p w14:paraId="1A022589">
            <w:pPr>
              <w:rPr>
                <w:rFonts w:hint="eastAsia" w:ascii="仿宋" w:hAnsi="仿宋" w:eastAsia="仿宋"/>
                <w:sz w:val="24"/>
              </w:rPr>
            </w:pPr>
            <w:r>
              <w:rPr>
                <w:rFonts w:hint="eastAsia" w:ascii="仿宋" w:hAnsi="仿宋" w:eastAsia="仿宋"/>
                <w:b/>
                <w:bCs/>
                <w:sz w:val="24"/>
              </w:rPr>
              <w:t>重点：</w:t>
            </w:r>
            <w:r>
              <w:rPr>
                <w:rFonts w:hint="eastAsia" w:ascii="仿宋" w:hAnsi="仿宋" w:eastAsia="仿宋"/>
                <w:sz w:val="24"/>
              </w:rPr>
              <w:t>衍生金融市场的基本知识，远期、期货、期权、互换</w:t>
            </w:r>
          </w:p>
          <w:p w14:paraId="5F66CB6A">
            <w:pPr>
              <w:rPr>
                <w:rFonts w:hint="eastAsia" w:ascii="仿宋" w:hAnsi="仿宋" w:eastAsia="仿宋"/>
                <w:sz w:val="24"/>
              </w:rPr>
            </w:pPr>
            <w:r>
              <w:rPr>
                <w:rFonts w:hint="eastAsia" w:ascii="仿宋" w:hAnsi="仿宋" w:eastAsia="仿宋"/>
                <w:b/>
                <w:bCs/>
                <w:sz w:val="24"/>
              </w:rPr>
              <w:t>难点：</w:t>
            </w:r>
            <w:r>
              <w:rPr>
                <w:rFonts w:hint="eastAsia" w:ascii="仿宋" w:hAnsi="仿宋" w:eastAsia="仿宋"/>
                <w:sz w:val="24"/>
              </w:rPr>
              <w:t>利用衍生金融市场进行风险对冲</w:t>
            </w:r>
          </w:p>
          <w:p w14:paraId="059688C3">
            <w:pPr>
              <w:rPr>
                <w:rFonts w:hint="eastAsia" w:ascii="仿宋" w:hAnsi="仿宋" w:eastAsia="仿宋"/>
                <w:sz w:val="24"/>
              </w:rPr>
            </w:pPr>
            <w:r>
              <w:rPr>
                <w:rFonts w:hint="eastAsia" w:ascii="仿宋" w:hAnsi="仿宋" w:eastAsia="仿宋"/>
                <w:b/>
                <w:bCs/>
                <w:sz w:val="24"/>
              </w:rPr>
              <w:t>思政元素:</w:t>
            </w:r>
            <w:r>
              <w:rPr>
                <w:rFonts w:hint="eastAsia" w:ascii="仿宋" w:hAnsi="仿宋" w:eastAsia="仿宋"/>
                <w:sz w:val="24"/>
              </w:rPr>
              <w:t>对比“香港港币保卫战”与“索罗斯做空泰铢”，树立正确投资价值观</w:t>
            </w:r>
          </w:p>
        </w:tc>
        <w:tc>
          <w:tcPr>
            <w:tcW w:w="614" w:type="pct"/>
          </w:tcPr>
          <w:p w14:paraId="7B095FDA">
            <w:pPr>
              <w:suppressAutoHyphens/>
              <w:spacing w:before="156" w:beforeLines="50" w:after="156" w:afterLines="50" w:line="276" w:lineRule="auto"/>
              <w:jc w:val="center"/>
              <w:rPr>
                <w:rFonts w:hint="eastAsia" w:ascii="仿宋" w:hAnsi="仿宋" w:eastAsia="仿宋"/>
                <w:sz w:val="24"/>
              </w:rPr>
            </w:pPr>
          </w:p>
          <w:p w14:paraId="31AF252F">
            <w:pPr>
              <w:suppressAutoHyphens/>
              <w:spacing w:before="156" w:beforeLines="50" w:after="156" w:afterLines="50" w:line="276" w:lineRule="auto"/>
              <w:jc w:val="center"/>
              <w:rPr>
                <w:rFonts w:hint="eastAsia" w:ascii="仿宋" w:hAnsi="仿宋" w:eastAsia="仿宋"/>
                <w:sz w:val="24"/>
              </w:rPr>
            </w:pPr>
          </w:p>
          <w:p w14:paraId="273240A3">
            <w:pPr>
              <w:suppressAutoHyphens/>
              <w:spacing w:before="156" w:beforeLines="50" w:after="156" w:afterLines="50" w:line="276" w:lineRule="auto"/>
              <w:jc w:val="center"/>
              <w:rPr>
                <w:rFonts w:hint="eastAsia" w:ascii="仿宋" w:hAnsi="仿宋" w:eastAsia="仿宋"/>
                <w:sz w:val="24"/>
              </w:rPr>
            </w:pPr>
          </w:p>
          <w:p w14:paraId="4DE66868">
            <w:pPr>
              <w:suppressAutoHyphens/>
              <w:spacing w:before="156" w:beforeLines="50" w:after="156" w:afterLines="50" w:line="276" w:lineRule="auto"/>
              <w:jc w:val="center"/>
              <w:rPr>
                <w:rFonts w:hint="eastAsia" w:ascii="仿宋" w:hAnsi="仿宋" w:eastAsia="仿宋"/>
                <w:sz w:val="24"/>
              </w:rPr>
            </w:pPr>
          </w:p>
          <w:p w14:paraId="1B404AA8">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讲授法</w:t>
            </w:r>
          </w:p>
        </w:tc>
        <w:tc>
          <w:tcPr>
            <w:tcW w:w="559" w:type="pct"/>
            <w:vAlign w:val="center"/>
          </w:tcPr>
          <w:p w14:paraId="0C7CBF97">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课后作业、随堂测验闭卷考试</w:t>
            </w:r>
          </w:p>
        </w:tc>
        <w:tc>
          <w:tcPr>
            <w:tcW w:w="459" w:type="pct"/>
            <w:vAlign w:val="center"/>
          </w:tcPr>
          <w:p w14:paraId="28CEABF2">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1,3</w:t>
            </w:r>
          </w:p>
        </w:tc>
      </w:tr>
      <w:tr w14:paraId="286D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353" w:type="pct"/>
            <w:shd w:val="clear" w:color="auto" w:fill="auto"/>
            <w:vAlign w:val="center"/>
          </w:tcPr>
          <w:p w14:paraId="7518603A">
            <w:pPr>
              <w:rPr>
                <w:rFonts w:hint="eastAsia" w:ascii="仿宋" w:hAnsi="仿宋" w:eastAsia="仿宋"/>
                <w:sz w:val="24"/>
              </w:rPr>
            </w:pPr>
            <w:r>
              <w:rPr>
                <w:rFonts w:hint="eastAsia" w:ascii="仿宋" w:hAnsi="仿宋" w:eastAsia="仿宋"/>
                <w:sz w:val="24"/>
              </w:rPr>
              <w:t>11</w:t>
            </w:r>
          </w:p>
        </w:tc>
        <w:tc>
          <w:tcPr>
            <w:tcW w:w="656" w:type="pct"/>
            <w:shd w:val="clear" w:color="auto" w:fill="auto"/>
            <w:vAlign w:val="center"/>
          </w:tcPr>
          <w:p w14:paraId="43309971">
            <w:pPr>
              <w:rPr>
                <w:rFonts w:hint="eastAsia" w:ascii="仿宋" w:hAnsi="仿宋" w:eastAsia="仿宋"/>
                <w:sz w:val="24"/>
              </w:rPr>
            </w:pPr>
            <w:r>
              <w:rPr>
                <w:rFonts w:hint="eastAsia" w:ascii="仿宋" w:hAnsi="仿宋" w:eastAsia="仿宋"/>
                <w:sz w:val="24"/>
              </w:rPr>
              <w:t>上机实践</w:t>
            </w:r>
          </w:p>
        </w:tc>
        <w:tc>
          <w:tcPr>
            <w:tcW w:w="1203" w:type="pct"/>
            <w:shd w:val="clear" w:color="auto" w:fill="auto"/>
            <w:vAlign w:val="center"/>
          </w:tcPr>
          <w:p w14:paraId="3A7B4E01">
            <w:pPr>
              <w:rPr>
                <w:rFonts w:hint="eastAsia" w:ascii="仿宋" w:hAnsi="仿宋" w:eastAsia="仿宋"/>
                <w:sz w:val="24"/>
              </w:rPr>
            </w:pPr>
            <w:r>
              <w:rPr>
                <w:rFonts w:hint="eastAsia" w:ascii="仿宋" w:hAnsi="仿宋" w:eastAsia="仿宋"/>
                <w:sz w:val="24"/>
              </w:rPr>
              <w:t>交易实操及实证分析</w:t>
            </w:r>
          </w:p>
        </w:tc>
        <w:tc>
          <w:tcPr>
            <w:tcW w:w="234" w:type="pct"/>
            <w:vAlign w:val="center"/>
          </w:tcPr>
          <w:p w14:paraId="276C60EB">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8</w:t>
            </w:r>
          </w:p>
        </w:tc>
        <w:tc>
          <w:tcPr>
            <w:tcW w:w="918" w:type="pct"/>
            <w:vAlign w:val="center"/>
          </w:tcPr>
          <w:p w14:paraId="03CEE813">
            <w:pPr>
              <w:suppressAutoHyphens/>
              <w:spacing w:before="156" w:beforeLines="50" w:after="156" w:afterLines="50" w:line="276" w:lineRule="auto"/>
              <w:jc w:val="center"/>
              <w:rPr>
                <w:rFonts w:eastAsia="仿宋"/>
                <w:b/>
                <w:spacing w:val="-3"/>
                <w:sz w:val="24"/>
              </w:rPr>
            </w:pPr>
            <w:r>
              <w:rPr>
                <w:rFonts w:hint="eastAsia" w:eastAsia="仿宋"/>
                <w:b/>
                <w:spacing w:val="-3"/>
                <w:sz w:val="24"/>
              </w:rPr>
              <w:t>/</w:t>
            </w:r>
          </w:p>
        </w:tc>
        <w:tc>
          <w:tcPr>
            <w:tcW w:w="614" w:type="pct"/>
          </w:tcPr>
          <w:p w14:paraId="33A9C611">
            <w:pPr>
              <w:suppressAutoHyphens/>
              <w:spacing w:before="156" w:beforeLines="50" w:after="156" w:afterLines="50" w:line="276" w:lineRule="auto"/>
              <w:jc w:val="center"/>
              <w:rPr>
                <w:rFonts w:eastAsia="仿宋"/>
                <w:b/>
                <w:spacing w:val="-3"/>
                <w:sz w:val="24"/>
              </w:rPr>
            </w:pPr>
            <w:r>
              <w:rPr>
                <w:rFonts w:hint="eastAsia" w:ascii="仿宋" w:hAnsi="仿宋" w:eastAsia="仿宋"/>
                <w:sz w:val="24"/>
              </w:rPr>
              <w:t>讲授法、案例法</w:t>
            </w:r>
          </w:p>
        </w:tc>
        <w:tc>
          <w:tcPr>
            <w:tcW w:w="559" w:type="pct"/>
            <w:vAlign w:val="center"/>
          </w:tcPr>
          <w:p w14:paraId="1320579D">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实操测验</w:t>
            </w:r>
          </w:p>
        </w:tc>
        <w:tc>
          <w:tcPr>
            <w:tcW w:w="459" w:type="pct"/>
            <w:vAlign w:val="center"/>
          </w:tcPr>
          <w:p w14:paraId="5ACDE8EA">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2.3</w:t>
            </w:r>
          </w:p>
        </w:tc>
      </w:tr>
      <w:tr w14:paraId="0526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 w:type="pct"/>
            <w:shd w:val="clear" w:color="auto" w:fill="auto"/>
            <w:vAlign w:val="center"/>
          </w:tcPr>
          <w:p w14:paraId="050D096A">
            <w:pPr>
              <w:rPr>
                <w:rFonts w:hint="eastAsia" w:ascii="仿宋" w:hAnsi="仿宋" w:eastAsia="仿宋"/>
                <w:sz w:val="24"/>
              </w:rPr>
            </w:pPr>
            <w:r>
              <w:rPr>
                <w:rFonts w:hint="eastAsia" w:ascii="仿宋" w:hAnsi="仿宋" w:eastAsia="仿宋"/>
                <w:sz w:val="24"/>
              </w:rPr>
              <w:t>12</w:t>
            </w:r>
          </w:p>
        </w:tc>
        <w:tc>
          <w:tcPr>
            <w:tcW w:w="656" w:type="pct"/>
            <w:shd w:val="clear" w:color="auto" w:fill="auto"/>
            <w:vAlign w:val="center"/>
          </w:tcPr>
          <w:p w14:paraId="602EE3AC">
            <w:pPr>
              <w:rPr>
                <w:rFonts w:hint="eastAsia" w:ascii="仿宋" w:hAnsi="仿宋" w:eastAsia="仿宋"/>
                <w:sz w:val="24"/>
              </w:rPr>
            </w:pPr>
            <w:r>
              <w:rPr>
                <w:rFonts w:hint="eastAsia" w:ascii="仿宋" w:hAnsi="仿宋" w:eastAsia="仿宋"/>
                <w:sz w:val="24"/>
              </w:rPr>
              <w:t>汇报</w:t>
            </w:r>
          </w:p>
        </w:tc>
        <w:tc>
          <w:tcPr>
            <w:tcW w:w="1203" w:type="pct"/>
            <w:shd w:val="clear" w:color="auto" w:fill="auto"/>
            <w:vAlign w:val="center"/>
          </w:tcPr>
          <w:p w14:paraId="01E13839">
            <w:pPr>
              <w:rPr>
                <w:rFonts w:hint="eastAsia" w:ascii="仿宋" w:hAnsi="仿宋" w:eastAsia="仿宋"/>
                <w:sz w:val="24"/>
              </w:rPr>
            </w:pPr>
            <w:r>
              <w:rPr>
                <w:rFonts w:hint="eastAsia" w:ascii="仿宋" w:hAnsi="仿宋" w:eastAsia="仿宋"/>
                <w:sz w:val="24"/>
              </w:rPr>
              <w:t>产品创新或金融双创想法汇报（暂定）</w:t>
            </w:r>
          </w:p>
        </w:tc>
        <w:tc>
          <w:tcPr>
            <w:tcW w:w="234" w:type="pct"/>
            <w:vAlign w:val="center"/>
          </w:tcPr>
          <w:p w14:paraId="3836840D">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2</w:t>
            </w:r>
          </w:p>
        </w:tc>
        <w:tc>
          <w:tcPr>
            <w:tcW w:w="918" w:type="pct"/>
            <w:vAlign w:val="center"/>
          </w:tcPr>
          <w:p w14:paraId="1E74BA0C">
            <w:pPr>
              <w:suppressAutoHyphens/>
              <w:spacing w:before="156" w:beforeLines="50" w:after="156" w:afterLines="50" w:line="276" w:lineRule="auto"/>
              <w:jc w:val="center"/>
              <w:rPr>
                <w:rFonts w:eastAsia="仿宋"/>
                <w:b/>
                <w:spacing w:val="-3"/>
                <w:sz w:val="24"/>
              </w:rPr>
            </w:pPr>
            <w:r>
              <w:rPr>
                <w:rFonts w:hint="eastAsia" w:eastAsia="仿宋"/>
                <w:b/>
                <w:spacing w:val="-3"/>
                <w:sz w:val="24"/>
              </w:rPr>
              <w:t>/</w:t>
            </w:r>
          </w:p>
        </w:tc>
        <w:tc>
          <w:tcPr>
            <w:tcW w:w="614" w:type="pct"/>
          </w:tcPr>
          <w:p w14:paraId="7F12283C">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翻转</w:t>
            </w:r>
          </w:p>
          <w:p w14:paraId="769E89BE">
            <w:pPr>
              <w:suppressAutoHyphens/>
              <w:spacing w:before="156" w:beforeLines="50" w:after="156" w:afterLines="50" w:line="276" w:lineRule="auto"/>
              <w:jc w:val="center"/>
              <w:rPr>
                <w:rFonts w:eastAsia="仿宋"/>
                <w:b/>
                <w:spacing w:val="-3"/>
                <w:sz w:val="24"/>
                <w:lang w:val="en-GB"/>
              </w:rPr>
            </w:pPr>
            <w:r>
              <w:rPr>
                <w:rFonts w:hint="eastAsia" w:ascii="仿宋" w:hAnsi="仿宋" w:eastAsia="仿宋"/>
                <w:sz w:val="24"/>
              </w:rPr>
              <w:t>课堂</w:t>
            </w:r>
          </w:p>
        </w:tc>
        <w:tc>
          <w:tcPr>
            <w:tcW w:w="559" w:type="pct"/>
            <w:vAlign w:val="center"/>
          </w:tcPr>
          <w:p w14:paraId="3B173948">
            <w:pPr>
              <w:suppressAutoHyphens/>
              <w:spacing w:before="156" w:beforeLines="50" w:after="156" w:afterLines="50" w:line="276" w:lineRule="auto"/>
              <w:jc w:val="center"/>
              <w:rPr>
                <w:rFonts w:eastAsia="仿宋"/>
                <w:b/>
                <w:spacing w:val="-3"/>
                <w:sz w:val="24"/>
              </w:rPr>
            </w:pPr>
            <w:r>
              <w:rPr>
                <w:rFonts w:hint="eastAsia" w:eastAsia="仿宋"/>
                <w:b/>
                <w:spacing w:val="-3"/>
                <w:sz w:val="24"/>
              </w:rPr>
              <w:t>/</w:t>
            </w:r>
          </w:p>
        </w:tc>
        <w:tc>
          <w:tcPr>
            <w:tcW w:w="459" w:type="pct"/>
            <w:vAlign w:val="center"/>
          </w:tcPr>
          <w:p w14:paraId="04FD515B">
            <w:pPr>
              <w:suppressAutoHyphens/>
              <w:spacing w:before="156" w:beforeLines="50" w:after="156" w:afterLines="50" w:line="276" w:lineRule="auto"/>
              <w:jc w:val="center"/>
              <w:rPr>
                <w:rFonts w:hint="eastAsia" w:ascii="仿宋" w:hAnsi="仿宋" w:eastAsia="仿宋"/>
                <w:sz w:val="24"/>
              </w:rPr>
            </w:pPr>
            <w:r>
              <w:rPr>
                <w:rFonts w:hint="eastAsia" w:ascii="仿宋" w:hAnsi="仿宋" w:eastAsia="仿宋"/>
                <w:sz w:val="24"/>
              </w:rPr>
              <w:t>1,2</w:t>
            </w:r>
          </w:p>
        </w:tc>
      </w:tr>
    </w:tbl>
    <w:p w14:paraId="68DDF023">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14:paraId="0A8E4C3A">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14:paraId="40E6E683">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14:paraId="26DBE090">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14:paraId="3CA67F3E">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5A6C3BE6">
      <w:pPr>
        <w:snapToGrid w:val="0"/>
        <w:spacing w:line="360" w:lineRule="auto"/>
        <w:ind w:firstLine="482" w:firstLineChars="200"/>
        <w:rPr>
          <w:rFonts w:hint="eastAsia"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0542C03F">
      <w:pPr>
        <w:snapToGrid w:val="0"/>
        <w:spacing w:line="360" w:lineRule="auto"/>
        <w:ind w:firstLine="480" w:firstLineChars="200"/>
        <w:rPr>
          <w:rFonts w:hint="eastAsia" w:ascii="仿宋" w:hAnsi="仿宋" w:eastAsia="仿宋"/>
          <w:sz w:val="24"/>
        </w:rPr>
      </w:pPr>
      <w:r>
        <w:rPr>
          <w:rFonts w:hint="eastAsia" w:ascii="仿宋" w:hAnsi="仿宋" w:eastAsia="仿宋"/>
          <w:sz w:val="24"/>
        </w:rPr>
        <w:t>百分制</w:t>
      </w:r>
    </w:p>
    <w:p w14:paraId="6CD5F49F">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过程成绩30</w:t>
      </w:r>
      <w:r>
        <w:rPr>
          <w:rFonts w:eastAsia="仿宋"/>
          <w:sz w:val="24"/>
        </w:rPr>
        <w:t>%</w:t>
      </w:r>
      <w:r>
        <w:rPr>
          <w:rFonts w:hint="eastAsia" w:eastAsia="仿宋"/>
          <w:sz w:val="24"/>
        </w:rPr>
        <w:t>，实验成绩10</w:t>
      </w:r>
      <w:r>
        <w:rPr>
          <w:rFonts w:eastAsia="仿宋"/>
          <w:sz w:val="24"/>
        </w:rPr>
        <w:t>%</w:t>
      </w:r>
      <w:r>
        <w:rPr>
          <w:rFonts w:hint="eastAsia" w:eastAsia="仿宋"/>
          <w:sz w:val="24"/>
        </w:rPr>
        <w:t>，结课考核成绩50</w:t>
      </w:r>
      <w:r>
        <w:rPr>
          <w:rFonts w:eastAsia="仿宋"/>
          <w:sz w:val="24"/>
        </w:rPr>
        <w:t>%</w:t>
      </w:r>
    </w:p>
    <w:p w14:paraId="67165964">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882"/>
        <w:gridCol w:w="1563"/>
      </w:tblGrid>
      <w:tr w14:paraId="31CD7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578" w:type="dxa"/>
            <w:gridSpan w:val="2"/>
            <w:shd w:val="clear" w:color="auto" w:fill="BEBEBE" w:themeFill="background1" w:themeFillShade="BF"/>
            <w:vAlign w:val="center"/>
          </w:tcPr>
          <w:p w14:paraId="5F70453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shd w:val="clear" w:color="auto" w:fill="BEBEBE" w:themeFill="background1" w:themeFillShade="BF"/>
            <w:vAlign w:val="center"/>
          </w:tcPr>
          <w:p w14:paraId="711D354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882" w:type="dxa"/>
            <w:shd w:val="clear" w:color="auto" w:fill="BEBEBE" w:themeFill="background1" w:themeFillShade="BF"/>
            <w:vAlign w:val="center"/>
          </w:tcPr>
          <w:p w14:paraId="0892229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1563" w:type="dxa"/>
            <w:shd w:val="clear" w:color="auto" w:fill="BEBEBE" w:themeFill="background1" w:themeFillShade="BF"/>
            <w:vAlign w:val="center"/>
          </w:tcPr>
          <w:p w14:paraId="6945B213">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14:paraId="2E3ED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14:paraId="336ADD25">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761" w:type="dxa"/>
            <w:shd w:val="clear" w:color="auto" w:fill="auto"/>
            <w:vAlign w:val="center"/>
          </w:tcPr>
          <w:p w14:paraId="25B2B567">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798" w:type="dxa"/>
            <w:vAlign w:val="center"/>
          </w:tcPr>
          <w:p w14:paraId="53E5E58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10</w:t>
            </w:r>
          </w:p>
        </w:tc>
        <w:tc>
          <w:tcPr>
            <w:tcW w:w="2882" w:type="dxa"/>
          </w:tcPr>
          <w:p w14:paraId="35A3D705">
            <w:pPr>
              <w:numPr>
                <w:ilvl w:val="0"/>
                <w:numId w:val="5"/>
              </w:numPr>
              <w:snapToGrid w:val="0"/>
              <w:spacing w:line="360" w:lineRule="auto"/>
              <w:rPr>
                <w:rFonts w:hint="eastAsia" w:ascii="仿宋" w:hAnsi="仿宋" w:eastAsia="仿宋"/>
                <w:bCs/>
                <w:color w:val="000000"/>
                <w:sz w:val="24"/>
              </w:rPr>
            </w:pPr>
            <w:r>
              <w:rPr>
                <w:rFonts w:hint="eastAsia" w:ascii="仿宋" w:hAnsi="仿宋" w:eastAsia="仿宋"/>
                <w:bCs/>
                <w:color w:val="000000"/>
                <w:sz w:val="24"/>
              </w:rPr>
              <w:t>三次作业（每次作业按等级给分：A-3分、B-2分、C-1分；共9分，每次作业各占3分）</w:t>
            </w:r>
          </w:p>
          <w:p w14:paraId="697CA644">
            <w:pPr>
              <w:numPr>
                <w:ilvl w:val="0"/>
                <w:numId w:val="5"/>
              </w:numPr>
              <w:snapToGrid w:val="0"/>
              <w:spacing w:line="360" w:lineRule="auto"/>
              <w:rPr>
                <w:rFonts w:hint="eastAsia" w:ascii="仿宋" w:hAnsi="仿宋" w:eastAsia="仿宋"/>
                <w:bCs/>
                <w:color w:val="000000"/>
                <w:sz w:val="24"/>
              </w:rPr>
            </w:pPr>
            <w:r>
              <w:rPr>
                <w:rFonts w:hint="eastAsia" w:ascii="仿宋" w:hAnsi="仿宋" w:eastAsia="仿宋"/>
                <w:bCs/>
                <w:color w:val="000000"/>
                <w:sz w:val="24"/>
              </w:rPr>
              <w:t>思维导图（占1分）</w:t>
            </w:r>
          </w:p>
        </w:tc>
        <w:tc>
          <w:tcPr>
            <w:tcW w:w="1563" w:type="dxa"/>
          </w:tcPr>
          <w:p w14:paraId="6E037B88">
            <w:pPr>
              <w:snapToGrid w:val="0"/>
              <w:spacing w:line="360" w:lineRule="auto"/>
              <w:jc w:val="center"/>
              <w:rPr>
                <w:rFonts w:hint="eastAsia" w:ascii="仿宋" w:hAnsi="仿宋" w:eastAsia="仿宋"/>
                <w:bCs/>
                <w:color w:val="000000"/>
                <w:sz w:val="24"/>
              </w:rPr>
            </w:pPr>
          </w:p>
          <w:p w14:paraId="16A701C7">
            <w:pPr>
              <w:snapToGrid w:val="0"/>
              <w:spacing w:line="360" w:lineRule="auto"/>
              <w:jc w:val="center"/>
              <w:rPr>
                <w:rFonts w:hint="eastAsia" w:ascii="仿宋" w:hAnsi="仿宋" w:eastAsia="仿宋"/>
                <w:bCs/>
                <w:color w:val="000000"/>
                <w:sz w:val="24"/>
              </w:rPr>
            </w:pPr>
          </w:p>
          <w:p w14:paraId="1FFBDC07">
            <w:pPr>
              <w:snapToGrid w:val="0"/>
              <w:spacing w:line="360" w:lineRule="auto"/>
              <w:jc w:val="center"/>
              <w:rPr>
                <w:rFonts w:hint="eastAsia" w:ascii="仿宋" w:hAnsi="仿宋" w:eastAsia="仿宋"/>
                <w:bCs/>
                <w:color w:val="000000"/>
                <w:sz w:val="24"/>
              </w:rPr>
            </w:pPr>
          </w:p>
          <w:p w14:paraId="1C34BCE1">
            <w:pPr>
              <w:snapToGrid w:val="0"/>
              <w:spacing w:line="360" w:lineRule="auto"/>
              <w:jc w:val="center"/>
              <w:rPr>
                <w:rFonts w:hint="eastAsia" w:ascii="仿宋" w:hAnsi="仿宋" w:eastAsia="仿宋"/>
                <w:bCs/>
                <w:color w:val="000000"/>
                <w:sz w:val="24"/>
              </w:rPr>
            </w:pPr>
            <w:r>
              <w:rPr>
                <w:rFonts w:hint="eastAsia" w:ascii="仿宋" w:hAnsi="仿宋" w:eastAsia="仿宋"/>
                <w:bCs/>
                <w:color w:val="000000"/>
                <w:sz w:val="24"/>
              </w:rPr>
              <w:t>1，2,3</w:t>
            </w:r>
          </w:p>
        </w:tc>
      </w:tr>
      <w:tr w14:paraId="6EB7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3ACD5F33">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73C9FD5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随堂测试</w:t>
            </w:r>
          </w:p>
        </w:tc>
        <w:tc>
          <w:tcPr>
            <w:tcW w:w="798" w:type="dxa"/>
            <w:vAlign w:val="center"/>
          </w:tcPr>
          <w:p w14:paraId="27080BC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5</w:t>
            </w:r>
          </w:p>
        </w:tc>
        <w:tc>
          <w:tcPr>
            <w:tcW w:w="2882" w:type="dxa"/>
          </w:tcPr>
          <w:p w14:paraId="7AB9AF94">
            <w:pPr>
              <w:snapToGrid w:val="0"/>
              <w:spacing w:line="360" w:lineRule="auto"/>
              <w:jc w:val="left"/>
              <w:rPr>
                <w:rFonts w:hint="eastAsia" w:ascii="仿宋" w:hAnsi="仿宋" w:eastAsia="仿宋"/>
                <w:bCs/>
                <w:color w:val="000000"/>
                <w:sz w:val="24"/>
              </w:rPr>
            </w:pPr>
            <w:r>
              <w:rPr>
                <w:rFonts w:hint="eastAsia" w:ascii="仿宋" w:hAnsi="仿宋" w:eastAsia="仿宋"/>
                <w:bCs/>
                <w:color w:val="000000"/>
                <w:sz w:val="24"/>
              </w:rPr>
              <w:t>随堂测试两次（各2.5分，按等级给分A-2.5分、B-2分、C-1.5分、D-1分）</w:t>
            </w:r>
          </w:p>
        </w:tc>
        <w:tc>
          <w:tcPr>
            <w:tcW w:w="1563" w:type="dxa"/>
          </w:tcPr>
          <w:p w14:paraId="4091C77D">
            <w:pPr>
              <w:snapToGrid w:val="0"/>
              <w:spacing w:line="360" w:lineRule="auto"/>
              <w:jc w:val="center"/>
              <w:rPr>
                <w:rFonts w:hint="eastAsia" w:ascii="仿宋" w:hAnsi="仿宋" w:eastAsia="仿宋"/>
                <w:bCs/>
                <w:color w:val="000000"/>
                <w:sz w:val="24"/>
              </w:rPr>
            </w:pPr>
          </w:p>
          <w:p w14:paraId="339ED0AA">
            <w:pPr>
              <w:snapToGrid w:val="0"/>
              <w:spacing w:line="360" w:lineRule="auto"/>
              <w:jc w:val="center"/>
              <w:rPr>
                <w:rFonts w:hint="eastAsia" w:ascii="仿宋" w:hAnsi="仿宋" w:eastAsia="仿宋"/>
                <w:bCs/>
                <w:color w:val="000000"/>
                <w:sz w:val="24"/>
              </w:rPr>
            </w:pPr>
            <w:r>
              <w:rPr>
                <w:rFonts w:hint="eastAsia" w:ascii="仿宋" w:hAnsi="仿宋" w:eastAsia="仿宋"/>
                <w:bCs/>
                <w:color w:val="000000"/>
                <w:sz w:val="24"/>
              </w:rPr>
              <w:t>3</w:t>
            </w:r>
          </w:p>
        </w:tc>
      </w:tr>
      <w:tr w14:paraId="139D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1FABD5DE">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1E3872C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课堂表现</w:t>
            </w:r>
          </w:p>
        </w:tc>
        <w:tc>
          <w:tcPr>
            <w:tcW w:w="798" w:type="dxa"/>
            <w:vAlign w:val="center"/>
          </w:tcPr>
          <w:p w14:paraId="7697061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5</w:t>
            </w:r>
          </w:p>
        </w:tc>
        <w:tc>
          <w:tcPr>
            <w:tcW w:w="2882" w:type="dxa"/>
          </w:tcPr>
          <w:p w14:paraId="1AD09D9C">
            <w:pPr>
              <w:snapToGrid w:val="0"/>
              <w:spacing w:line="360" w:lineRule="auto"/>
              <w:jc w:val="left"/>
              <w:rPr>
                <w:rFonts w:hint="eastAsia" w:ascii="仿宋" w:hAnsi="仿宋" w:eastAsia="仿宋"/>
                <w:bCs/>
                <w:color w:val="000000"/>
                <w:sz w:val="24"/>
              </w:rPr>
            </w:pPr>
            <w:r>
              <w:rPr>
                <w:rFonts w:hint="eastAsia" w:ascii="仿宋" w:hAnsi="仿宋" w:eastAsia="仿宋"/>
                <w:bCs/>
                <w:color w:val="000000"/>
                <w:sz w:val="24"/>
              </w:rPr>
              <w:t>课堂上主动回答问题，能随时给回应或者提出自己的疑问/思考</w:t>
            </w:r>
          </w:p>
        </w:tc>
        <w:tc>
          <w:tcPr>
            <w:tcW w:w="1563" w:type="dxa"/>
          </w:tcPr>
          <w:p w14:paraId="503B1EA5">
            <w:pPr>
              <w:snapToGrid w:val="0"/>
              <w:spacing w:line="360" w:lineRule="auto"/>
              <w:jc w:val="center"/>
              <w:rPr>
                <w:rFonts w:hint="eastAsia" w:ascii="仿宋" w:hAnsi="仿宋" w:eastAsia="仿宋"/>
                <w:bCs/>
                <w:color w:val="000000"/>
                <w:sz w:val="24"/>
              </w:rPr>
            </w:pPr>
          </w:p>
          <w:p w14:paraId="071389E5">
            <w:pPr>
              <w:snapToGrid w:val="0"/>
              <w:spacing w:line="360" w:lineRule="auto"/>
              <w:jc w:val="center"/>
              <w:rPr>
                <w:rFonts w:hint="eastAsia" w:ascii="仿宋" w:hAnsi="仿宋" w:eastAsia="仿宋"/>
                <w:bCs/>
                <w:color w:val="000000"/>
                <w:sz w:val="24"/>
              </w:rPr>
            </w:pPr>
            <w:r>
              <w:rPr>
                <w:rFonts w:hint="eastAsia" w:ascii="仿宋" w:hAnsi="仿宋" w:eastAsia="仿宋"/>
                <w:bCs/>
                <w:color w:val="000000"/>
                <w:sz w:val="24"/>
              </w:rPr>
              <w:t>1,2.3</w:t>
            </w:r>
          </w:p>
        </w:tc>
      </w:tr>
      <w:tr w14:paraId="6748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2662C166">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35A2381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考勤</w:t>
            </w:r>
          </w:p>
        </w:tc>
        <w:tc>
          <w:tcPr>
            <w:tcW w:w="798" w:type="dxa"/>
            <w:vAlign w:val="center"/>
          </w:tcPr>
          <w:p w14:paraId="2B4F135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10</w:t>
            </w:r>
          </w:p>
        </w:tc>
        <w:tc>
          <w:tcPr>
            <w:tcW w:w="2882" w:type="dxa"/>
          </w:tcPr>
          <w:p w14:paraId="13A4C40C">
            <w:pPr>
              <w:snapToGrid w:val="0"/>
              <w:spacing w:line="360" w:lineRule="auto"/>
              <w:jc w:val="center"/>
              <w:rPr>
                <w:rFonts w:hint="eastAsia" w:ascii="仿宋" w:hAnsi="仿宋" w:eastAsia="仿宋"/>
                <w:bCs/>
                <w:color w:val="000000"/>
                <w:sz w:val="24"/>
              </w:rPr>
            </w:pPr>
            <w:r>
              <w:rPr>
                <w:rFonts w:hint="eastAsia" w:ascii="仿宋" w:hAnsi="仿宋" w:eastAsia="仿宋"/>
                <w:bCs/>
                <w:color w:val="000000"/>
                <w:sz w:val="24"/>
              </w:rPr>
              <w:t>点名5次（每次各占2分）</w:t>
            </w:r>
          </w:p>
        </w:tc>
        <w:tc>
          <w:tcPr>
            <w:tcW w:w="1563" w:type="dxa"/>
          </w:tcPr>
          <w:p w14:paraId="3301CDFC">
            <w:pPr>
              <w:snapToGrid w:val="0"/>
              <w:spacing w:line="360" w:lineRule="auto"/>
              <w:jc w:val="center"/>
              <w:rPr>
                <w:rFonts w:hint="eastAsia" w:ascii="仿宋" w:hAnsi="仿宋" w:eastAsia="仿宋"/>
                <w:bCs/>
                <w:color w:val="000000"/>
                <w:sz w:val="24"/>
              </w:rPr>
            </w:pPr>
            <w:r>
              <w:rPr>
                <w:rFonts w:hint="eastAsia" w:ascii="仿宋" w:hAnsi="仿宋" w:eastAsia="仿宋"/>
                <w:bCs/>
                <w:color w:val="000000"/>
                <w:sz w:val="24"/>
              </w:rPr>
              <w:t>1</w:t>
            </w:r>
          </w:p>
        </w:tc>
      </w:tr>
      <w:tr w14:paraId="062B1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817" w:type="dxa"/>
            <w:vMerge w:val="restart"/>
            <w:shd w:val="clear" w:color="auto" w:fill="auto"/>
            <w:vAlign w:val="center"/>
          </w:tcPr>
          <w:p w14:paraId="549819B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实验考核</w:t>
            </w:r>
          </w:p>
        </w:tc>
        <w:tc>
          <w:tcPr>
            <w:tcW w:w="761" w:type="dxa"/>
            <w:shd w:val="clear" w:color="auto" w:fill="auto"/>
            <w:vAlign w:val="center"/>
          </w:tcPr>
          <w:p w14:paraId="6A20458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实操案例</w:t>
            </w:r>
          </w:p>
        </w:tc>
        <w:tc>
          <w:tcPr>
            <w:tcW w:w="798" w:type="dxa"/>
            <w:vAlign w:val="center"/>
          </w:tcPr>
          <w:p w14:paraId="7318D62F">
            <w:pPr>
              <w:snapToGrid w:val="0"/>
              <w:spacing w:line="360" w:lineRule="auto"/>
              <w:jc w:val="center"/>
              <w:rPr>
                <w:rFonts w:hint="eastAsia" w:ascii="仿宋" w:hAnsi="仿宋" w:eastAsia="仿宋"/>
                <w:b/>
                <w:color w:val="000000"/>
                <w:sz w:val="24"/>
              </w:rPr>
            </w:pPr>
          </w:p>
          <w:p w14:paraId="1ADDD07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5</w:t>
            </w:r>
          </w:p>
        </w:tc>
        <w:tc>
          <w:tcPr>
            <w:tcW w:w="2882" w:type="dxa"/>
          </w:tcPr>
          <w:p w14:paraId="4A936E20">
            <w:pPr>
              <w:snapToGrid w:val="0"/>
              <w:spacing w:line="360" w:lineRule="auto"/>
              <w:jc w:val="center"/>
              <w:rPr>
                <w:rFonts w:hint="eastAsia" w:ascii="仿宋" w:hAnsi="仿宋" w:eastAsia="仿宋"/>
                <w:bCs/>
                <w:color w:val="000000"/>
                <w:sz w:val="24"/>
              </w:rPr>
            </w:pPr>
            <w:r>
              <w:rPr>
                <w:rFonts w:hint="eastAsia" w:ascii="仿宋" w:hAnsi="仿宋" w:eastAsia="仿宋"/>
                <w:bCs/>
                <w:color w:val="000000"/>
                <w:sz w:val="24"/>
              </w:rPr>
              <w:t>实操案例题，按等级给分（A-5分、B-4分，C-3分）</w:t>
            </w:r>
          </w:p>
        </w:tc>
        <w:tc>
          <w:tcPr>
            <w:tcW w:w="1563" w:type="dxa"/>
            <w:vAlign w:val="center"/>
          </w:tcPr>
          <w:p w14:paraId="14F495FF">
            <w:pPr>
              <w:snapToGrid w:val="0"/>
              <w:spacing w:line="360" w:lineRule="auto"/>
              <w:jc w:val="center"/>
              <w:rPr>
                <w:rFonts w:hint="eastAsia" w:ascii="仿宋" w:hAnsi="仿宋" w:eastAsia="仿宋"/>
                <w:bCs/>
                <w:color w:val="000000"/>
                <w:sz w:val="24"/>
              </w:rPr>
            </w:pPr>
            <w:r>
              <w:rPr>
                <w:rFonts w:hint="eastAsia" w:ascii="仿宋" w:hAnsi="仿宋" w:eastAsia="仿宋"/>
                <w:bCs/>
                <w:color w:val="000000"/>
                <w:sz w:val="24"/>
              </w:rPr>
              <w:t>1，2,3</w:t>
            </w:r>
          </w:p>
        </w:tc>
      </w:tr>
      <w:tr w14:paraId="01EE6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14:paraId="3F5E464A">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14:paraId="1EBB5E2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汇报</w:t>
            </w:r>
          </w:p>
        </w:tc>
        <w:tc>
          <w:tcPr>
            <w:tcW w:w="798" w:type="dxa"/>
            <w:vAlign w:val="center"/>
          </w:tcPr>
          <w:p w14:paraId="1516B1EB">
            <w:pPr>
              <w:snapToGrid w:val="0"/>
              <w:spacing w:line="360" w:lineRule="auto"/>
              <w:jc w:val="center"/>
              <w:rPr>
                <w:rFonts w:hint="eastAsia" w:ascii="仿宋" w:hAnsi="仿宋" w:eastAsia="仿宋"/>
                <w:b/>
                <w:color w:val="000000"/>
                <w:sz w:val="24"/>
              </w:rPr>
            </w:pPr>
          </w:p>
          <w:p w14:paraId="22B4320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5</w:t>
            </w:r>
          </w:p>
        </w:tc>
        <w:tc>
          <w:tcPr>
            <w:tcW w:w="2882" w:type="dxa"/>
          </w:tcPr>
          <w:p w14:paraId="75EF1B97">
            <w:pPr>
              <w:snapToGrid w:val="0"/>
              <w:spacing w:line="360" w:lineRule="auto"/>
              <w:jc w:val="left"/>
              <w:rPr>
                <w:rFonts w:hint="eastAsia" w:ascii="仿宋" w:hAnsi="仿宋" w:eastAsia="仿宋"/>
                <w:bCs/>
                <w:color w:val="000000"/>
                <w:sz w:val="24"/>
              </w:rPr>
            </w:pPr>
            <w:r>
              <w:rPr>
                <w:rFonts w:hint="eastAsia" w:ascii="仿宋" w:hAnsi="仿宋" w:eastAsia="仿宋"/>
                <w:bCs/>
                <w:color w:val="000000"/>
                <w:sz w:val="24"/>
              </w:rPr>
              <w:t>按照等级给分（A-5分、B-4分，C-3分）</w:t>
            </w:r>
          </w:p>
        </w:tc>
        <w:tc>
          <w:tcPr>
            <w:tcW w:w="1563" w:type="dxa"/>
            <w:vAlign w:val="center"/>
          </w:tcPr>
          <w:p w14:paraId="710257C7">
            <w:pPr>
              <w:snapToGrid w:val="0"/>
              <w:spacing w:line="360" w:lineRule="auto"/>
              <w:jc w:val="center"/>
              <w:rPr>
                <w:rFonts w:hint="eastAsia" w:ascii="仿宋" w:hAnsi="仿宋" w:eastAsia="仿宋"/>
                <w:bCs/>
                <w:color w:val="000000"/>
                <w:sz w:val="24"/>
              </w:rPr>
            </w:pPr>
            <w:r>
              <w:rPr>
                <w:rFonts w:hint="eastAsia" w:ascii="仿宋" w:hAnsi="仿宋" w:eastAsia="仿宋"/>
                <w:bCs/>
                <w:color w:val="000000"/>
                <w:sz w:val="24"/>
              </w:rPr>
              <w:t>2,3</w:t>
            </w:r>
          </w:p>
        </w:tc>
      </w:tr>
      <w:tr w14:paraId="06605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vAlign w:val="center"/>
          </w:tcPr>
          <w:p w14:paraId="328F770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14:paraId="44D5EBF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798" w:type="dxa"/>
            <w:vAlign w:val="center"/>
          </w:tcPr>
          <w:p w14:paraId="5DCA117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60</w:t>
            </w:r>
          </w:p>
        </w:tc>
        <w:tc>
          <w:tcPr>
            <w:tcW w:w="2882" w:type="dxa"/>
          </w:tcPr>
          <w:p w14:paraId="2C0DA913">
            <w:pPr>
              <w:snapToGrid w:val="0"/>
              <w:spacing w:line="360" w:lineRule="auto"/>
              <w:rPr>
                <w:rFonts w:hint="eastAsia" w:ascii="仿宋" w:hAnsi="仿宋" w:eastAsia="仿宋"/>
                <w:bCs/>
                <w:color w:val="0070C0"/>
                <w:sz w:val="24"/>
              </w:rPr>
            </w:pPr>
            <w:r>
              <w:rPr>
                <w:rFonts w:hint="eastAsia" w:ascii="仿宋" w:hAnsi="仿宋" w:eastAsia="仿宋"/>
                <w:bCs/>
                <w:color w:val="000000"/>
                <w:sz w:val="24"/>
              </w:rPr>
              <w:t>闭卷考试/名词解释20分，单选题30分，判断题10分，计算题20分，论述题20分</w:t>
            </w:r>
          </w:p>
        </w:tc>
        <w:tc>
          <w:tcPr>
            <w:tcW w:w="1563" w:type="dxa"/>
            <w:vAlign w:val="center"/>
          </w:tcPr>
          <w:p w14:paraId="231C0E61">
            <w:pPr>
              <w:snapToGrid w:val="0"/>
              <w:spacing w:line="360" w:lineRule="auto"/>
              <w:jc w:val="center"/>
              <w:rPr>
                <w:rFonts w:hint="eastAsia" w:ascii="仿宋" w:hAnsi="仿宋" w:eastAsia="仿宋"/>
                <w:bCs/>
                <w:color w:val="000000"/>
                <w:sz w:val="24"/>
              </w:rPr>
            </w:pPr>
            <w:r>
              <w:rPr>
                <w:rFonts w:hint="eastAsia" w:ascii="仿宋" w:hAnsi="仿宋" w:eastAsia="仿宋"/>
                <w:bCs/>
                <w:color w:val="000000"/>
                <w:sz w:val="24"/>
              </w:rPr>
              <w:t>1,3</w:t>
            </w:r>
          </w:p>
        </w:tc>
      </w:tr>
    </w:tbl>
    <w:p w14:paraId="38CAC2B9">
      <w:pPr>
        <w:snapToGrid w:val="0"/>
        <w:spacing w:line="360" w:lineRule="auto"/>
        <w:rPr>
          <w:rFonts w:hint="eastAsia" w:ascii="仿宋" w:hAnsi="仿宋" w:eastAsia="仿宋"/>
          <w:b/>
          <w:color w:val="000000"/>
          <w:sz w:val="24"/>
        </w:rPr>
      </w:pPr>
    </w:p>
    <w:p w14:paraId="559CF8F7">
      <w:pPr>
        <w:snapToGrid w:val="0"/>
        <w:spacing w:line="360" w:lineRule="auto"/>
        <w:ind w:firstLine="482" w:firstLineChars="200"/>
        <w:rPr>
          <w:rFonts w:hint="eastAsia" w:ascii="仿宋" w:hAnsi="仿宋" w:eastAsia="仿宋"/>
          <w:b/>
          <w:color w:val="000000"/>
          <w:sz w:val="24"/>
        </w:rPr>
      </w:pPr>
    </w:p>
    <w:p w14:paraId="0207F9B2">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428"/>
        <w:gridCol w:w="1380"/>
        <w:gridCol w:w="1778"/>
      </w:tblGrid>
      <w:tr w14:paraId="17E1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14:paraId="0702CC9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14:paraId="116FE68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4586" w:type="dxa"/>
            <w:gridSpan w:val="3"/>
            <w:shd w:val="clear" w:color="auto" w:fill="auto"/>
            <w:vAlign w:val="center"/>
          </w:tcPr>
          <w:p w14:paraId="0CEA699A">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14:paraId="70DF9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14:paraId="50EE7034">
            <w:pPr>
              <w:snapToGrid w:val="0"/>
              <w:spacing w:line="360" w:lineRule="auto"/>
              <w:jc w:val="center"/>
              <w:rPr>
                <w:rFonts w:hint="eastAsia" w:ascii="仿宋" w:hAnsi="仿宋" w:eastAsia="仿宋"/>
                <w:b/>
                <w:color w:val="000000"/>
                <w:sz w:val="24"/>
              </w:rPr>
            </w:pPr>
          </w:p>
        </w:tc>
        <w:tc>
          <w:tcPr>
            <w:tcW w:w="1134" w:type="dxa"/>
            <w:vMerge w:val="continue"/>
          </w:tcPr>
          <w:p w14:paraId="66535D75">
            <w:pPr>
              <w:snapToGrid w:val="0"/>
              <w:spacing w:line="360" w:lineRule="auto"/>
              <w:jc w:val="center"/>
              <w:rPr>
                <w:rFonts w:hint="eastAsia" w:ascii="仿宋" w:hAnsi="仿宋" w:eastAsia="仿宋"/>
                <w:b/>
                <w:color w:val="000000"/>
                <w:sz w:val="24"/>
              </w:rPr>
            </w:pPr>
          </w:p>
        </w:tc>
        <w:tc>
          <w:tcPr>
            <w:tcW w:w="1428" w:type="dxa"/>
            <w:shd w:val="clear" w:color="auto" w:fill="auto"/>
            <w:vAlign w:val="center"/>
          </w:tcPr>
          <w:p w14:paraId="27353C81">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1380" w:type="dxa"/>
          </w:tcPr>
          <w:p w14:paraId="405EE306">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778" w:type="dxa"/>
          </w:tcPr>
          <w:p w14:paraId="133845E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0D0BA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14:paraId="4C0DC10B">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2108" w:type="dxa"/>
            <w:shd w:val="clear" w:color="auto" w:fill="auto"/>
            <w:vAlign w:val="center"/>
          </w:tcPr>
          <w:p w14:paraId="46B38F0C">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tc>
        <w:tc>
          <w:tcPr>
            <w:tcW w:w="1134" w:type="dxa"/>
            <w:vAlign w:val="center"/>
          </w:tcPr>
          <w:p w14:paraId="7183A735">
            <w:pPr>
              <w:snapToGrid w:val="0"/>
              <w:spacing w:line="360" w:lineRule="auto"/>
              <w:jc w:val="center"/>
              <w:rPr>
                <w:rFonts w:eastAsia="仿宋"/>
                <w:bCs/>
                <w:color w:val="000000"/>
                <w:sz w:val="24"/>
              </w:rPr>
            </w:pPr>
            <w:r>
              <w:rPr>
                <w:rFonts w:eastAsia="仿宋"/>
                <w:bCs/>
                <w:color w:val="000000"/>
                <w:sz w:val="24"/>
              </w:rPr>
              <w:t>10</w:t>
            </w:r>
          </w:p>
        </w:tc>
        <w:tc>
          <w:tcPr>
            <w:tcW w:w="1428" w:type="dxa"/>
            <w:shd w:val="clear" w:color="auto" w:fill="auto"/>
            <w:vAlign w:val="center"/>
          </w:tcPr>
          <w:p w14:paraId="62B29303">
            <w:pPr>
              <w:snapToGrid w:val="0"/>
              <w:spacing w:line="360" w:lineRule="auto"/>
              <w:jc w:val="center"/>
              <w:rPr>
                <w:rFonts w:eastAsia="仿宋"/>
                <w:bCs/>
                <w:color w:val="000000"/>
                <w:sz w:val="24"/>
              </w:rPr>
            </w:pPr>
            <w:r>
              <w:rPr>
                <w:rFonts w:eastAsia="仿宋"/>
                <w:bCs/>
                <w:color w:val="000000"/>
                <w:sz w:val="24"/>
              </w:rPr>
              <w:t>4</w:t>
            </w:r>
          </w:p>
        </w:tc>
        <w:tc>
          <w:tcPr>
            <w:tcW w:w="1380" w:type="dxa"/>
            <w:vAlign w:val="center"/>
          </w:tcPr>
          <w:p w14:paraId="77BED68B">
            <w:pPr>
              <w:snapToGrid w:val="0"/>
              <w:spacing w:line="360" w:lineRule="auto"/>
              <w:jc w:val="center"/>
              <w:rPr>
                <w:rFonts w:eastAsia="仿宋"/>
                <w:bCs/>
                <w:color w:val="000000"/>
                <w:sz w:val="24"/>
              </w:rPr>
            </w:pPr>
            <w:r>
              <w:rPr>
                <w:rFonts w:eastAsia="仿宋"/>
                <w:bCs/>
                <w:color w:val="000000"/>
                <w:sz w:val="24"/>
              </w:rPr>
              <w:t>2</w:t>
            </w:r>
          </w:p>
        </w:tc>
        <w:tc>
          <w:tcPr>
            <w:tcW w:w="1778" w:type="dxa"/>
            <w:vAlign w:val="center"/>
          </w:tcPr>
          <w:p w14:paraId="6F398762">
            <w:pPr>
              <w:snapToGrid w:val="0"/>
              <w:spacing w:line="360" w:lineRule="auto"/>
              <w:jc w:val="center"/>
              <w:rPr>
                <w:rFonts w:eastAsia="仿宋"/>
                <w:bCs/>
                <w:color w:val="000000"/>
                <w:sz w:val="24"/>
              </w:rPr>
            </w:pPr>
            <w:r>
              <w:rPr>
                <w:rFonts w:eastAsia="仿宋"/>
                <w:bCs/>
                <w:color w:val="000000"/>
                <w:sz w:val="24"/>
              </w:rPr>
              <w:t>4</w:t>
            </w:r>
          </w:p>
        </w:tc>
      </w:tr>
      <w:tr w14:paraId="3E8B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125B6D01">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14:paraId="58718259">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随堂测试</w:t>
            </w:r>
          </w:p>
        </w:tc>
        <w:tc>
          <w:tcPr>
            <w:tcW w:w="1134" w:type="dxa"/>
            <w:vAlign w:val="center"/>
          </w:tcPr>
          <w:p w14:paraId="15A27902">
            <w:pPr>
              <w:snapToGrid w:val="0"/>
              <w:spacing w:line="360" w:lineRule="auto"/>
              <w:jc w:val="center"/>
              <w:rPr>
                <w:rFonts w:eastAsia="仿宋"/>
                <w:bCs/>
                <w:color w:val="000000"/>
                <w:sz w:val="24"/>
              </w:rPr>
            </w:pPr>
            <w:r>
              <w:rPr>
                <w:rFonts w:eastAsia="仿宋"/>
                <w:bCs/>
                <w:color w:val="000000"/>
                <w:sz w:val="24"/>
              </w:rPr>
              <w:t>5</w:t>
            </w:r>
          </w:p>
        </w:tc>
        <w:tc>
          <w:tcPr>
            <w:tcW w:w="1428" w:type="dxa"/>
            <w:shd w:val="clear" w:color="auto" w:fill="auto"/>
            <w:vAlign w:val="center"/>
          </w:tcPr>
          <w:p w14:paraId="1509120D">
            <w:pPr>
              <w:snapToGrid w:val="0"/>
              <w:spacing w:line="360" w:lineRule="auto"/>
              <w:jc w:val="center"/>
              <w:rPr>
                <w:rFonts w:eastAsia="仿宋"/>
                <w:bCs/>
                <w:color w:val="000000"/>
                <w:sz w:val="24"/>
              </w:rPr>
            </w:pPr>
            <w:r>
              <w:rPr>
                <w:rFonts w:eastAsia="仿宋"/>
                <w:bCs/>
                <w:color w:val="000000"/>
                <w:sz w:val="24"/>
              </w:rPr>
              <w:t>0</w:t>
            </w:r>
          </w:p>
        </w:tc>
        <w:tc>
          <w:tcPr>
            <w:tcW w:w="1380" w:type="dxa"/>
            <w:vAlign w:val="center"/>
          </w:tcPr>
          <w:p w14:paraId="18064BC6">
            <w:pPr>
              <w:snapToGrid w:val="0"/>
              <w:spacing w:line="360" w:lineRule="auto"/>
              <w:jc w:val="center"/>
              <w:rPr>
                <w:rFonts w:eastAsia="仿宋"/>
                <w:bCs/>
                <w:color w:val="000000"/>
                <w:sz w:val="24"/>
              </w:rPr>
            </w:pPr>
            <w:r>
              <w:rPr>
                <w:rFonts w:eastAsia="仿宋"/>
                <w:bCs/>
                <w:color w:val="000000"/>
                <w:sz w:val="24"/>
              </w:rPr>
              <w:t>0</w:t>
            </w:r>
          </w:p>
        </w:tc>
        <w:tc>
          <w:tcPr>
            <w:tcW w:w="1778" w:type="dxa"/>
            <w:vAlign w:val="center"/>
          </w:tcPr>
          <w:p w14:paraId="4495B69B">
            <w:pPr>
              <w:snapToGrid w:val="0"/>
              <w:spacing w:line="360" w:lineRule="auto"/>
              <w:jc w:val="center"/>
              <w:rPr>
                <w:rFonts w:eastAsia="仿宋"/>
                <w:bCs/>
                <w:color w:val="000000"/>
                <w:sz w:val="24"/>
              </w:rPr>
            </w:pPr>
            <w:r>
              <w:rPr>
                <w:rFonts w:eastAsia="仿宋"/>
                <w:bCs/>
                <w:color w:val="000000"/>
                <w:sz w:val="24"/>
              </w:rPr>
              <w:t>5</w:t>
            </w:r>
          </w:p>
        </w:tc>
      </w:tr>
      <w:tr w14:paraId="1856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7FB04F36">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14:paraId="29DBC520">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课堂表现</w:t>
            </w:r>
          </w:p>
        </w:tc>
        <w:tc>
          <w:tcPr>
            <w:tcW w:w="1134" w:type="dxa"/>
            <w:vAlign w:val="center"/>
          </w:tcPr>
          <w:p w14:paraId="6F2635DD">
            <w:pPr>
              <w:snapToGrid w:val="0"/>
              <w:spacing w:line="360" w:lineRule="auto"/>
              <w:jc w:val="center"/>
              <w:rPr>
                <w:rFonts w:eastAsia="仿宋"/>
                <w:bCs/>
                <w:color w:val="000000"/>
                <w:sz w:val="24"/>
              </w:rPr>
            </w:pPr>
            <w:r>
              <w:rPr>
                <w:rFonts w:eastAsia="仿宋"/>
                <w:bCs/>
                <w:color w:val="000000"/>
                <w:sz w:val="24"/>
              </w:rPr>
              <w:t>5</w:t>
            </w:r>
          </w:p>
        </w:tc>
        <w:tc>
          <w:tcPr>
            <w:tcW w:w="1428" w:type="dxa"/>
            <w:shd w:val="clear" w:color="auto" w:fill="auto"/>
            <w:vAlign w:val="center"/>
          </w:tcPr>
          <w:p w14:paraId="27ED45F0">
            <w:pPr>
              <w:snapToGrid w:val="0"/>
              <w:spacing w:line="360" w:lineRule="auto"/>
              <w:jc w:val="center"/>
              <w:rPr>
                <w:rFonts w:eastAsia="仿宋"/>
                <w:bCs/>
                <w:color w:val="000000"/>
                <w:sz w:val="24"/>
              </w:rPr>
            </w:pPr>
            <w:r>
              <w:rPr>
                <w:rFonts w:eastAsia="仿宋"/>
                <w:bCs/>
                <w:color w:val="000000"/>
                <w:sz w:val="24"/>
              </w:rPr>
              <w:t>1</w:t>
            </w:r>
          </w:p>
        </w:tc>
        <w:tc>
          <w:tcPr>
            <w:tcW w:w="1380" w:type="dxa"/>
            <w:vAlign w:val="center"/>
          </w:tcPr>
          <w:p w14:paraId="54A0DC55">
            <w:pPr>
              <w:snapToGrid w:val="0"/>
              <w:spacing w:line="360" w:lineRule="auto"/>
              <w:jc w:val="center"/>
              <w:rPr>
                <w:rFonts w:eastAsia="仿宋"/>
                <w:bCs/>
                <w:color w:val="000000"/>
                <w:sz w:val="24"/>
              </w:rPr>
            </w:pPr>
            <w:r>
              <w:rPr>
                <w:rFonts w:eastAsia="仿宋"/>
                <w:bCs/>
                <w:color w:val="000000"/>
                <w:sz w:val="24"/>
              </w:rPr>
              <w:t>1</w:t>
            </w:r>
          </w:p>
        </w:tc>
        <w:tc>
          <w:tcPr>
            <w:tcW w:w="1778" w:type="dxa"/>
            <w:vAlign w:val="center"/>
          </w:tcPr>
          <w:p w14:paraId="3A31820B">
            <w:pPr>
              <w:snapToGrid w:val="0"/>
              <w:spacing w:line="360" w:lineRule="auto"/>
              <w:jc w:val="center"/>
              <w:rPr>
                <w:rFonts w:eastAsia="仿宋"/>
                <w:bCs/>
                <w:color w:val="000000"/>
                <w:sz w:val="24"/>
              </w:rPr>
            </w:pPr>
            <w:r>
              <w:rPr>
                <w:rFonts w:eastAsia="仿宋"/>
                <w:bCs/>
                <w:color w:val="000000"/>
                <w:sz w:val="24"/>
              </w:rPr>
              <w:t>3</w:t>
            </w:r>
          </w:p>
        </w:tc>
      </w:tr>
      <w:tr w14:paraId="2C2D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53044E53">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14:paraId="673DB75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考勤</w:t>
            </w:r>
          </w:p>
        </w:tc>
        <w:tc>
          <w:tcPr>
            <w:tcW w:w="1134" w:type="dxa"/>
            <w:vAlign w:val="center"/>
          </w:tcPr>
          <w:p w14:paraId="45B07C98">
            <w:pPr>
              <w:snapToGrid w:val="0"/>
              <w:spacing w:line="360" w:lineRule="auto"/>
              <w:jc w:val="center"/>
              <w:rPr>
                <w:rFonts w:eastAsia="仿宋"/>
                <w:bCs/>
                <w:color w:val="000000"/>
                <w:sz w:val="24"/>
              </w:rPr>
            </w:pPr>
            <w:r>
              <w:rPr>
                <w:rFonts w:eastAsia="仿宋"/>
                <w:bCs/>
                <w:color w:val="000000"/>
                <w:sz w:val="24"/>
              </w:rPr>
              <w:t>10</w:t>
            </w:r>
          </w:p>
        </w:tc>
        <w:tc>
          <w:tcPr>
            <w:tcW w:w="1428" w:type="dxa"/>
            <w:shd w:val="clear" w:color="auto" w:fill="auto"/>
            <w:vAlign w:val="center"/>
          </w:tcPr>
          <w:p w14:paraId="1EA8BF31">
            <w:pPr>
              <w:snapToGrid w:val="0"/>
              <w:spacing w:line="360" w:lineRule="auto"/>
              <w:jc w:val="center"/>
              <w:rPr>
                <w:rFonts w:eastAsia="仿宋"/>
                <w:bCs/>
                <w:color w:val="000000"/>
                <w:sz w:val="24"/>
              </w:rPr>
            </w:pPr>
            <w:r>
              <w:rPr>
                <w:rFonts w:eastAsia="仿宋"/>
                <w:bCs/>
                <w:color w:val="000000"/>
                <w:sz w:val="24"/>
              </w:rPr>
              <w:t>10</w:t>
            </w:r>
          </w:p>
        </w:tc>
        <w:tc>
          <w:tcPr>
            <w:tcW w:w="1380" w:type="dxa"/>
            <w:vAlign w:val="center"/>
          </w:tcPr>
          <w:p w14:paraId="4ABB8AD3">
            <w:pPr>
              <w:snapToGrid w:val="0"/>
              <w:spacing w:line="360" w:lineRule="auto"/>
              <w:jc w:val="center"/>
              <w:rPr>
                <w:rFonts w:eastAsia="仿宋"/>
                <w:bCs/>
                <w:color w:val="000000"/>
                <w:sz w:val="24"/>
              </w:rPr>
            </w:pPr>
            <w:r>
              <w:rPr>
                <w:rFonts w:eastAsia="仿宋"/>
                <w:bCs/>
                <w:color w:val="000000"/>
                <w:sz w:val="24"/>
              </w:rPr>
              <w:t>0</w:t>
            </w:r>
          </w:p>
        </w:tc>
        <w:tc>
          <w:tcPr>
            <w:tcW w:w="1778" w:type="dxa"/>
            <w:vAlign w:val="center"/>
          </w:tcPr>
          <w:p w14:paraId="17C99A32">
            <w:pPr>
              <w:snapToGrid w:val="0"/>
              <w:spacing w:line="360" w:lineRule="auto"/>
              <w:jc w:val="center"/>
              <w:rPr>
                <w:rFonts w:eastAsia="仿宋"/>
                <w:bCs/>
                <w:color w:val="000000"/>
                <w:sz w:val="24"/>
              </w:rPr>
            </w:pPr>
            <w:r>
              <w:rPr>
                <w:rFonts w:eastAsia="仿宋"/>
                <w:bCs/>
                <w:color w:val="000000"/>
                <w:sz w:val="24"/>
              </w:rPr>
              <w:t>0</w:t>
            </w:r>
          </w:p>
        </w:tc>
      </w:tr>
      <w:tr w14:paraId="061C6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694" w:type="dxa"/>
            <w:vMerge w:val="restart"/>
            <w:shd w:val="clear" w:color="auto" w:fill="auto"/>
            <w:vAlign w:val="center"/>
          </w:tcPr>
          <w:p w14:paraId="5B16383D">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实验考核</w:t>
            </w:r>
          </w:p>
        </w:tc>
        <w:tc>
          <w:tcPr>
            <w:tcW w:w="2108" w:type="dxa"/>
            <w:shd w:val="clear" w:color="auto" w:fill="auto"/>
            <w:vAlign w:val="center"/>
          </w:tcPr>
          <w:p w14:paraId="7E786F3F">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实操案例</w:t>
            </w:r>
          </w:p>
        </w:tc>
        <w:tc>
          <w:tcPr>
            <w:tcW w:w="1134" w:type="dxa"/>
            <w:vAlign w:val="center"/>
          </w:tcPr>
          <w:p w14:paraId="6D50C416">
            <w:pPr>
              <w:snapToGrid w:val="0"/>
              <w:spacing w:line="360" w:lineRule="auto"/>
              <w:jc w:val="center"/>
              <w:rPr>
                <w:rFonts w:eastAsia="仿宋"/>
                <w:bCs/>
                <w:color w:val="000000"/>
                <w:sz w:val="24"/>
              </w:rPr>
            </w:pPr>
            <w:r>
              <w:rPr>
                <w:rFonts w:eastAsia="仿宋"/>
                <w:bCs/>
                <w:color w:val="000000"/>
                <w:sz w:val="24"/>
              </w:rPr>
              <w:t>5</w:t>
            </w:r>
          </w:p>
        </w:tc>
        <w:tc>
          <w:tcPr>
            <w:tcW w:w="1428" w:type="dxa"/>
            <w:shd w:val="clear" w:color="auto" w:fill="auto"/>
            <w:vAlign w:val="center"/>
          </w:tcPr>
          <w:p w14:paraId="4E7F781A">
            <w:pPr>
              <w:snapToGrid w:val="0"/>
              <w:spacing w:line="360" w:lineRule="auto"/>
              <w:jc w:val="center"/>
              <w:rPr>
                <w:rFonts w:eastAsia="仿宋"/>
                <w:bCs/>
                <w:color w:val="000000"/>
                <w:sz w:val="24"/>
              </w:rPr>
            </w:pPr>
            <w:r>
              <w:rPr>
                <w:rFonts w:eastAsia="仿宋"/>
                <w:bCs/>
                <w:color w:val="000000"/>
                <w:sz w:val="24"/>
              </w:rPr>
              <w:t>1</w:t>
            </w:r>
          </w:p>
        </w:tc>
        <w:tc>
          <w:tcPr>
            <w:tcW w:w="1380" w:type="dxa"/>
            <w:vAlign w:val="center"/>
          </w:tcPr>
          <w:p w14:paraId="0B2F5DE2">
            <w:pPr>
              <w:snapToGrid w:val="0"/>
              <w:spacing w:line="360" w:lineRule="auto"/>
              <w:jc w:val="center"/>
              <w:rPr>
                <w:rFonts w:eastAsia="仿宋"/>
                <w:bCs/>
                <w:color w:val="000000"/>
                <w:sz w:val="24"/>
              </w:rPr>
            </w:pPr>
            <w:r>
              <w:rPr>
                <w:rFonts w:eastAsia="仿宋"/>
                <w:bCs/>
                <w:color w:val="000000"/>
                <w:sz w:val="24"/>
              </w:rPr>
              <w:t>3</w:t>
            </w:r>
          </w:p>
        </w:tc>
        <w:tc>
          <w:tcPr>
            <w:tcW w:w="1778" w:type="dxa"/>
            <w:vAlign w:val="center"/>
          </w:tcPr>
          <w:p w14:paraId="333151D0">
            <w:pPr>
              <w:snapToGrid w:val="0"/>
              <w:spacing w:line="360" w:lineRule="auto"/>
              <w:jc w:val="center"/>
              <w:rPr>
                <w:rFonts w:eastAsia="仿宋"/>
                <w:bCs/>
                <w:color w:val="000000"/>
                <w:sz w:val="24"/>
              </w:rPr>
            </w:pPr>
            <w:r>
              <w:rPr>
                <w:rFonts w:eastAsia="仿宋"/>
                <w:bCs/>
                <w:color w:val="000000"/>
                <w:sz w:val="24"/>
              </w:rPr>
              <w:t>1</w:t>
            </w:r>
          </w:p>
        </w:tc>
      </w:tr>
      <w:tr w14:paraId="1219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694" w:type="dxa"/>
            <w:vMerge w:val="continue"/>
            <w:shd w:val="clear" w:color="auto" w:fill="auto"/>
            <w:vAlign w:val="center"/>
          </w:tcPr>
          <w:p w14:paraId="09B189DF">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14:paraId="7B02F8C4">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汇报</w:t>
            </w:r>
          </w:p>
        </w:tc>
        <w:tc>
          <w:tcPr>
            <w:tcW w:w="1134" w:type="dxa"/>
            <w:vAlign w:val="center"/>
          </w:tcPr>
          <w:p w14:paraId="3C0E5F5B">
            <w:pPr>
              <w:snapToGrid w:val="0"/>
              <w:spacing w:line="360" w:lineRule="auto"/>
              <w:jc w:val="center"/>
              <w:rPr>
                <w:rFonts w:eastAsia="仿宋"/>
                <w:bCs/>
                <w:color w:val="000000"/>
                <w:sz w:val="24"/>
              </w:rPr>
            </w:pPr>
            <w:r>
              <w:rPr>
                <w:rFonts w:eastAsia="仿宋"/>
                <w:bCs/>
                <w:color w:val="000000"/>
                <w:sz w:val="24"/>
              </w:rPr>
              <w:t>5</w:t>
            </w:r>
          </w:p>
        </w:tc>
        <w:tc>
          <w:tcPr>
            <w:tcW w:w="1428" w:type="dxa"/>
            <w:shd w:val="clear" w:color="auto" w:fill="auto"/>
            <w:vAlign w:val="center"/>
          </w:tcPr>
          <w:p w14:paraId="0E6CEC1F">
            <w:pPr>
              <w:snapToGrid w:val="0"/>
              <w:spacing w:line="360" w:lineRule="auto"/>
              <w:jc w:val="center"/>
              <w:rPr>
                <w:rFonts w:eastAsia="仿宋"/>
                <w:bCs/>
                <w:color w:val="000000"/>
                <w:sz w:val="24"/>
              </w:rPr>
            </w:pPr>
            <w:r>
              <w:rPr>
                <w:rFonts w:eastAsia="仿宋"/>
                <w:bCs/>
                <w:color w:val="000000"/>
                <w:sz w:val="24"/>
              </w:rPr>
              <w:t>1</w:t>
            </w:r>
          </w:p>
        </w:tc>
        <w:tc>
          <w:tcPr>
            <w:tcW w:w="1380" w:type="dxa"/>
            <w:vAlign w:val="center"/>
          </w:tcPr>
          <w:p w14:paraId="03AB0E5F">
            <w:pPr>
              <w:snapToGrid w:val="0"/>
              <w:spacing w:line="360" w:lineRule="auto"/>
              <w:jc w:val="center"/>
              <w:rPr>
                <w:rFonts w:eastAsia="仿宋"/>
                <w:bCs/>
                <w:color w:val="000000"/>
                <w:sz w:val="24"/>
              </w:rPr>
            </w:pPr>
            <w:r>
              <w:rPr>
                <w:rFonts w:eastAsia="仿宋"/>
                <w:bCs/>
                <w:color w:val="000000"/>
                <w:sz w:val="24"/>
              </w:rPr>
              <w:t>3</w:t>
            </w:r>
          </w:p>
        </w:tc>
        <w:tc>
          <w:tcPr>
            <w:tcW w:w="1778" w:type="dxa"/>
            <w:vAlign w:val="center"/>
          </w:tcPr>
          <w:p w14:paraId="54531353">
            <w:pPr>
              <w:snapToGrid w:val="0"/>
              <w:spacing w:line="360" w:lineRule="auto"/>
              <w:jc w:val="center"/>
              <w:rPr>
                <w:rFonts w:eastAsia="仿宋"/>
                <w:bCs/>
                <w:color w:val="000000"/>
                <w:sz w:val="24"/>
              </w:rPr>
            </w:pPr>
            <w:r>
              <w:rPr>
                <w:rFonts w:eastAsia="仿宋"/>
                <w:bCs/>
                <w:color w:val="000000"/>
                <w:sz w:val="24"/>
              </w:rPr>
              <w:t>1</w:t>
            </w:r>
          </w:p>
        </w:tc>
      </w:tr>
      <w:tr w14:paraId="2AB03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14:paraId="6C28AA0E">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14:paraId="6F10C5A2">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结课考试</w:t>
            </w:r>
          </w:p>
        </w:tc>
        <w:tc>
          <w:tcPr>
            <w:tcW w:w="1134" w:type="dxa"/>
            <w:vAlign w:val="center"/>
          </w:tcPr>
          <w:p w14:paraId="717ABD14">
            <w:pPr>
              <w:snapToGrid w:val="0"/>
              <w:spacing w:line="360" w:lineRule="auto"/>
              <w:jc w:val="center"/>
              <w:rPr>
                <w:rFonts w:eastAsia="仿宋"/>
                <w:bCs/>
                <w:color w:val="000000"/>
                <w:sz w:val="24"/>
              </w:rPr>
            </w:pPr>
            <w:r>
              <w:rPr>
                <w:rFonts w:eastAsia="仿宋"/>
                <w:bCs/>
                <w:color w:val="000000"/>
                <w:sz w:val="24"/>
              </w:rPr>
              <w:t>60</w:t>
            </w:r>
          </w:p>
        </w:tc>
        <w:tc>
          <w:tcPr>
            <w:tcW w:w="1428" w:type="dxa"/>
            <w:shd w:val="clear" w:color="auto" w:fill="auto"/>
            <w:vAlign w:val="center"/>
          </w:tcPr>
          <w:p w14:paraId="0CB49165">
            <w:pPr>
              <w:snapToGrid w:val="0"/>
              <w:spacing w:line="360" w:lineRule="auto"/>
              <w:jc w:val="center"/>
              <w:rPr>
                <w:rFonts w:eastAsia="仿宋"/>
                <w:bCs/>
                <w:color w:val="000000"/>
                <w:sz w:val="24"/>
              </w:rPr>
            </w:pPr>
            <w:r>
              <w:rPr>
                <w:rFonts w:eastAsia="仿宋"/>
                <w:bCs/>
                <w:color w:val="000000"/>
                <w:sz w:val="24"/>
              </w:rPr>
              <w:t>5</w:t>
            </w:r>
          </w:p>
        </w:tc>
        <w:tc>
          <w:tcPr>
            <w:tcW w:w="1380" w:type="dxa"/>
            <w:vAlign w:val="center"/>
          </w:tcPr>
          <w:p w14:paraId="063A7D2D">
            <w:pPr>
              <w:snapToGrid w:val="0"/>
              <w:spacing w:line="360" w:lineRule="auto"/>
              <w:jc w:val="center"/>
              <w:rPr>
                <w:rFonts w:eastAsia="仿宋"/>
                <w:bCs/>
                <w:color w:val="000000"/>
                <w:sz w:val="24"/>
              </w:rPr>
            </w:pPr>
            <w:r>
              <w:rPr>
                <w:rFonts w:eastAsia="仿宋"/>
                <w:bCs/>
                <w:color w:val="000000"/>
                <w:sz w:val="24"/>
              </w:rPr>
              <w:t>0</w:t>
            </w:r>
          </w:p>
        </w:tc>
        <w:tc>
          <w:tcPr>
            <w:tcW w:w="1778" w:type="dxa"/>
            <w:vAlign w:val="center"/>
          </w:tcPr>
          <w:p w14:paraId="0CE0E4A4">
            <w:pPr>
              <w:snapToGrid w:val="0"/>
              <w:spacing w:line="360" w:lineRule="auto"/>
              <w:jc w:val="center"/>
              <w:rPr>
                <w:rFonts w:eastAsia="仿宋"/>
                <w:bCs/>
                <w:color w:val="000000"/>
                <w:sz w:val="24"/>
              </w:rPr>
            </w:pPr>
            <w:r>
              <w:rPr>
                <w:rFonts w:eastAsia="仿宋"/>
                <w:bCs/>
                <w:color w:val="000000"/>
                <w:sz w:val="24"/>
              </w:rPr>
              <w:t>55</w:t>
            </w:r>
          </w:p>
        </w:tc>
      </w:tr>
      <w:tr w14:paraId="6ED12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14:paraId="44635338">
            <w:pPr>
              <w:snapToGrid w:val="0"/>
              <w:spacing w:line="360" w:lineRule="auto"/>
              <w:jc w:val="center"/>
              <w:rPr>
                <w:rFonts w:hint="eastAsia" w:ascii="仿宋" w:hAnsi="仿宋" w:eastAsia="仿宋"/>
                <w:sz w:val="24"/>
              </w:rPr>
            </w:pPr>
            <w:r>
              <w:rPr>
                <w:rFonts w:hint="eastAsia" w:ascii="仿宋" w:hAnsi="仿宋" w:eastAsia="仿宋"/>
                <w:b/>
                <w:color w:val="000000"/>
                <w:sz w:val="24"/>
              </w:rPr>
              <w:t>课程目标分值合计</w:t>
            </w:r>
          </w:p>
        </w:tc>
        <w:tc>
          <w:tcPr>
            <w:tcW w:w="1428" w:type="dxa"/>
            <w:shd w:val="clear" w:color="auto" w:fill="auto"/>
            <w:vAlign w:val="center"/>
          </w:tcPr>
          <w:p w14:paraId="317C6449">
            <w:pPr>
              <w:snapToGrid w:val="0"/>
              <w:spacing w:line="360" w:lineRule="auto"/>
              <w:jc w:val="center"/>
              <w:rPr>
                <w:rFonts w:eastAsia="仿宋"/>
                <w:bCs/>
                <w:color w:val="000000"/>
                <w:sz w:val="24"/>
              </w:rPr>
            </w:pPr>
            <w:r>
              <w:rPr>
                <w:rFonts w:hint="eastAsia" w:eastAsia="仿宋"/>
                <w:bCs/>
                <w:color w:val="000000"/>
                <w:sz w:val="24"/>
              </w:rPr>
              <w:t>22</w:t>
            </w:r>
          </w:p>
        </w:tc>
        <w:tc>
          <w:tcPr>
            <w:tcW w:w="1380" w:type="dxa"/>
          </w:tcPr>
          <w:p w14:paraId="0C200F4D">
            <w:pPr>
              <w:snapToGrid w:val="0"/>
              <w:spacing w:line="360" w:lineRule="auto"/>
              <w:jc w:val="center"/>
              <w:rPr>
                <w:rFonts w:eastAsia="仿宋"/>
                <w:bCs/>
                <w:color w:val="000000"/>
                <w:sz w:val="24"/>
              </w:rPr>
            </w:pPr>
            <w:r>
              <w:rPr>
                <w:rFonts w:hint="eastAsia" w:eastAsia="仿宋"/>
                <w:bCs/>
                <w:color w:val="000000"/>
                <w:sz w:val="24"/>
              </w:rPr>
              <w:t>9</w:t>
            </w:r>
          </w:p>
        </w:tc>
        <w:tc>
          <w:tcPr>
            <w:tcW w:w="1778" w:type="dxa"/>
          </w:tcPr>
          <w:p w14:paraId="44F7BB17">
            <w:pPr>
              <w:snapToGrid w:val="0"/>
              <w:spacing w:line="360" w:lineRule="auto"/>
              <w:jc w:val="center"/>
              <w:rPr>
                <w:rFonts w:eastAsia="仿宋"/>
                <w:bCs/>
                <w:color w:val="000000"/>
                <w:sz w:val="24"/>
              </w:rPr>
            </w:pPr>
            <w:r>
              <w:rPr>
                <w:rFonts w:hint="eastAsia" w:eastAsia="仿宋"/>
                <w:bCs/>
                <w:color w:val="000000"/>
                <w:sz w:val="24"/>
              </w:rPr>
              <w:t>69</w:t>
            </w:r>
          </w:p>
        </w:tc>
      </w:tr>
    </w:tbl>
    <w:p w14:paraId="696EBAA4">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6F9AEDDB">
      <w:pPr>
        <w:snapToGrid w:val="0"/>
        <w:spacing w:line="300" w:lineRule="auto"/>
        <w:ind w:firstLine="480" w:firstLineChars="200"/>
        <w:rPr>
          <w:rFonts w:hint="eastAsia" w:ascii="仿宋" w:hAnsi="仿宋" w:eastAsia="仿宋"/>
          <w:sz w:val="24"/>
        </w:rPr>
      </w:pPr>
      <w:bookmarkStart w:id="1" w:name="_Hlk49024753"/>
      <w:r>
        <w:rPr>
          <w:rFonts w:hint="eastAsia" w:ascii="仿宋" w:hAnsi="仿宋" w:eastAsia="仿宋"/>
          <w:sz w:val="24"/>
        </w:rPr>
        <w:t>（上机课程遵守机房使用规则。）</w:t>
      </w:r>
    </w:p>
    <w:p w14:paraId="53A3F7DA">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54684A13">
      <w:pPr>
        <w:tabs>
          <w:tab w:val="left" w:pos="-5670"/>
          <w:tab w:val="left" w:pos="-5245"/>
          <w:tab w:val="left" w:pos="1134"/>
        </w:tabs>
        <w:spacing w:line="360" w:lineRule="auto"/>
        <w:ind w:firstLine="720" w:firstLineChars="300"/>
        <w:rPr>
          <w:rFonts w:hint="eastAsia"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3FEE999D">
      <w:pPr>
        <w:tabs>
          <w:tab w:val="left" w:pos="-5670"/>
          <w:tab w:val="left" w:pos="-5245"/>
          <w:tab w:val="left" w:pos="1134"/>
        </w:tabs>
        <w:spacing w:line="360" w:lineRule="auto"/>
        <w:ind w:firstLine="480"/>
        <w:rPr>
          <w:rFonts w:hint="eastAsia"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3F87E64A">
      <w:pPr>
        <w:tabs>
          <w:tab w:val="left" w:pos="-5670"/>
          <w:tab w:val="left" w:pos="-5245"/>
          <w:tab w:val="left" w:pos="1134"/>
        </w:tabs>
        <w:spacing w:line="360" w:lineRule="auto"/>
        <w:ind w:firstLine="480"/>
        <w:rPr>
          <w:rFonts w:eastAsia="黑体"/>
          <w:color w:val="000000"/>
          <w:sz w:val="28"/>
          <w:szCs w:val="28"/>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5B9A7EF2">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八、学习建议</w:t>
      </w:r>
    </w:p>
    <w:bookmarkEnd w:id="1"/>
    <w:p w14:paraId="5104F07D">
      <w:pPr>
        <w:tabs>
          <w:tab w:val="left" w:pos="-5670"/>
          <w:tab w:val="left" w:pos="-5245"/>
          <w:tab w:val="left" w:pos="1134"/>
        </w:tabs>
        <w:spacing w:before="156" w:beforeLines="50" w:after="156" w:afterLines="50" w:line="360" w:lineRule="auto"/>
        <w:ind w:firstLine="480" w:firstLineChars="200"/>
        <w:rPr>
          <w:rFonts w:hint="eastAsia" w:ascii="仿宋" w:hAnsi="仿宋" w:eastAsia="仿宋"/>
          <w:color w:val="000000"/>
          <w:sz w:val="24"/>
        </w:rPr>
      </w:pPr>
      <w:r>
        <w:rPr>
          <w:rFonts w:hint="eastAsia" w:ascii="仿宋" w:hAnsi="仿宋" w:eastAsia="仿宋"/>
          <w:color w:val="000000"/>
          <w:sz w:val="24"/>
        </w:rPr>
        <w:t>金融市场学是一门涉及广泛且深度较大的学科，对于想要深入了解和掌握这一领域的人来说，需要有一个系统且全面的学习计划和策略。要通过基础知识学习、金融市场分类、投资策略分析、风险控制管理、实际案例分析、参与模拟交易以及持续学习更新等方面深入掌握本课程知识，也可以复刻经典交易或者对某些重大事件进行情景重现，加深对本课程知识的理解和掌握。</w:t>
      </w:r>
    </w:p>
    <w:p w14:paraId="458ADEC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7B922DD2">
      <w:pPr>
        <w:spacing w:line="360" w:lineRule="auto"/>
        <w:ind w:firstLine="482" w:firstLineChars="200"/>
        <w:rPr>
          <w:rFonts w:eastAsia="仿宋"/>
          <w:b/>
          <w:color w:val="000000"/>
          <w:sz w:val="24"/>
        </w:rPr>
      </w:pPr>
      <w:r>
        <w:rPr>
          <w:rFonts w:eastAsia="仿宋"/>
          <w:b/>
          <w:color w:val="000000"/>
          <w:sz w:val="24"/>
        </w:rPr>
        <w:t>1．教材</w:t>
      </w:r>
    </w:p>
    <w:tbl>
      <w:tblPr>
        <w:tblStyle w:val="9"/>
        <w:tblW w:w="9756" w:type="dxa"/>
        <w:tblInd w:w="-351" w:type="dxa"/>
        <w:tblLayout w:type="autofit"/>
        <w:tblCellMar>
          <w:top w:w="0" w:type="dxa"/>
          <w:left w:w="108" w:type="dxa"/>
          <w:bottom w:w="0" w:type="dxa"/>
          <w:right w:w="108" w:type="dxa"/>
        </w:tblCellMar>
      </w:tblPr>
      <w:tblGrid>
        <w:gridCol w:w="1613"/>
        <w:gridCol w:w="1367"/>
        <w:gridCol w:w="1442"/>
        <w:gridCol w:w="950"/>
        <w:gridCol w:w="1099"/>
        <w:gridCol w:w="1776"/>
        <w:gridCol w:w="1509"/>
      </w:tblGrid>
      <w:tr w14:paraId="6BAF8359">
        <w:tblPrEx>
          <w:tblCellMar>
            <w:top w:w="0" w:type="dxa"/>
            <w:left w:w="108" w:type="dxa"/>
            <w:bottom w:w="0" w:type="dxa"/>
            <w:right w:w="108" w:type="dxa"/>
          </w:tblCellMar>
        </w:tblPrEx>
        <w:trPr>
          <w:trHeight w:val="558" w:hRule="atLeast"/>
        </w:trPr>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4B8D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EB25">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0B884">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3842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0E09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212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9708D">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14:paraId="58172FA4">
        <w:tblPrEx>
          <w:tblCellMar>
            <w:top w:w="0" w:type="dxa"/>
            <w:left w:w="108" w:type="dxa"/>
            <w:bottom w:w="0" w:type="dxa"/>
            <w:right w:w="108" w:type="dxa"/>
          </w:tblCellMar>
        </w:tblPrEx>
        <w:trPr>
          <w:trHeight w:val="2188" w:hRule="atLeast"/>
        </w:trPr>
        <w:tc>
          <w:tcPr>
            <w:tcW w:w="16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EDB0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《金融市场学》</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5726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2020年12月第六版</w:t>
            </w: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2077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2020年12月第1次印刷</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4853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张亦春</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8E6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高等教育出版社</w:t>
            </w: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1EAF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9787040551181</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F247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普通高等教育“十一五”国家级规划教材</w:t>
            </w:r>
          </w:p>
        </w:tc>
      </w:tr>
    </w:tbl>
    <w:p w14:paraId="0C8B7FD2">
      <w:pPr>
        <w:spacing w:line="360" w:lineRule="auto"/>
        <w:ind w:firstLine="482" w:firstLineChars="200"/>
        <w:rPr>
          <w:rFonts w:eastAsia="仿宋"/>
          <w:b/>
          <w:color w:val="000000"/>
          <w:sz w:val="24"/>
        </w:rPr>
      </w:pPr>
    </w:p>
    <w:p w14:paraId="5EB35B93">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9"/>
        <w:tblW w:w="9176" w:type="dxa"/>
        <w:tblInd w:w="0" w:type="dxa"/>
        <w:tblLayout w:type="fixed"/>
        <w:tblCellMar>
          <w:top w:w="0" w:type="dxa"/>
          <w:left w:w="108" w:type="dxa"/>
          <w:bottom w:w="0" w:type="dxa"/>
          <w:right w:w="108" w:type="dxa"/>
        </w:tblCellMar>
      </w:tblPr>
      <w:tblGrid>
        <w:gridCol w:w="418"/>
        <w:gridCol w:w="1071"/>
        <w:gridCol w:w="999"/>
        <w:gridCol w:w="1091"/>
        <w:gridCol w:w="1101"/>
        <w:gridCol w:w="986"/>
        <w:gridCol w:w="1579"/>
        <w:gridCol w:w="1931"/>
      </w:tblGrid>
      <w:tr w14:paraId="6FB09F8B">
        <w:tblPrEx>
          <w:tblCellMar>
            <w:top w:w="0" w:type="dxa"/>
            <w:left w:w="108" w:type="dxa"/>
            <w:bottom w:w="0" w:type="dxa"/>
            <w:right w:w="108" w:type="dxa"/>
          </w:tblCellMar>
        </w:tblPrEx>
        <w:trPr>
          <w:trHeight w:val="659"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D10C3">
            <w:pPr>
              <w:widowControl/>
              <w:jc w:val="center"/>
              <w:textAlignment w:val="center"/>
              <w:rPr>
                <w:rFonts w:hint="eastAsia"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8D41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C781B">
            <w:pPr>
              <w:widowControl/>
              <w:jc w:val="center"/>
              <w:textAlignment w:val="center"/>
              <w:rPr>
                <w:rFonts w:hint="eastAsia" w:ascii="宋体" w:hAnsi="宋体" w:cs="宋体"/>
                <w:b/>
                <w:bCs/>
                <w:color w:val="000000"/>
                <w:sz w:val="20"/>
                <w:szCs w:val="20"/>
              </w:rPr>
            </w:pPr>
            <w:r>
              <w:rPr>
                <w:rStyle w:val="23"/>
                <w:rFonts w:hint="default"/>
                <w:lang w:bidi="ar"/>
              </w:rPr>
              <w:t>版次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854D0">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817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553C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CA1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8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2D32">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14:paraId="63EBC3AF">
        <w:tblPrEx>
          <w:tblCellMar>
            <w:top w:w="0" w:type="dxa"/>
            <w:left w:w="108" w:type="dxa"/>
            <w:bottom w:w="0" w:type="dxa"/>
            <w:right w:w="108" w:type="dxa"/>
          </w:tblCellMar>
        </w:tblPrEx>
        <w:trPr>
          <w:trHeight w:val="1758"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832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5E33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《金融市场与金融机构》</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A593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2020年08月第12版</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E9C6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2020年2月第1次印刷</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3FA0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何丽芬</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F49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机械工业出版社</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64B3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9787563648498</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FD78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r>
      <w:tr w14:paraId="41E127F1">
        <w:tblPrEx>
          <w:tblCellMar>
            <w:top w:w="0" w:type="dxa"/>
            <w:left w:w="108" w:type="dxa"/>
            <w:bottom w:w="0" w:type="dxa"/>
            <w:right w:w="108" w:type="dxa"/>
          </w:tblCellMar>
        </w:tblPrEx>
        <w:trPr>
          <w:trHeight w:val="1535" w:hRule="atLeast"/>
        </w:trPr>
        <w:tc>
          <w:tcPr>
            <w:tcW w:w="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EFD8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0B53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《金融市场与金融机构》</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4563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2020年8月第12版</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C835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2020年10月第1次印刷</w:t>
            </w:r>
          </w:p>
        </w:tc>
        <w:tc>
          <w:tcPr>
            <w:tcW w:w="1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8DC5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（美）杰夫·马杜拉</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766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石油工业出版社</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133B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9787300278360</w:t>
            </w:r>
          </w:p>
        </w:tc>
        <w:tc>
          <w:tcPr>
            <w:tcW w:w="1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A314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r>
    </w:tbl>
    <w:p w14:paraId="75C61667">
      <w:pPr>
        <w:spacing w:line="360" w:lineRule="auto"/>
        <w:ind w:firstLine="480" w:firstLineChars="200"/>
        <w:jc w:val="left"/>
        <w:rPr>
          <w:rFonts w:eastAsia="仿宋"/>
          <w:color w:val="000000"/>
          <w:sz w:val="24"/>
        </w:rPr>
      </w:pPr>
    </w:p>
    <w:p w14:paraId="4B5653B2">
      <w:pPr>
        <w:spacing w:line="360" w:lineRule="auto"/>
        <w:jc w:val="left"/>
        <w:rPr>
          <w:rFonts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3239C"/>
    <w:multiLevelType w:val="singleLevel"/>
    <w:tmpl w:val="9BA3239C"/>
    <w:lvl w:ilvl="0" w:tentative="0">
      <w:start w:val="1"/>
      <w:numFmt w:val="bullet"/>
      <w:lvlText w:val=""/>
      <w:lvlJc w:val="left"/>
      <w:pPr>
        <w:ind w:left="420" w:hanging="420"/>
      </w:pPr>
      <w:rPr>
        <w:rFonts w:hint="default" w:ascii="Wingdings" w:hAnsi="Wingdings"/>
      </w:rPr>
    </w:lvl>
  </w:abstractNum>
  <w:abstractNum w:abstractNumId="1">
    <w:nsid w:val="0B71CC7B"/>
    <w:multiLevelType w:val="singleLevel"/>
    <w:tmpl w:val="0B71CC7B"/>
    <w:lvl w:ilvl="0" w:tentative="0">
      <w:start w:val="1"/>
      <w:numFmt w:val="decimal"/>
      <w:suff w:val="nothing"/>
      <w:lvlText w:val="%1、"/>
      <w:lvlJc w:val="left"/>
    </w:lvl>
  </w:abstractNum>
  <w:abstractNum w:abstractNumId="2">
    <w:nsid w:val="1E68A68A"/>
    <w:multiLevelType w:val="multilevel"/>
    <w:tmpl w:val="1E68A68A"/>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65F2D705"/>
    <w:multiLevelType w:val="singleLevel"/>
    <w:tmpl w:val="65F2D705"/>
    <w:lvl w:ilvl="0" w:tentative="0">
      <w:start w:val="1"/>
      <w:numFmt w:val="bullet"/>
      <w:lvlText w:val=""/>
      <w:lvlJc w:val="left"/>
      <w:pPr>
        <w:ind w:left="420" w:hanging="420"/>
      </w:pPr>
      <w:rPr>
        <w:rFonts w:hint="default" w:ascii="Wingdings" w:hAnsi="Wingdings"/>
      </w:rPr>
    </w:lvl>
  </w:abstractNum>
  <w:abstractNum w:abstractNumId="4">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537A"/>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0B29"/>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97EA1"/>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6F7321"/>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60F2"/>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0C99"/>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EF76FA"/>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222E"/>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3F01E75"/>
    <w:rsid w:val="0C1A5128"/>
    <w:rsid w:val="287A4A06"/>
    <w:rsid w:val="2F560F3A"/>
    <w:rsid w:val="31B30825"/>
    <w:rsid w:val="380F6744"/>
    <w:rsid w:val="39135620"/>
    <w:rsid w:val="3E761C34"/>
    <w:rsid w:val="4EAC4B9D"/>
    <w:rsid w:val="6915243E"/>
    <w:rsid w:val="6BF2569F"/>
    <w:rsid w:val="6CA64085"/>
    <w:rsid w:val="7EAA4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annotation text"/>
    <w:basedOn w:val="1"/>
    <w:link w:val="13"/>
    <w:unhideWhenUsed/>
    <w:qFormat/>
    <w:uiPriority w:val="99"/>
    <w:pPr>
      <w:jc w:val="left"/>
    </w:pPr>
    <w:rPr>
      <w:kern w:val="0"/>
      <w:sz w:val="24"/>
    </w:rPr>
  </w:style>
  <w:style w:type="paragraph" w:styleId="4">
    <w:name w:val="Balloon Text"/>
    <w:basedOn w:val="1"/>
    <w:link w:val="14"/>
    <w:unhideWhenUsed/>
    <w:qFormat/>
    <w:uiPriority w:val="99"/>
    <w:rPr>
      <w:kern w:val="0"/>
      <w:sz w:val="18"/>
      <w:szCs w:val="18"/>
    </w:rPr>
  </w:style>
  <w:style w:type="paragraph" w:styleId="5">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Normal (Web)"/>
    <w:basedOn w:val="1"/>
    <w:semiHidden/>
    <w:unhideWhenUsed/>
    <w:qFormat/>
    <w:uiPriority w:val="99"/>
    <w:pPr>
      <w:spacing w:beforeAutospacing="1" w:afterAutospacing="1"/>
      <w:jc w:val="left"/>
    </w:pPr>
    <w:rPr>
      <w:kern w:val="0"/>
      <w:sz w:val="24"/>
    </w:rPr>
  </w:style>
  <w:style w:type="paragraph" w:styleId="8">
    <w:name w:val="annotation subject"/>
    <w:basedOn w:val="3"/>
    <w:next w:val="3"/>
    <w:link w:val="18"/>
    <w:unhideWhenUsed/>
    <w:qFormat/>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rFonts w:cs="Times New Roman"/>
      <w:sz w:val="21"/>
      <w:szCs w:val="21"/>
    </w:rPr>
  </w:style>
  <w:style w:type="character" w:customStyle="1" w:styleId="13">
    <w:name w:val="批注文字 字符"/>
    <w:link w:val="3"/>
    <w:semiHidden/>
    <w:qFormat/>
    <w:locked/>
    <w:uiPriority w:val="99"/>
    <w:rPr>
      <w:rFonts w:ascii="Times New Roman" w:hAnsi="Times New Roman" w:eastAsia="宋体" w:cs="Times New Roman"/>
      <w:sz w:val="24"/>
      <w:szCs w:val="24"/>
    </w:rPr>
  </w:style>
  <w:style w:type="character" w:customStyle="1" w:styleId="14">
    <w:name w:val="批注框文本 字符"/>
    <w:link w:val="4"/>
    <w:semiHidden/>
    <w:qFormat/>
    <w:locked/>
    <w:uiPriority w:val="99"/>
    <w:rPr>
      <w:rFonts w:ascii="Times New Roman" w:hAnsi="Times New Roman" w:eastAsia="宋体" w:cs="Times New Roman"/>
      <w:sz w:val="18"/>
      <w:szCs w:val="18"/>
    </w:rPr>
  </w:style>
  <w:style w:type="character" w:customStyle="1" w:styleId="15">
    <w:name w:val="页脚 字符"/>
    <w:link w:val="5"/>
    <w:qFormat/>
    <w:locked/>
    <w:uiPriority w:val="99"/>
    <w:rPr>
      <w:rFonts w:cs="Times New Roman"/>
      <w:sz w:val="18"/>
      <w:szCs w:val="18"/>
    </w:rPr>
  </w:style>
  <w:style w:type="character" w:customStyle="1" w:styleId="16">
    <w:name w:val="文档结构图 字符"/>
    <w:link w:val="2"/>
    <w:semiHidden/>
    <w:qFormat/>
    <w:uiPriority w:val="99"/>
    <w:rPr>
      <w:rFonts w:ascii="宋体" w:hAnsi="Times New Roman"/>
      <w:kern w:val="2"/>
      <w:sz w:val="18"/>
      <w:szCs w:val="18"/>
    </w:rPr>
  </w:style>
  <w:style w:type="character" w:customStyle="1" w:styleId="17">
    <w:name w:val="页眉 字符"/>
    <w:link w:val="6"/>
    <w:qFormat/>
    <w:locked/>
    <w:uiPriority w:val="99"/>
    <w:rPr>
      <w:rFonts w:cs="Times New Roman"/>
      <w:sz w:val="18"/>
      <w:szCs w:val="18"/>
    </w:rPr>
  </w:style>
  <w:style w:type="character" w:customStyle="1" w:styleId="18">
    <w:name w:val="批注主题 字符"/>
    <w:link w:val="8"/>
    <w:semiHidden/>
    <w:qFormat/>
    <w:locked/>
    <w:uiPriority w:val="99"/>
    <w:rPr>
      <w:rFonts w:ascii="Times New Roman" w:hAnsi="Times New Roman" w:eastAsia="宋体" w:cs="Times New Roman"/>
      <w:b/>
      <w:bCs/>
      <w:sz w:val="24"/>
      <w:szCs w:val="24"/>
    </w:rPr>
  </w:style>
  <w:style w:type="paragraph" w:customStyle="1" w:styleId="19">
    <w:name w:val="列出段落"/>
    <w:basedOn w:val="1"/>
    <w:qFormat/>
    <w:uiPriority w:val="34"/>
    <w:pPr>
      <w:ind w:firstLine="420" w:firstLineChars="200"/>
    </w:pPr>
    <w:rPr>
      <w:rFonts w:ascii="Calibri" w:hAnsi="Calibri"/>
      <w:szCs w:val="22"/>
    </w:rPr>
  </w:style>
  <w:style w:type="paragraph" w:customStyle="1" w:styleId="20">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列表段落1"/>
    <w:basedOn w:val="1"/>
    <w:qFormat/>
    <w:uiPriority w:val="34"/>
    <w:pPr>
      <w:ind w:firstLine="420" w:firstLineChars="200"/>
    </w:pPr>
  </w:style>
  <w:style w:type="paragraph" w:customStyle="1" w:styleId="22">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qFormat/>
    <w:uiPriority w:val="0"/>
    <w:rPr>
      <w:rFonts w:hint="eastAsia" w:ascii="宋体" w:hAnsi="宋体" w:eastAsia="宋体" w:cs="宋体"/>
      <w:b/>
      <w:bCs/>
      <w:color w:val="000000"/>
      <w:sz w:val="20"/>
      <w:szCs w:val="20"/>
      <w:u w:val="none"/>
    </w:rPr>
  </w:style>
  <w:style w:type="character" w:customStyle="1" w:styleId="24">
    <w:name w:val="font41"/>
    <w:qFormat/>
    <w:uiPriority w:val="0"/>
    <w:rPr>
      <w:rFonts w:hint="eastAsia" w:ascii="宋体" w:hAnsi="宋体" w:eastAsia="宋体" w:cs="宋体"/>
      <w:b/>
      <w:bCs/>
      <w:color w:val="FF0000"/>
      <w:sz w:val="20"/>
      <w:szCs w:val="20"/>
      <w:u w:val="none"/>
    </w:rPr>
  </w:style>
  <w:style w:type="character" w:customStyle="1" w:styleId="25">
    <w:name w:val="font11"/>
    <w:qFormat/>
    <w:uiPriority w:val="0"/>
    <w:rPr>
      <w:rFonts w:hint="eastAsia" w:ascii="宋体" w:hAnsi="宋体" w:eastAsia="宋体" w:cs="宋体"/>
      <w:b/>
      <w:bCs/>
      <w:color w:val="000000"/>
      <w:sz w:val="20"/>
      <w:szCs w:val="20"/>
      <w:u w:val="none"/>
    </w:rPr>
  </w:style>
  <w:style w:type="character" w:customStyle="1" w:styleId="26">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4120</Words>
  <Characters>4376</Characters>
  <Lines>34</Lines>
  <Paragraphs>9</Paragraphs>
  <TotalTime>14</TotalTime>
  <ScaleCrop>false</ScaleCrop>
  <LinksUpToDate>false</LinksUpToDate>
  <CharactersWithSpaces>4393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zio</cp:lastModifiedBy>
  <dcterms:modified xsi:type="dcterms:W3CDTF">2024-08-29T10:20:12Z</dcterms:modified>
  <dc:title>《工程结构抗震设计原理》课程教学大纲</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9E7DC0C669734E84A232F5E095153DE0_13</vt:lpwstr>
  </property>
</Properties>
</file>