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582FA">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09E5AC68">
      <w:pPr>
        <w:spacing w:line="480" w:lineRule="auto"/>
        <w:rPr>
          <w:rFonts w:ascii="宋体" w:hAnsi="宋体"/>
          <w:color w:val="000000"/>
          <w:sz w:val="44"/>
          <w:szCs w:val="20"/>
        </w:rPr>
      </w:pPr>
    </w:p>
    <w:p w14:paraId="7160EC2C">
      <w:pPr>
        <w:tabs>
          <w:tab w:val="left" w:pos="880"/>
        </w:tabs>
        <w:spacing w:line="480" w:lineRule="auto"/>
        <w:rPr>
          <w:rFonts w:ascii="宋体" w:hAnsi="宋体"/>
          <w:color w:val="000000"/>
          <w:sz w:val="44"/>
          <w:szCs w:val="20"/>
        </w:rPr>
      </w:pPr>
      <w:r>
        <w:rPr>
          <w:rFonts w:ascii="宋体" w:hAnsi="宋体"/>
          <w:color w:val="000000"/>
          <w:sz w:val="44"/>
          <w:szCs w:val="20"/>
        </w:rPr>
        <w:tab/>
      </w:r>
    </w:p>
    <w:p w14:paraId="20873048">
      <w:pPr>
        <w:spacing w:line="480" w:lineRule="auto"/>
        <w:rPr>
          <w:rFonts w:ascii="宋体" w:hAnsi="宋体"/>
          <w:color w:val="000000"/>
          <w:sz w:val="44"/>
          <w:szCs w:val="20"/>
        </w:rPr>
      </w:pPr>
    </w:p>
    <w:p w14:paraId="1CFD9382">
      <w:pPr>
        <w:spacing w:line="480" w:lineRule="auto"/>
        <w:jc w:val="center"/>
        <w:rPr>
          <w:rFonts w:eastAsia="黑体"/>
          <w:color w:val="000000"/>
          <w:sz w:val="44"/>
        </w:rPr>
      </w:pPr>
      <w:r>
        <w:rPr>
          <w:rFonts w:hint="eastAsia" w:eastAsia="黑体"/>
          <w:color w:val="000000"/>
          <w:sz w:val="44"/>
        </w:rPr>
        <w:t>《哲学导论》教学大纲</w:t>
      </w:r>
    </w:p>
    <w:p w14:paraId="311970DD">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1</w:t>
      </w:r>
      <w:r>
        <w:rPr>
          <w:rFonts w:hint="eastAsia" w:ascii="仿宋" w:hAnsi="仿宋" w:eastAsia="仿宋"/>
          <w:color w:val="000000"/>
          <w:sz w:val="28"/>
          <w:u w:val="single"/>
        </w:rPr>
        <w:t>版）</w:t>
      </w:r>
    </w:p>
    <w:p w14:paraId="72810184">
      <w:pPr>
        <w:spacing w:line="480" w:lineRule="auto"/>
        <w:rPr>
          <w:color w:val="000000"/>
          <w:sz w:val="32"/>
          <w:szCs w:val="20"/>
        </w:rPr>
      </w:pPr>
    </w:p>
    <w:p w14:paraId="4CFF5F68">
      <w:pPr>
        <w:spacing w:line="480" w:lineRule="auto"/>
        <w:rPr>
          <w:color w:val="000000"/>
          <w:sz w:val="32"/>
          <w:szCs w:val="20"/>
        </w:rPr>
      </w:pPr>
    </w:p>
    <w:p w14:paraId="02761AF4">
      <w:pPr>
        <w:spacing w:line="480" w:lineRule="auto"/>
        <w:rPr>
          <w:color w:val="000000"/>
          <w:sz w:val="32"/>
          <w:szCs w:val="20"/>
        </w:rPr>
      </w:pPr>
    </w:p>
    <w:p w14:paraId="1A0BB0BF">
      <w:pPr>
        <w:spacing w:line="480" w:lineRule="auto"/>
        <w:rPr>
          <w:color w:val="000000"/>
          <w:sz w:val="32"/>
          <w:szCs w:val="20"/>
        </w:rPr>
      </w:pPr>
    </w:p>
    <w:p w14:paraId="5532AB27">
      <w:pPr>
        <w:spacing w:line="480" w:lineRule="auto"/>
        <w:rPr>
          <w:color w:val="000000"/>
          <w:sz w:val="32"/>
          <w:szCs w:val="20"/>
        </w:rPr>
      </w:pPr>
    </w:p>
    <w:p w14:paraId="77AB63A4">
      <w:pPr>
        <w:spacing w:line="480" w:lineRule="auto"/>
        <w:rPr>
          <w:rFonts w:hint="eastAsia"/>
          <w:color w:val="000000"/>
          <w:sz w:val="32"/>
          <w:szCs w:val="20"/>
        </w:rPr>
      </w:pPr>
    </w:p>
    <w:p w14:paraId="36481387">
      <w:pPr>
        <w:spacing w:line="480" w:lineRule="auto"/>
        <w:rPr>
          <w:color w:val="000000"/>
          <w:sz w:val="32"/>
          <w:szCs w:val="20"/>
        </w:rPr>
      </w:pPr>
    </w:p>
    <w:p w14:paraId="67C1AC4A">
      <w:pPr>
        <w:spacing w:line="480" w:lineRule="auto"/>
        <w:rPr>
          <w:color w:val="000000"/>
          <w:sz w:val="28"/>
          <w:u w:val="single"/>
        </w:rPr>
      </w:pPr>
    </w:p>
    <w:tbl>
      <w:tblPr>
        <w:tblStyle w:val="9"/>
        <w:tblW w:w="0" w:type="auto"/>
        <w:jc w:val="center"/>
        <w:tblLayout w:type="autofit"/>
        <w:tblCellMar>
          <w:top w:w="0" w:type="dxa"/>
          <w:left w:w="108" w:type="dxa"/>
          <w:bottom w:w="0" w:type="dxa"/>
          <w:right w:w="108" w:type="dxa"/>
        </w:tblCellMar>
      </w:tblPr>
      <w:tblGrid>
        <w:gridCol w:w="2376"/>
        <w:gridCol w:w="3969"/>
      </w:tblGrid>
      <w:tr w14:paraId="309AE09C">
        <w:tblPrEx>
          <w:tblCellMar>
            <w:top w:w="0" w:type="dxa"/>
            <w:left w:w="108" w:type="dxa"/>
            <w:bottom w:w="0" w:type="dxa"/>
            <w:right w:w="108" w:type="dxa"/>
          </w:tblCellMar>
        </w:tblPrEx>
        <w:trPr>
          <w:jc w:val="center"/>
        </w:trPr>
        <w:tc>
          <w:tcPr>
            <w:tcW w:w="2376" w:type="dxa"/>
            <w:shd w:val="clear" w:color="auto" w:fill="auto"/>
            <w:vAlign w:val="bottom"/>
          </w:tcPr>
          <w:p w14:paraId="2E337C26">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7F04C270">
            <w:pPr>
              <w:spacing w:line="480" w:lineRule="auto"/>
              <w:jc w:val="center"/>
              <w:rPr>
                <w:rFonts w:hint="eastAsia" w:ascii="仿宋" w:hAnsi="仿宋" w:eastAsia="仿宋" w:cs="仿宋"/>
                <w:color w:val="000000"/>
                <w:sz w:val="28"/>
                <w:lang w:val="en-US" w:eastAsia="zh-CN"/>
              </w:rPr>
            </w:pPr>
            <w:r>
              <w:rPr>
                <w:rFonts w:hint="eastAsia" w:ascii="仿宋" w:hAnsi="仿宋" w:eastAsia="仿宋" w:cs="仿宋"/>
                <w:color w:val="000000"/>
                <w:sz w:val="28"/>
                <w:lang w:val="en-US" w:eastAsia="zh-CN"/>
              </w:rPr>
              <w:t>曾小凡</w:t>
            </w:r>
          </w:p>
        </w:tc>
      </w:tr>
      <w:tr w14:paraId="54FFD3D7">
        <w:tblPrEx>
          <w:tblCellMar>
            <w:top w:w="0" w:type="dxa"/>
            <w:left w:w="108" w:type="dxa"/>
            <w:bottom w:w="0" w:type="dxa"/>
            <w:right w:w="108" w:type="dxa"/>
          </w:tblCellMar>
        </w:tblPrEx>
        <w:trPr>
          <w:jc w:val="center"/>
        </w:trPr>
        <w:tc>
          <w:tcPr>
            <w:tcW w:w="2376" w:type="dxa"/>
            <w:shd w:val="clear" w:color="auto" w:fill="auto"/>
            <w:vAlign w:val="bottom"/>
          </w:tcPr>
          <w:p w14:paraId="4DCEDD38">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08FC95D3">
            <w:pPr>
              <w:spacing w:line="480" w:lineRule="auto"/>
              <w:jc w:val="center"/>
              <w:rPr>
                <w:rFonts w:hint="eastAsia" w:ascii="仿宋" w:hAnsi="仿宋" w:eastAsia="仿宋" w:cs="仿宋"/>
                <w:color w:val="000000"/>
                <w:sz w:val="28"/>
                <w:lang w:val="en-US" w:eastAsia="zh-CN"/>
              </w:rPr>
            </w:pPr>
            <w:r>
              <w:rPr>
                <w:rFonts w:hint="eastAsia" w:ascii="仿宋" w:hAnsi="仿宋" w:eastAsia="仿宋" w:cs="仿宋"/>
                <w:color w:val="000000"/>
                <w:sz w:val="28"/>
                <w:lang w:val="en-US" w:eastAsia="zh-CN"/>
              </w:rPr>
              <w:t>丁英宏</w:t>
            </w:r>
          </w:p>
        </w:tc>
      </w:tr>
    </w:tbl>
    <w:p w14:paraId="574CD59B">
      <w:pPr>
        <w:jc w:val="center"/>
        <w:rPr>
          <w:rFonts w:ascii="仿宋" w:hAnsi="仿宋" w:eastAsia="仿宋"/>
          <w:color w:val="000000"/>
          <w:sz w:val="28"/>
          <w:u w:val="single"/>
        </w:rPr>
      </w:pPr>
    </w:p>
    <w:p w14:paraId="17453894">
      <w:pPr>
        <w:jc w:val="center"/>
        <w:rPr>
          <w:rFonts w:ascii="仿宋" w:hAnsi="仿宋" w:eastAsia="仿宋"/>
          <w:color w:val="000000"/>
          <w:sz w:val="28"/>
          <w:u w:val="single"/>
        </w:rPr>
      </w:pPr>
    </w:p>
    <w:p w14:paraId="31AEFBAF">
      <w:pPr>
        <w:jc w:val="center"/>
        <w:rPr>
          <w:rFonts w:hint="eastAsia"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8</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14:paraId="434ED2E9">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9"/>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456A0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FC05FFB">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5ED8E73B">
            <w:pPr>
              <w:jc w:val="center"/>
              <w:rPr>
                <w:rFonts w:ascii="仿宋" w:hAnsi="仿宋" w:eastAsia="仿宋"/>
                <w:color w:val="000000"/>
                <w:sz w:val="24"/>
              </w:rPr>
            </w:pPr>
            <w:r>
              <w:rPr>
                <w:rFonts w:hint="eastAsia" w:ascii="仿宋" w:hAnsi="仿宋" w:eastAsia="仿宋"/>
                <w:color w:val="000000"/>
                <w:sz w:val="24"/>
              </w:rPr>
              <w:t>100838T001</w:t>
            </w:r>
          </w:p>
        </w:tc>
        <w:tc>
          <w:tcPr>
            <w:tcW w:w="1446" w:type="dxa"/>
            <w:vAlign w:val="center"/>
          </w:tcPr>
          <w:p w14:paraId="5629827C">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7650B7D9">
            <w:pPr>
              <w:jc w:val="center"/>
              <w:rPr>
                <w:rFonts w:hint="eastAsia" w:ascii="仿宋" w:hAnsi="仿宋" w:eastAsia="仿宋"/>
                <w:color w:val="000000"/>
                <w:sz w:val="24"/>
              </w:rPr>
            </w:pPr>
            <w:r>
              <w:rPr>
                <w:rFonts w:hint="eastAsia" w:ascii="仿宋" w:hAnsi="仿宋" w:eastAsia="仿宋"/>
                <w:color w:val="000000"/>
                <w:sz w:val="24"/>
              </w:rPr>
              <w:t>工商管理学院/</w:t>
            </w:r>
          </w:p>
          <w:p w14:paraId="56706DA5">
            <w:pPr>
              <w:jc w:val="center"/>
              <w:rPr>
                <w:rFonts w:ascii="仿宋" w:hAnsi="仿宋" w:eastAsia="仿宋"/>
                <w:color w:val="000000"/>
                <w:sz w:val="24"/>
              </w:rPr>
            </w:pPr>
            <w:r>
              <w:rPr>
                <w:rFonts w:hint="eastAsia" w:ascii="仿宋" w:hAnsi="仿宋" w:eastAsia="仿宋"/>
                <w:color w:val="000000"/>
                <w:sz w:val="24"/>
              </w:rPr>
              <w:t>马克思主义学院</w:t>
            </w:r>
          </w:p>
        </w:tc>
      </w:tr>
      <w:tr w14:paraId="4A0E5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BCF0157">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3A5E5756">
            <w:pPr>
              <w:jc w:val="left"/>
              <w:rPr>
                <w:rFonts w:ascii="仿宋" w:hAnsi="仿宋" w:eastAsia="仿宋"/>
                <w:color w:val="000000"/>
                <w:sz w:val="24"/>
              </w:rPr>
            </w:pPr>
            <w:r>
              <w:rPr>
                <w:rFonts w:hint="eastAsia" w:ascii="仿宋" w:hAnsi="仿宋" w:eastAsia="仿宋"/>
                <w:color w:val="000000"/>
                <w:sz w:val="24"/>
              </w:rPr>
              <w:t>哲学导论</w:t>
            </w:r>
          </w:p>
        </w:tc>
      </w:tr>
      <w:tr w14:paraId="3BE96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328B5B5">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51E8F928">
            <w:pPr>
              <w:jc w:val="left"/>
              <w:rPr>
                <w:rFonts w:ascii="仿宋" w:hAnsi="仿宋" w:eastAsia="仿宋"/>
                <w:color w:val="000000"/>
                <w:sz w:val="24"/>
              </w:rPr>
            </w:pPr>
            <w:r>
              <w:rPr>
                <w:rFonts w:hint="eastAsia" w:ascii="仿宋" w:hAnsi="仿宋" w:eastAsia="仿宋"/>
                <w:color w:val="000000"/>
                <w:sz w:val="24"/>
              </w:rPr>
              <w:t>Introduction to Philosophy</w:t>
            </w:r>
          </w:p>
        </w:tc>
      </w:tr>
      <w:tr w14:paraId="05505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E096EFE">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339726AB">
            <w:pPr>
              <w:jc w:val="left"/>
              <w:rPr>
                <w:rFonts w:hint="eastAsia" w:ascii="仿宋" w:hAnsi="仿宋" w:eastAsia="仿宋"/>
                <w:color w:val="FF0000"/>
                <w:sz w:val="24"/>
              </w:rPr>
            </w:pPr>
            <w:r>
              <w:rPr>
                <w:rFonts w:hint="eastAsia" w:ascii="仿宋" w:hAnsi="仿宋" w:eastAsia="仿宋"/>
                <w:color w:val="000000"/>
                <w:sz w:val="24"/>
              </w:rPr>
              <w:t>专业课：</w:t>
            </w:r>
            <w:r>
              <w:rPr>
                <w:rFonts w:hint="eastAsia" w:ascii="仿宋" w:hAnsi="仿宋" w:eastAsia="仿宋"/>
                <w:color w:val="000000"/>
                <w:sz w:val="24"/>
                <w:lang w:val="en-US" w:eastAsia="zh-CN"/>
              </w:rPr>
              <w:t>思想政治教育</w:t>
            </w:r>
            <w:r>
              <w:rPr>
                <w:rFonts w:hint="eastAsia" w:ascii="仿宋" w:hAnsi="仿宋" w:eastAsia="仿宋"/>
                <w:color w:val="000000"/>
                <w:sz w:val="24"/>
              </w:rPr>
              <w:t>专业必修课</w:t>
            </w:r>
          </w:p>
        </w:tc>
      </w:tr>
      <w:tr w14:paraId="5E6D7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244D8B5">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74F951A5">
            <w:pPr>
              <w:jc w:val="left"/>
              <w:rPr>
                <w:rFonts w:ascii="仿宋" w:hAnsi="仿宋" w:eastAsia="仿宋"/>
                <w:color w:val="0070C0"/>
                <w:sz w:val="24"/>
              </w:rPr>
            </w:pPr>
            <w:r>
              <w:rPr>
                <w:rFonts w:hint="eastAsia" w:ascii="仿宋" w:hAnsi="仿宋" w:eastAsia="仿宋"/>
                <w:color w:val="000000"/>
                <w:sz w:val="24"/>
              </w:rPr>
              <w:t>思政专业本科生</w:t>
            </w:r>
          </w:p>
        </w:tc>
      </w:tr>
      <w:tr w14:paraId="4853C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891D6AD">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08654A18">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3</w:t>
            </w:r>
          </w:p>
        </w:tc>
        <w:tc>
          <w:tcPr>
            <w:tcW w:w="1693" w:type="dxa"/>
            <w:gridSpan w:val="2"/>
            <w:vAlign w:val="center"/>
          </w:tcPr>
          <w:p w14:paraId="78AD2AE3">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04B73DA6">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48</w:t>
            </w:r>
          </w:p>
        </w:tc>
      </w:tr>
      <w:tr w14:paraId="4B4D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037C876">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422CB0BE">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48</w:t>
            </w:r>
          </w:p>
        </w:tc>
        <w:tc>
          <w:tcPr>
            <w:tcW w:w="1693" w:type="dxa"/>
            <w:gridSpan w:val="2"/>
            <w:vAlign w:val="center"/>
          </w:tcPr>
          <w:p w14:paraId="26F72353">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50BC57C9">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14:paraId="50EE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04EC9EF">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19FCECA7">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c>
          <w:tcPr>
            <w:tcW w:w="1693" w:type="dxa"/>
            <w:gridSpan w:val="2"/>
            <w:vAlign w:val="center"/>
          </w:tcPr>
          <w:p w14:paraId="5859C182">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666F1A99">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14:paraId="5A482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15000C8">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0A5E97D9">
            <w:pPr>
              <w:jc w:val="left"/>
              <w:rPr>
                <w:rFonts w:hint="default" w:ascii="仿宋" w:hAnsi="仿宋" w:eastAsia="仿宋"/>
                <w:color w:val="000000"/>
                <w:sz w:val="24"/>
                <w:lang w:val="en-US" w:eastAsia="zh-CN"/>
              </w:rPr>
            </w:pPr>
            <w:r>
              <w:rPr>
                <w:rFonts w:hint="eastAsia" w:ascii="仿宋" w:hAnsi="仿宋" w:eastAsia="仿宋"/>
                <w:color w:val="000000"/>
                <w:sz w:val="24"/>
                <w:lang w:val="en-US" w:eastAsia="zh-CN"/>
              </w:rPr>
              <w:t>无</w:t>
            </w:r>
          </w:p>
        </w:tc>
      </w:tr>
    </w:tbl>
    <w:p w14:paraId="6BA93A1E">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31924B05">
      <w:pPr>
        <w:snapToGrid w:val="0"/>
        <w:spacing w:line="36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本课程是</w:t>
      </w:r>
      <w:r>
        <w:rPr>
          <w:rFonts w:hint="eastAsia" w:ascii="仿宋" w:hAnsi="仿宋" w:eastAsia="仿宋"/>
          <w:color w:val="000000" w:themeColor="text1"/>
          <w:sz w:val="24"/>
          <w:lang w:val="en-US" w:eastAsia="zh-CN"/>
          <w14:textFill>
            <w14:solidFill>
              <w14:schemeClr w14:val="tx1"/>
            </w14:solidFill>
          </w14:textFill>
        </w:rPr>
        <w:t>思想政治教育</w:t>
      </w:r>
      <w:r>
        <w:rPr>
          <w:rFonts w:hint="eastAsia" w:ascii="仿宋" w:hAnsi="仿宋" w:eastAsia="仿宋"/>
          <w:color w:val="000000" w:themeColor="text1"/>
          <w:sz w:val="24"/>
          <w14:textFill>
            <w14:solidFill>
              <w14:schemeClr w14:val="tx1"/>
            </w14:solidFill>
          </w14:textFill>
        </w:rPr>
        <w:t>专业的基础课程。目的是通过授课交流与学生一起被“导”入哲学学习研究的“道路”。哲学道路是指人们在对宇宙和人生种种现象的“惊异”与“追问”中打开的思想空间；哲学道路是由若干里程碑式的哲学“基本概念”（fundamental</w:t>
      </w:r>
      <w:r>
        <w:rPr>
          <w:rFonts w:hint="eastAsia" w:ascii="仿宋" w:hAnsi="仿宋" w:eastAsia="仿宋"/>
          <w:color w:val="000000" w:themeColor="text1"/>
          <w:sz w:val="24"/>
          <w:lang w:val="en-US" w:eastAsia="zh-CN"/>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concepts）、哲学家和经典哲学文本构成；哲学道路还往往是哲学方法（way）的同义词。当然，行走于哲学道路的最强大内驱力是马克思哲学的“批判”精神。唯有批判才是哲学抵御人类精神堕落的重要思想武器。</w:t>
      </w:r>
    </w:p>
    <w:p w14:paraId="2DB20804">
      <w:pPr>
        <w:snapToGrid w:val="0"/>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本课程</w:t>
      </w:r>
      <w:r>
        <w:rPr>
          <w:rFonts w:hint="eastAsia" w:ascii="仿宋" w:hAnsi="仿宋" w:eastAsia="仿宋"/>
          <w:color w:val="000000" w:themeColor="text1"/>
          <w:sz w:val="24"/>
          <w:lang w:val="en-US" w:eastAsia="zh-CN"/>
          <w14:textFill>
            <w14:solidFill>
              <w14:schemeClr w14:val="tx1"/>
            </w14:solidFill>
          </w14:textFill>
        </w:rPr>
        <w:t>目的</w:t>
      </w:r>
      <w:r>
        <w:rPr>
          <w:rFonts w:hint="eastAsia" w:ascii="仿宋" w:hAnsi="仿宋" w:eastAsia="仿宋"/>
          <w:color w:val="000000" w:themeColor="text1"/>
          <w:sz w:val="24"/>
          <w14:textFill>
            <w14:solidFill>
              <w14:schemeClr w14:val="tx1"/>
            </w14:solidFill>
          </w14:textFill>
        </w:rPr>
        <w:t>是培育</w:t>
      </w:r>
      <w:r>
        <w:rPr>
          <w:rFonts w:hint="eastAsia" w:ascii="仿宋" w:hAnsi="仿宋" w:eastAsia="仿宋"/>
          <w:color w:val="000000" w:themeColor="text1"/>
          <w:sz w:val="24"/>
          <w:lang w:val="en-US" w:eastAsia="zh-CN"/>
          <w14:textFill>
            <w14:solidFill>
              <w14:schemeClr w14:val="tx1"/>
            </w14:solidFill>
          </w14:textFill>
        </w:rPr>
        <w:t>具有</w:t>
      </w:r>
      <w:r>
        <w:rPr>
          <w:rFonts w:hint="eastAsia" w:ascii="仿宋" w:hAnsi="仿宋" w:eastAsia="仿宋"/>
          <w:color w:val="000000" w:themeColor="text1"/>
          <w:sz w:val="24"/>
          <w14:textFill>
            <w14:solidFill>
              <w14:schemeClr w14:val="tx1"/>
            </w14:solidFill>
          </w14:textFill>
        </w:rPr>
        <w:t>哲学</w:t>
      </w:r>
      <w:r>
        <w:rPr>
          <w:rFonts w:hint="eastAsia" w:ascii="仿宋" w:hAnsi="仿宋" w:eastAsia="仿宋"/>
          <w:color w:val="000000" w:themeColor="text1"/>
          <w:sz w:val="24"/>
          <w:lang w:val="en-US" w:eastAsia="zh-CN"/>
          <w14:textFill>
            <w14:solidFill>
              <w14:schemeClr w14:val="tx1"/>
            </w14:solidFill>
          </w14:textFill>
        </w:rPr>
        <w:t>思维</w:t>
      </w:r>
      <w:r>
        <w:rPr>
          <w:rFonts w:hint="eastAsia" w:ascii="仿宋" w:hAnsi="仿宋" w:eastAsia="仿宋"/>
          <w:color w:val="000000" w:themeColor="text1"/>
          <w:sz w:val="24"/>
          <w14:textFill>
            <w14:solidFill>
              <w14:schemeClr w14:val="tx1"/>
            </w14:solidFill>
          </w14:textFill>
        </w:rPr>
        <w:t>人才</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提高思想政治教育专业学生</w:t>
      </w:r>
      <w:r>
        <w:rPr>
          <w:rFonts w:hint="eastAsia" w:ascii="仿宋" w:hAnsi="仿宋" w:eastAsia="仿宋"/>
          <w:color w:val="000000" w:themeColor="text1"/>
          <w:sz w:val="24"/>
          <w14:textFill>
            <w14:solidFill>
              <w14:schemeClr w14:val="tx1"/>
            </w14:solidFill>
          </w14:textFill>
        </w:rPr>
        <w:t>在哲学这个思想工厂中创造思想工具的能力，是弘扬中华传统文化的内在要求，是提高我们民族说理水平的内在要求。课程贯彻“以学生为中心”的理念</w:t>
      </w: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（1）授课内容充分考虑</w:t>
      </w:r>
      <w:r>
        <w:rPr>
          <w:rFonts w:hint="eastAsia" w:ascii="仿宋" w:hAnsi="仿宋" w:eastAsia="仿宋"/>
          <w:color w:val="000000" w:themeColor="text1"/>
          <w:sz w:val="24"/>
          <w:lang w:val="en-US" w:eastAsia="zh-CN"/>
          <w14:textFill>
            <w14:solidFill>
              <w14:schemeClr w14:val="tx1"/>
            </w14:solidFill>
          </w14:textFill>
        </w:rPr>
        <w:t>大一</w:t>
      </w:r>
      <w:r>
        <w:rPr>
          <w:rFonts w:hint="eastAsia" w:ascii="仿宋" w:hAnsi="仿宋" w:eastAsia="仿宋"/>
          <w:color w:val="000000" w:themeColor="text1"/>
          <w:sz w:val="24"/>
          <w14:textFill>
            <w14:solidFill>
              <w14:schemeClr w14:val="tx1"/>
            </w14:solidFill>
          </w14:textFill>
        </w:rPr>
        <w:t xml:space="preserve">新生的接受水平，在满足思想“挑战度”的前提下，以 PPT 等视觉课件形式、以辩证追问的论证方式等，展示哲学基本问题的建构史和哲学方法的特色；（2）本课程注重将哲学基本问题讲授与哲学经典文献阅读结合，向学生推荐 </w:t>
      </w:r>
      <w:r>
        <w:rPr>
          <w:rFonts w:hint="eastAsia" w:ascii="仿宋" w:hAnsi="仿宋" w:eastAsia="仿宋"/>
          <w:color w:val="000000" w:themeColor="text1"/>
          <w:sz w:val="24"/>
          <w:lang w:val="en-US" w:eastAsia="zh-CN"/>
          <w14:textFill>
            <w14:solidFill>
              <w14:schemeClr w14:val="tx1"/>
            </w14:solidFill>
          </w14:textFill>
        </w:rPr>
        <w:t>2</w:t>
      </w:r>
      <w:r>
        <w:rPr>
          <w:rFonts w:hint="eastAsia" w:ascii="仿宋" w:hAnsi="仿宋" w:eastAsia="仿宋"/>
          <w:color w:val="000000" w:themeColor="text1"/>
          <w:sz w:val="24"/>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3</w:t>
      </w:r>
      <w:r>
        <w:rPr>
          <w:rFonts w:hint="eastAsia" w:ascii="仿宋" w:hAnsi="仿宋" w:eastAsia="仿宋"/>
          <w:color w:val="000000" w:themeColor="text1"/>
          <w:sz w:val="24"/>
          <w14:textFill>
            <w14:solidFill>
              <w14:schemeClr w14:val="tx1"/>
            </w14:solidFill>
          </w14:textFill>
        </w:rPr>
        <w:t xml:space="preserve"> 篇经典性的序言和节选文本；（3）本课程将探索鼓励学生提问讨论、与学生在课上和课后互动的多种形式，以提高学生口头学术交流和讨论的能力，将其提升到与文献阅读、论文写作同等重要的高度</w:t>
      </w:r>
      <w:r>
        <w:rPr>
          <w:rFonts w:hint="eastAsia" w:ascii="仿宋" w:hAnsi="仿宋" w:eastAsia="仿宋"/>
          <w:color w:val="000000" w:themeColor="text1"/>
          <w:sz w:val="24"/>
          <w:lang w:eastAsia="zh-CN"/>
          <w14:textFill>
            <w14:solidFill>
              <w14:schemeClr w14:val="tx1"/>
            </w14:solidFill>
          </w14:textFill>
        </w:rPr>
        <w:t>。</w:t>
      </w:r>
    </w:p>
    <w:p w14:paraId="19291BC0">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25905B38">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14:paraId="05597037">
      <w:pPr>
        <w:spacing w:line="360" w:lineRule="auto"/>
        <w:ind w:firstLine="482" w:firstLineChars="200"/>
        <w:rPr>
          <w:rFonts w:hint="eastAsia" w:ascii="仿宋" w:hAnsi="仿宋" w:eastAsia="仿宋"/>
          <w:b/>
          <w:color w:val="000000"/>
          <w:sz w:val="24"/>
          <w:lang w:eastAsia="zh-CN"/>
        </w:rPr>
      </w:pPr>
      <w:r>
        <w:rPr>
          <w:rFonts w:hint="eastAsia" w:ascii="仿宋" w:hAnsi="仿宋" w:eastAsia="仿宋"/>
          <w:b/>
          <w:color w:val="000000"/>
          <w:sz w:val="24"/>
        </w:rPr>
        <w:t>课程目标</w:t>
      </w:r>
      <w:r>
        <w:rPr>
          <w:rFonts w:ascii="仿宋" w:hAnsi="仿宋" w:eastAsia="仿宋"/>
          <w:b/>
          <w:color w:val="000000"/>
          <w:sz w:val="24"/>
        </w:rPr>
        <w:t>1</w:t>
      </w:r>
      <w:r>
        <w:rPr>
          <w:rFonts w:hint="eastAsia" w:ascii="仿宋" w:hAnsi="仿宋" w:eastAsia="仿宋"/>
          <w:b/>
          <w:color w:val="000000"/>
          <w:sz w:val="24"/>
        </w:rPr>
        <w:t>：</w:t>
      </w:r>
      <w:r>
        <w:rPr>
          <w:rFonts w:hint="eastAsia" w:ascii="仿宋" w:hAnsi="仿宋" w:eastAsia="仿宋"/>
          <w:b w:val="0"/>
          <w:bCs/>
          <w:color w:val="000000"/>
          <w:sz w:val="24"/>
        </w:rPr>
        <w:t>了解哲学专业的基本知识体系</w:t>
      </w:r>
      <w:r>
        <w:rPr>
          <w:rFonts w:hint="eastAsia" w:ascii="仿宋" w:hAnsi="仿宋" w:eastAsia="仿宋"/>
          <w:b w:val="0"/>
          <w:bCs/>
          <w:color w:val="000000"/>
          <w:sz w:val="24"/>
          <w:lang w:eastAsia="zh-CN"/>
        </w:rPr>
        <w:t>，让学生对哲学的基础性学科和基础性问题、对哲学的若干重要分支学科及相关基础性问题有整体的了解，为今后的专业学习打下基础；</w:t>
      </w:r>
    </w:p>
    <w:p w14:paraId="56E13892">
      <w:pPr>
        <w:spacing w:line="360" w:lineRule="auto"/>
        <w:ind w:firstLine="482" w:firstLineChars="200"/>
        <w:rPr>
          <w:rFonts w:hint="eastAsia" w:ascii="仿宋" w:hAnsi="仿宋" w:eastAsia="仿宋"/>
          <w:b w:val="0"/>
          <w:bCs/>
          <w:color w:val="000000"/>
          <w:sz w:val="24"/>
        </w:rPr>
      </w:pPr>
      <w:r>
        <w:rPr>
          <w:rFonts w:hint="eastAsia" w:ascii="仿宋" w:hAnsi="仿宋" w:eastAsia="仿宋"/>
          <w:b/>
          <w:color w:val="000000"/>
          <w:sz w:val="24"/>
        </w:rPr>
        <w:t>课程目标2：</w:t>
      </w:r>
      <w:r>
        <w:rPr>
          <w:rFonts w:hint="eastAsia" w:ascii="仿宋" w:hAnsi="仿宋" w:eastAsia="仿宋"/>
          <w:b w:val="0"/>
          <w:bCs/>
          <w:color w:val="000000"/>
          <w:sz w:val="24"/>
          <w:lang w:val="en-GB"/>
        </w:rPr>
        <w:t>让学生了解一些节点性的思想家，开始阅读相关哲学经典；</w:t>
      </w:r>
      <w:r>
        <w:rPr>
          <w:rFonts w:hint="eastAsia" w:ascii="仿宋" w:hAnsi="仿宋" w:eastAsia="仿宋"/>
          <w:b w:val="0"/>
          <w:bCs/>
          <w:color w:val="000000"/>
          <w:sz w:val="24"/>
          <w:lang w:val="en-US" w:eastAsia="zh-CN"/>
        </w:rPr>
        <w:t>并初步了解哲学家的怀疑、追问和概念创造活动</w:t>
      </w:r>
      <w:r>
        <w:rPr>
          <w:rFonts w:hint="eastAsia" w:ascii="仿宋" w:hAnsi="仿宋" w:eastAsia="仿宋"/>
          <w:b w:val="0"/>
          <w:bCs/>
          <w:color w:val="000000"/>
          <w:sz w:val="24"/>
          <w:lang w:val="en-GB" w:eastAsia="zh-CN"/>
        </w:rPr>
        <w:t>。</w:t>
      </w:r>
    </w:p>
    <w:p w14:paraId="13AD404B">
      <w:pPr>
        <w:spacing w:line="360" w:lineRule="auto"/>
        <w:ind w:firstLine="482" w:firstLineChars="200"/>
        <w:rPr>
          <w:rFonts w:hint="eastAsia" w:ascii="仿宋" w:hAnsi="仿宋" w:eastAsia="仿宋"/>
          <w:b w:val="0"/>
          <w:bCs/>
          <w:color w:val="000000"/>
          <w:sz w:val="24"/>
          <w:lang w:eastAsia="zh-CN"/>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w:t>
      </w:r>
      <w:r>
        <w:rPr>
          <w:rFonts w:hint="eastAsia" w:ascii="仿宋" w:hAnsi="仿宋" w:eastAsia="仿宋"/>
          <w:b w:val="0"/>
          <w:bCs/>
          <w:color w:val="000000"/>
          <w:sz w:val="24"/>
        </w:rPr>
        <w:t>培养哲学的理论思维方式</w:t>
      </w:r>
      <w:r>
        <w:rPr>
          <w:rFonts w:hint="eastAsia" w:ascii="仿宋" w:hAnsi="仿宋" w:eastAsia="仿宋"/>
          <w:b w:val="0"/>
          <w:bCs/>
          <w:color w:val="000000"/>
          <w:sz w:val="24"/>
          <w:lang w:eastAsia="zh-CN"/>
        </w:rPr>
        <w:t>，</w:t>
      </w:r>
      <w:r>
        <w:rPr>
          <w:rFonts w:hint="eastAsia" w:ascii="仿宋" w:hAnsi="仿宋" w:eastAsia="仿宋"/>
          <w:b w:val="0"/>
          <w:bCs/>
          <w:color w:val="000000"/>
          <w:sz w:val="24"/>
        </w:rPr>
        <w:t>养成哲学理性的人格品位</w:t>
      </w:r>
      <w:r>
        <w:rPr>
          <w:rFonts w:hint="eastAsia" w:ascii="仿宋" w:hAnsi="仿宋" w:eastAsia="仿宋"/>
          <w:b w:val="0"/>
          <w:bCs/>
          <w:color w:val="000000"/>
          <w:sz w:val="24"/>
          <w:lang w:eastAsia="zh-CN"/>
        </w:rPr>
        <w:t>，</w:t>
      </w:r>
      <w:r>
        <w:rPr>
          <w:rFonts w:hint="eastAsia" w:ascii="仿宋" w:hAnsi="仿宋" w:eastAsia="仿宋"/>
          <w:b w:val="0"/>
          <w:bCs/>
          <w:color w:val="000000"/>
          <w:sz w:val="24"/>
        </w:rPr>
        <w:t>拥有哲学理论品位的生活态度与生活方式</w:t>
      </w:r>
      <w:r>
        <w:rPr>
          <w:rFonts w:hint="eastAsia" w:ascii="仿宋" w:hAnsi="仿宋" w:eastAsia="仿宋"/>
          <w:b w:val="0"/>
          <w:bCs/>
          <w:color w:val="000000"/>
          <w:sz w:val="24"/>
          <w:lang w:eastAsia="zh-CN"/>
        </w:rPr>
        <w:t>，</w:t>
      </w:r>
      <w:r>
        <w:rPr>
          <w:rFonts w:hint="eastAsia" w:ascii="仿宋" w:hAnsi="仿宋" w:eastAsia="仿宋"/>
          <w:b w:val="0"/>
          <w:bCs/>
          <w:color w:val="000000"/>
          <w:sz w:val="24"/>
        </w:rPr>
        <w:t>拥有哲学理论品位的社会意识与责任担当</w:t>
      </w:r>
      <w:r>
        <w:rPr>
          <w:rFonts w:hint="eastAsia" w:ascii="仿宋" w:hAnsi="仿宋" w:eastAsia="仿宋"/>
          <w:b w:val="0"/>
          <w:bCs/>
          <w:color w:val="000000"/>
          <w:sz w:val="24"/>
          <w:lang w:eastAsia="zh-CN"/>
        </w:rPr>
        <w:t>。</w:t>
      </w:r>
    </w:p>
    <w:p w14:paraId="2FCC357F">
      <w:pPr>
        <w:snapToGrid w:val="0"/>
        <w:spacing w:line="360" w:lineRule="auto"/>
        <w:ind w:firstLine="482" w:firstLineChars="200"/>
        <w:rPr>
          <w:rFonts w:hint="eastAsia" w:ascii="仿宋" w:hAnsi="仿宋" w:eastAsia="仿宋"/>
          <w:b/>
          <w:bCs/>
          <w:sz w:val="24"/>
        </w:rPr>
      </w:pPr>
    </w:p>
    <w:p w14:paraId="54F2D148">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（二）课程目标对毕业要求的支撑</w:t>
      </w:r>
    </w:p>
    <w:tbl>
      <w:tblPr>
        <w:tblStyle w:val="9"/>
        <w:tblW w:w="5000" w:type="pct"/>
        <w:jc w:val="center"/>
        <w:tblLayout w:type="autofit"/>
        <w:tblCellMar>
          <w:top w:w="0" w:type="dxa"/>
          <w:left w:w="108" w:type="dxa"/>
          <w:bottom w:w="0" w:type="dxa"/>
          <w:right w:w="108" w:type="dxa"/>
        </w:tblCellMar>
      </w:tblPr>
      <w:tblGrid>
        <w:gridCol w:w="3257"/>
        <w:gridCol w:w="2719"/>
        <w:gridCol w:w="1267"/>
        <w:gridCol w:w="1279"/>
      </w:tblGrid>
      <w:tr w14:paraId="43720823">
        <w:tblPrEx>
          <w:tblCellMar>
            <w:top w:w="0" w:type="dxa"/>
            <w:left w:w="108" w:type="dxa"/>
            <w:bottom w:w="0" w:type="dxa"/>
            <w:right w:w="108" w:type="dxa"/>
          </w:tblCellMar>
        </w:tblPrEx>
        <w:trPr>
          <w:trHeight w:val="510" w:hRule="atLeast"/>
          <w:jc w:val="center"/>
        </w:trPr>
        <w:tc>
          <w:tcPr>
            <w:tcW w:w="1910" w:type="pct"/>
            <w:tcBorders>
              <w:top w:val="single" w:color="auto" w:sz="4" w:space="0"/>
              <w:left w:val="single" w:color="auto" w:sz="4" w:space="0"/>
              <w:bottom w:val="single" w:color="auto" w:sz="4" w:space="0"/>
              <w:right w:val="single" w:color="auto" w:sz="4" w:space="0"/>
            </w:tcBorders>
            <w:shd w:val="clear" w:color="auto" w:fill="auto"/>
            <w:vAlign w:val="center"/>
          </w:tcPr>
          <w:p w14:paraId="7BEB2A62">
            <w:pPr>
              <w:widowControl/>
              <w:spacing w:line="276" w:lineRule="auto"/>
              <w:jc w:val="center"/>
              <w:rPr>
                <w:rFonts w:ascii="仿宋" w:hAnsi="仿宋" w:eastAsia="仿宋"/>
                <w:b/>
                <w:color w:val="000000"/>
                <w:kern w:val="0"/>
                <w:sz w:val="24"/>
                <w:highlight w:val="none"/>
              </w:rPr>
            </w:pPr>
            <w:r>
              <w:rPr>
                <w:rFonts w:hint="eastAsia" w:ascii="仿宋" w:hAnsi="仿宋" w:eastAsia="仿宋"/>
                <w:b/>
                <w:color w:val="000000"/>
                <w:kern w:val="0"/>
                <w:sz w:val="24"/>
                <w:highlight w:val="none"/>
              </w:rPr>
              <w:t>毕业要求</w:t>
            </w:r>
          </w:p>
        </w:tc>
        <w:tc>
          <w:tcPr>
            <w:tcW w:w="1595" w:type="pct"/>
            <w:tcBorders>
              <w:top w:val="single" w:color="auto" w:sz="4" w:space="0"/>
              <w:left w:val="nil"/>
              <w:bottom w:val="single" w:color="auto" w:sz="4" w:space="0"/>
              <w:right w:val="single" w:color="auto" w:sz="4" w:space="0"/>
            </w:tcBorders>
            <w:shd w:val="clear" w:color="auto" w:fill="auto"/>
            <w:vAlign w:val="center"/>
          </w:tcPr>
          <w:p w14:paraId="7BA6C990">
            <w:pPr>
              <w:widowControl/>
              <w:spacing w:line="276" w:lineRule="auto"/>
              <w:jc w:val="center"/>
              <w:rPr>
                <w:rFonts w:ascii="仿宋" w:hAnsi="仿宋" w:eastAsia="仿宋"/>
                <w:b/>
                <w:color w:val="000000"/>
                <w:kern w:val="0"/>
                <w:sz w:val="24"/>
                <w:highlight w:val="none"/>
              </w:rPr>
            </w:pPr>
            <w:r>
              <w:rPr>
                <w:rFonts w:hint="eastAsia" w:ascii="仿宋" w:hAnsi="仿宋" w:eastAsia="仿宋"/>
                <w:b/>
                <w:color w:val="000000"/>
                <w:kern w:val="0"/>
                <w:sz w:val="24"/>
                <w:highlight w:val="none"/>
              </w:rPr>
              <w:t>观测点</w:t>
            </w:r>
          </w:p>
        </w:tc>
        <w:tc>
          <w:tcPr>
            <w:tcW w:w="743" w:type="pct"/>
            <w:tcBorders>
              <w:top w:val="single" w:color="auto" w:sz="4" w:space="0"/>
              <w:left w:val="nil"/>
              <w:bottom w:val="single" w:color="auto" w:sz="4" w:space="0"/>
              <w:right w:val="single" w:color="auto" w:sz="4" w:space="0"/>
            </w:tcBorders>
          </w:tcPr>
          <w:p w14:paraId="7F923932">
            <w:pPr>
              <w:widowControl/>
              <w:spacing w:line="276" w:lineRule="auto"/>
              <w:jc w:val="center"/>
              <w:rPr>
                <w:rFonts w:ascii="仿宋" w:hAnsi="仿宋" w:eastAsia="仿宋"/>
                <w:b/>
                <w:color w:val="000000"/>
                <w:kern w:val="0"/>
                <w:sz w:val="24"/>
                <w:highlight w:val="none"/>
              </w:rPr>
            </w:pPr>
            <w:r>
              <w:rPr>
                <w:rFonts w:hint="eastAsia" w:ascii="仿宋" w:hAnsi="仿宋" w:eastAsia="仿宋"/>
                <w:b/>
                <w:color w:val="000000"/>
                <w:kern w:val="0"/>
                <w:sz w:val="24"/>
                <w:highlight w:val="none"/>
              </w:rPr>
              <w:t>课程目标</w:t>
            </w:r>
          </w:p>
        </w:tc>
        <w:tc>
          <w:tcPr>
            <w:tcW w:w="750" w:type="pct"/>
            <w:tcBorders>
              <w:top w:val="single" w:color="auto" w:sz="4" w:space="0"/>
              <w:left w:val="nil"/>
              <w:bottom w:val="single" w:color="auto" w:sz="4" w:space="0"/>
              <w:right w:val="single" w:color="auto" w:sz="4" w:space="0"/>
            </w:tcBorders>
          </w:tcPr>
          <w:p w14:paraId="34EF2DDC">
            <w:pPr>
              <w:widowControl/>
              <w:spacing w:line="276" w:lineRule="auto"/>
              <w:jc w:val="center"/>
              <w:rPr>
                <w:rFonts w:ascii="仿宋" w:hAnsi="仿宋" w:eastAsia="仿宋"/>
                <w:b/>
                <w:color w:val="000000"/>
                <w:kern w:val="0"/>
                <w:sz w:val="24"/>
                <w:highlight w:val="none"/>
              </w:rPr>
            </w:pPr>
            <w:r>
              <w:rPr>
                <w:rFonts w:hint="eastAsia" w:ascii="仿宋" w:hAnsi="仿宋" w:eastAsia="仿宋"/>
                <w:b/>
                <w:color w:val="000000"/>
                <w:kern w:val="0"/>
                <w:sz w:val="24"/>
                <w:highlight w:val="none"/>
              </w:rPr>
              <w:t>支撑强度</w:t>
            </w:r>
          </w:p>
        </w:tc>
      </w:tr>
      <w:tr w14:paraId="2CE404A4">
        <w:tblPrEx>
          <w:tblCellMar>
            <w:top w:w="0" w:type="dxa"/>
            <w:left w:w="108" w:type="dxa"/>
            <w:bottom w:w="0" w:type="dxa"/>
            <w:right w:w="108" w:type="dxa"/>
          </w:tblCellMar>
        </w:tblPrEx>
        <w:trPr>
          <w:trHeight w:val="1425" w:hRule="atLeast"/>
          <w:jc w:val="center"/>
        </w:trPr>
        <w:tc>
          <w:tcPr>
            <w:tcW w:w="1910" w:type="pct"/>
            <w:tcBorders>
              <w:top w:val="single" w:color="auto" w:sz="4" w:space="0"/>
              <w:left w:val="single" w:color="auto" w:sz="4" w:space="0"/>
              <w:bottom w:val="single" w:color="auto" w:sz="4" w:space="0"/>
              <w:right w:val="single" w:color="auto" w:sz="4" w:space="0"/>
            </w:tcBorders>
            <w:vAlign w:val="center"/>
          </w:tcPr>
          <w:p w14:paraId="005A647C">
            <w:pPr>
              <w:widowControl/>
              <w:spacing w:line="276" w:lineRule="auto"/>
              <w:jc w:val="both"/>
              <w:rPr>
                <w:rFonts w:hint="eastAsia" w:ascii="仿宋" w:hAnsi="仿宋" w:eastAsia="仿宋"/>
                <w:b w:val="0"/>
                <w:bCs w:val="0"/>
                <w:sz w:val="24"/>
                <w:highlight w:val="none"/>
              </w:rPr>
            </w:pPr>
            <w:r>
              <w:rPr>
                <w:rFonts w:hint="eastAsia" w:ascii="仿宋" w:hAnsi="仿宋" w:eastAsia="仿宋"/>
                <w:b w:val="0"/>
                <w:bCs w:val="0"/>
                <w:sz w:val="24"/>
                <w:highlight w:val="none"/>
              </w:rPr>
              <w:t>毕业要求</w:t>
            </w:r>
            <w:r>
              <w:rPr>
                <w:rFonts w:hint="eastAsia" w:ascii="仿宋" w:hAnsi="仿宋" w:eastAsia="仿宋"/>
                <w:b w:val="0"/>
                <w:bCs w:val="0"/>
                <w:sz w:val="24"/>
                <w:highlight w:val="none"/>
                <w:lang w:val="en-US" w:eastAsia="zh-CN"/>
              </w:rPr>
              <w:t>2</w:t>
            </w:r>
            <w:r>
              <w:rPr>
                <w:rFonts w:hint="eastAsia" w:ascii="仿宋" w:hAnsi="仿宋" w:eastAsia="仿宋"/>
                <w:b w:val="0"/>
                <w:bCs w:val="0"/>
                <w:sz w:val="24"/>
                <w:highlight w:val="none"/>
              </w:rPr>
              <w:t>：知识整合</w:t>
            </w:r>
            <w:r>
              <w:rPr>
                <w:rFonts w:hint="eastAsia" w:ascii="仿宋" w:hAnsi="仿宋" w:eastAsia="仿宋"/>
                <w:b w:val="0"/>
                <w:bCs w:val="0"/>
                <w:sz w:val="24"/>
                <w:highlight w:val="none"/>
                <w:lang w:val="en-US" w:eastAsia="zh-CN"/>
              </w:rPr>
              <w:t>。</w:t>
            </w:r>
            <w:r>
              <w:rPr>
                <w:rFonts w:hint="eastAsia" w:ascii="仿宋" w:hAnsi="仿宋" w:eastAsia="仿宋"/>
                <w:b w:val="0"/>
                <w:bCs w:val="0"/>
                <w:sz w:val="24"/>
                <w:highlight w:val="none"/>
              </w:rPr>
              <w:t>具备扎实的思想政治学科知识，充分理解思想政治学科核心素养内涵，习得思想政治学科核心素养的学习指导方法和策略，能够围绕中学思想政治学科核心素养整合马克思主义理论、政治学、经济学、文化学等相关学科知识和哲学、文学、历史、伦理学、逻辑学、美学等跨学科知识，掌握教育学和心理学相关知识。</w:t>
            </w:r>
          </w:p>
        </w:tc>
        <w:tc>
          <w:tcPr>
            <w:tcW w:w="1595" w:type="pct"/>
            <w:tcBorders>
              <w:top w:val="single" w:color="auto" w:sz="4" w:space="0"/>
              <w:left w:val="single" w:color="auto" w:sz="4" w:space="0"/>
              <w:bottom w:val="single" w:color="auto" w:sz="4" w:space="0"/>
              <w:right w:val="single" w:color="auto" w:sz="4" w:space="0"/>
            </w:tcBorders>
            <w:vAlign w:val="center"/>
          </w:tcPr>
          <w:p w14:paraId="0DBEE4DE">
            <w:pPr>
              <w:widowControl/>
              <w:spacing w:line="276" w:lineRule="auto"/>
              <w:jc w:val="both"/>
              <w:rPr>
                <w:rFonts w:hint="eastAsia" w:ascii="仿宋" w:hAnsi="仿宋" w:eastAsia="仿宋"/>
                <w:b w:val="0"/>
                <w:bCs w:val="0"/>
                <w:sz w:val="24"/>
                <w:highlight w:val="none"/>
                <w:lang w:eastAsia="zh-CN"/>
              </w:rPr>
            </w:pPr>
            <w:r>
              <w:rPr>
                <w:rFonts w:hint="eastAsia" w:ascii="仿宋" w:hAnsi="仿宋" w:eastAsia="仿宋"/>
                <w:b w:val="0"/>
                <w:bCs w:val="0"/>
                <w:sz w:val="24"/>
                <w:highlight w:val="none"/>
                <w:lang w:val="en-US" w:eastAsia="zh-CN"/>
              </w:rPr>
              <w:t>观测点2.3</w:t>
            </w:r>
            <w:r>
              <w:rPr>
                <w:rFonts w:hint="eastAsia" w:ascii="仿宋" w:hAnsi="仿宋" w:eastAsia="仿宋"/>
                <w:b w:val="0"/>
                <w:bCs w:val="0"/>
                <w:sz w:val="24"/>
                <w:highlight w:val="none"/>
                <w:lang w:eastAsia="zh-CN"/>
              </w:rPr>
              <w:t>：</w:t>
            </w:r>
            <w:r>
              <w:rPr>
                <w:rFonts w:hint="eastAsia" w:ascii="仿宋" w:hAnsi="仿宋" w:eastAsia="仿宋"/>
                <w:b w:val="0"/>
                <w:bCs w:val="0"/>
                <w:sz w:val="24"/>
                <w:highlight w:val="none"/>
              </w:rPr>
              <w:t>掌握与思想政治教育相关的跨学科知识，具有深厚的文化素养和良好的审美素养，具有一定的创新精神和实践转化能力。</w:t>
            </w:r>
          </w:p>
        </w:tc>
        <w:tc>
          <w:tcPr>
            <w:tcW w:w="743" w:type="pct"/>
            <w:tcBorders>
              <w:top w:val="single" w:color="auto" w:sz="4" w:space="0"/>
              <w:left w:val="single" w:color="auto" w:sz="4" w:space="0"/>
              <w:bottom w:val="single" w:color="auto" w:sz="4" w:space="0"/>
              <w:right w:val="single" w:color="auto" w:sz="4" w:space="0"/>
            </w:tcBorders>
            <w:vAlign w:val="center"/>
          </w:tcPr>
          <w:p w14:paraId="04F4DAF6">
            <w:pPr>
              <w:spacing w:line="276" w:lineRule="auto"/>
              <w:jc w:val="center"/>
              <w:rPr>
                <w:rFonts w:hint="eastAsia" w:ascii="仿宋" w:hAnsi="仿宋" w:eastAsia="仿宋"/>
                <w:color w:val="000000"/>
                <w:kern w:val="0"/>
                <w:sz w:val="24"/>
                <w:highlight w:val="none"/>
              </w:rPr>
            </w:pPr>
            <w:r>
              <w:rPr>
                <w:rFonts w:hint="eastAsia" w:ascii="仿宋" w:hAnsi="仿宋" w:eastAsia="仿宋"/>
                <w:color w:val="000000"/>
                <w:kern w:val="0"/>
                <w:sz w:val="24"/>
                <w:highlight w:val="none"/>
              </w:rPr>
              <w:t>课程</w:t>
            </w:r>
          </w:p>
          <w:p w14:paraId="0DF87A6E">
            <w:pPr>
              <w:spacing w:line="276" w:lineRule="auto"/>
              <w:jc w:val="center"/>
              <w:rPr>
                <w:rFonts w:hint="eastAsia" w:ascii="仿宋" w:hAnsi="仿宋" w:eastAsia="仿宋"/>
                <w:color w:val="000000"/>
                <w:kern w:val="0"/>
                <w:sz w:val="24"/>
                <w:highlight w:val="none"/>
              </w:rPr>
            </w:pPr>
            <w:r>
              <w:rPr>
                <w:rFonts w:hint="eastAsia" w:ascii="仿宋" w:hAnsi="仿宋" w:eastAsia="仿宋"/>
                <w:color w:val="000000"/>
                <w:kern w:val="0"/>
                <w:sz w:val="24"/>
                <w:highlight w:val="none"/>
              </w:rPr>
              <w:t>目标</w:t>
            </w:r>
          </w:p>
          <w:p w14:paraId="11472824">
            <w:pPr>
              <w:spacing w:line="276" w:lineRule="auto"/>
              <w:jc w:val="center"/>
              <w:rPr>
                <w:rFonts w:hint="default" w:ascii="仿宋" w:hAnsi="仿宋" w:eastAsia="仿宋"/>
                <w:color w:val="000000"/>
                <w:sz w:val="24"/>
                <w:highlight w:val="none"/>
                <w:lang w:val="en-US" w:eastAsia="zh-CN"/>
              </w:rPr>
            </w:pPr>
            <w:r>
              <w:rPr>
                <w:rFonts w:hint="eastAsia" w:ascii="仿宋" w:hAnsi="仿宋" w:eastAsia="仿宋"/>
                <w:color w:val="000000"/>
                <w:kern w:val="0"/>
                <w:sz w:val="24"/>
                <w:highlight w:val="none"/>
              </w:rPr>
              <w:t>1</w:t>
            </w:r>
            <w:r>
              <w:rPr>
                <w:rFonts w:hint="eastAsia" w:ascii="仿宋" w:hAnsi="仿宋" w:eastAsia="仿宋"/>
                <w:color w:val="000000"/>
                <w:kern w:val="0"/>
                <w:sz w:val="24"/>
                <w:highlight w:val="none"/>
                <w:lang w:eastAsia="zh-CN"/>
              </w:rPr>
              <w:t>、</w:t>
            </w:r>
            <w:r>
              <w:rPr>
                <w:rFonts w:hint="eastAsia" w:ascii="仿宋" w:hAnsi="仿宋" w:eastAsia="仿宋"/>
                <w:color w:val="000000"/>
                <w:kern w:val="0"/>
                <w:sz w:val="24"/>
                <w:highlight w:val="none"/>
                <w:lang w:val="en-US" w:eastAsia="zh-CN"/>
              </w:rPr>
              <w:t>2</w:t>
            </w:r>
          </w:p>
        </w:tc>
        <w:tc>
          <w:tcPr>
            <w:tcW w:w="750" w:type="pct"/>
            <w:tcBorders>
              <w:top w:val="single" w:color="auto" w:sz="4" w:space="0"/>
              <w:left w:val="single" w:color="auto" w:sz="4" w:space="0"/>
              <w:bottom w:val="single" w:color="auto" w:sz="4" w:space="0"/>
              <w:right w:val="single" w:color="auto" w:sz="4" w:space="0"/>
            </w:tcBorders>
            <w:vAlign w:val="center"/>
          </w:tcPr>
          <w:p w14:paraId="3D05BEEE">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376" w:leftChars="179"/>
              <w:jc w:val="both"/>
              <w:textAlignment w:val="auto"/>
              <w:rPr>
                <w:rFonts w:ascii="仿宋" w:hAnsi="仿宋" w:eastAsia="仿宋"/>
                <w:color w:val="000000"/>
                <w:sz w:val="24"/>
                <w:highlight w:val="none"/>
              </w:rPr>
            </w:pPr>
            <w:r>
              <w:rPr>
                <w:rFonts w:hint="eastAsia" w:ascii="仿宋" w:hAnsi="仿宋" w:eastAsia="仿宋"/>
                <w:color w:val="000000"/>
                <w:sz w:val="24"/>
                <w:highlight w:val="none"/>
              </w:rPr>
              <w:sym w:font="Wingdings 2" w:char="0052"/>
            </w:r>
            <w:r>
              <w:rPr>
                <w:rFonts w:hint="eastAsia" w:ascii="仿宋" w:hAnsi="仿宋" w:eastAsia="仿宋"/>
                <w:color w:val="000000"/>
                <w:sz w:val="24"/>
                <w:highlight w:val="none"/>
                <w:lang w:val="en-US" w:eastAsia="zh-CN"/>
              </w:rPr>
              <w:t xml:space="preserve"> </w:t>
            </w:r>
            <w:r>
              <w:rPr>
                <w:rFonts w:hint="eastAsia" w:ascii="仿宋" w:hAnsi="仿宋" w:eastAsia="仿宋"/>
                <w:color w:val="000000"/>
                <w:sz w:val="24"/>
                <w:highlight w:val="none"/>
              </w:rPr>
              <w:t>H</w:t>
            </w:r>
          </w:p>
          <w:p w14:paraId="3CC72CEF">
            <w:pPr>
              <w:numPr>
                <w:ilvl w:val="0"/>
                <w:numId w:val="1"/>
              </w:numPr>
              <w:spacing w:line="276" w:lineRule="auto"/>
              <w:jc w:val="center"/>
              <w:rPr>
                <w:rFonts w:ascii="仿宋" w:hAnsi="仿宋" w:eastAsia="仿宋"/>
                <w:color w:val="000000"/>
                <w:sz w:val="24"/>
                <w:highlight w:val="none"/>
              </w:rPr>
            </w:pPr>
            <w:r>
              <w:rPr>
                <w:rFonts w:hint="eastAsia" w:ascii="仿宋" w:hAnsi="仿宋" w:eastAsia="仿宋"/>
                <w:color w:val="000000"/>
                <w:sz w:val="24"/>
                <w:highlight w:val="none"/>
              </w:rPr>
              <w:t>M</w:t>
            </w:r>
          </w:p>
          <w:p w14:paraId="1082BCB6">
            <w:pPr>
              <w:numPr>
                <w:ilvl w:val="0"/>
                <w:numId w:val="1"/>
              </w:numPr>
              <w:spacing w:line="276" w:lineRule="auto"/>
              <w:jc w:val="center"/>
              <w:rPr>
                <w:rFonts w:hint="eastAsia" w:ascii="仿宋" w:hAnsi="仿宋" w:eastAsia="仿宋"/>
                <w:color w:val="000000"/>
                <w:sz w:val="24"/>
                <w:highlight w:val="none"/>
              </w:rPr>
            </w:pPr>
            <w:r>
              <w:rPr>
                <w:rFonts w:hint="eastAsia" w:ascii="仿宋" w:hAnsi="仿宋" w:eastAsia="仿宋"/>
                <w:color w:val="000000"/>
                <w:sz w:val="24"/>
                <w:highlight w:val="none"/>
              </w:rPr>
              <w:t>L</w:t>
            </w:r>
          </w:p>
        </w:tc>
      </w:tr>
      <w:tr w14:paraId="17E45BE6">
        <w:tblPrEx>
          <w:tblCellMar>
            <w:top w:w="0" w:type="dxa"/>
            <w:left w:w="108" w:type="dxa"/>
            <w:bottom w:w="0" w:type="dxa"/>
            <w:right w:w="108" w:type="dxa"/>
          </w:tblCellMar>
        </w:tblPrEx>
        <w:trPr>
          <w:trHeight w:val="1425" w:hRule="atLeast"/>
          <w:jc w:val="center"/>
        </w:trPr>
        <w:tc>
          <w:tcPr>
            <w:tcW w:w="1910" w:type="pct"/>
            <w:vMerge w:val="restart"/>
            <w:tcBorders>
              <w:top w:val="single" w:color="auto" w:sz="4" w:space="0"/>
              <w:left w:val="single" w:color="auto" w:sz="4" w:space="0"/>
              <w:right w:val="single" w:color="auto" w:sz="4" w:space="0"/>
            </w:tcBorders>
            <w:vAlign w:val="center"/>
          </w:tcPr>
          <w:p w14:paraId="7CAC3181">
            <w:pPr>
              <w:widowControl/>
              <w:spacing w:line="276" w:lineRule="auto"/>
              <w:jc w:val="both"/>
              <w:rPr>
                <w:rFonts w:hint="eastAsia" w:ascii="仿宋" w:hAnsi="仿宋" w:eastAsia="仿宋"/>
                <w:b w:val="0"/>
                <w:bCs w:val="0"/>
                <w:sz w:val="24"/>
                <w:highlight w:val="none"/>
              </w:rPr>
            </w:pPr>
            <w:r>
              <w:rPr>
                <w:rFonts w:hint="eastAsia" w:ascii="仿宋" w:hAnsi="仿宋" w:eastAsia="仿宋"/>
                <w:b w:val="0"/>
                <w:bCs w:val="0"/>
                <w:sz w:val="24"/>
                <w:highlight w:val="none"/>
              </w:rPr>
              <w:t>毕业要求</w:t>
            </w:r>
            <w:r>
              <w:rPr>
                <w:rFonts w:hint="eastAsia" w:ascii="仿宋" w:hAnsi="仿宋" w:eastAsia="仿宋"/>
                <w:b w:val="0"/>
                <w:bCs w:val="0"/>
                <w:sz w:val="24"/>
                <w:highlight w:val="none"/>
                <w:lang w:val="en-US" w:eastAsia="zh-CN"/>
              </w:rPr>
              <w:t>6</w:t>
            </w:r>
            <w:r>
              <w:rPr>
                <w:rFonts w:hint="eastAsia" w:ascii="仿宋" w:hAnsi="仿宋" w:eastAsia="仿宋"/>
                <w:b w:val="0"/>
                <w:bCs w:val="0"/>
                <w:sz w:val="24"/>
                <w:highlight w:val="none"/>
              </w:rPr>
              <w:t>：反思研究</w:t>
            </w:r>
            <w:r>
              <w:rPr>
                <w:rFonts w:hint="eastAsia" w:ascii="仿宋" w:hAnsi="仿宋" w:eastAsia="仿宋"/>
                <w:b w:val="0"/>
                <w:bCs w:val="0"/>
                <w:sz w:val="24"/>
                <w:highlight w:val="none"/>
                <w:lang w:eastAsia="zh-CN"/>
              </w:rPr>
              <w:t>。</w:t>
            </w:r>
            <w:r>
              <w:rPr>
                <w:rFonts w:hint="eastAsia" w:ascii="仿宋" w:hAnsi="仿宋" w:eastAsia="仿宋"/>
                <w:b w:val="0"/>
                <w:bCs w:val="0"/>
                <w:sz w:val="24"/>
                <w:highlight w:val="none"/>
              </w:rPr>
              <w:t>理解反思对教育教学的意义，能运用批判性思维从学生学习、课程教学和学科理解等角度反思教育教学问题，基本掌握教育研究方法，能够创造性地对教育教学问题进行研究，掌握指导学生开展研究的基本方法。</w:t>
            </w:r>
          </w:p>
        </w:tc>
        <w:tc>
          <w:tcPr>
            <w:tcW w:w="1595" w:type="pct"/>
            <w:tcBorders>
              <w:top w:val="single" w:color="auto" w:sz="4" w:space="0"/>
              <w:left w:val="nil"/>
              <w:bottom w:val="single" w:color="auto" w:sz="4" w:space="0"/>
              <w:right w:val="single" w:color="auto" w:sz="4" w:space="0"/>
            </w:tcBorders>
            <w:vAlign w:val="center"/>
          </w:tcPr>
          <w:p w14:paraId="5C8C0A88">
            <w:pPr>
              <w:widowControl/>
              <w:spacing w:line="276" w:lineRule="auto"/>
              <w:jc w:val="both"/>
              <w:rPr>
                <w:rFonts w:hint="eastAsia" w:ascii="仿宋" w:hAnsi="仿宋" w:eastAsia="仿宋"/>
                <w:b w:val="0"/>
                <w:bCs w:val="0"/>
                <w:sz w:val="24"/>
                <w:highlight w:val="none"/>
              </w:rPr>
            </w:pPr>
            <w:r>
              <w:rPr>
                <w:rFonts w:hint="eastAsia" w:ascii="仿宋" w:hAnsi="仿宋" w:eastAsia="仿宋"/>
                <w:b w:val="0"/>
                <w:bCs w:val="0"/>
                <w:sz w:val="24"/>
                <w:highlight w:val="none"/>
                <w:lang w:val="en-US" w:eastAsia="zh-CN"/>
              </w:rPr>
              <w:t>观测点6.1</w:t>
            </w:r>
            <w:r>
              <w:rPr>
                <w:rFonts w:hint="eastAsia" w:ascii="仿宋" w:hAnsi="仿宋" w:eastAsia="仿宋"/>
                <w:b w:val="0"/>
                <w:bCs w:val="0"/>
                <w:sz w:val="24"/>
                <w:highlight w:val="none"/>
                <w:lang w:eastAsia="zh-CN"/>
              </w:rPr>
              <w:t>：</w:t>
            </w:r>
            <w:r>
              <w:rPr>
                <w:rFonts w:hint="eastAsia" w:ascii="仿宋" w:hAnsi="仿宋" w:eastAsia="仿宋"/>
                <w:b w:val="0"/>
                <w:bCs w:val="0"/>
                <w:sz w:val="24"/>
                <w:highlight w:val="none"/>
              </w:rPr>
              <w:t>能够认识并了解思想政治教育专业及相关专业中的批判性思维，提高自我标准和自我要求，熟悉并掌握思想政治教育专业的研究方法。</w:t>
            </w:r>
          </w:p>
        </w:tc>
        <w:tc>
          <w:tcPr>
            <w:tcW w:w="743" w:type="pct"/>
            <w:vMerge w:val="restart"/>
            <w:tcBorders>
              <w:top w:val="single" w:color="auto" w:sz="4" w:space="0"/>
              <w:left w:val="nil"/>
              <w:right w:val="single" w:color="auto" w:sz="4" w:space="0"/>
            </w:tcBorders>
            <w:vAlign w:val="center"/>
          </w:tcPr>
          <w:p w14:paraId="4901E253">
            <w:pPr>
              <w:spacing w:line="276" w:lineRule="auto"/>
              <w:jc w:val="center"/>
              <w:rPr>
                <w:rFonts w:hint="eastAsia" w:ascii="仿宋" w:hAnsi="仿宋" w:eastAsia="仿宋"/>
                <w:color w:val="000000"/>
                <w:kern w:val="0"/>
                <w:sz w:val="24"/>
                <w:highlight w:val="none"/>
              </w:rPr>
            </w:pPr>
            <w:r>
              <w:rPr>
                <w:rFonts w:hint="eastAsia" w:ascii="仿宋" w:hAnsi="仿宋" w:eastAsia="仿宋"/>
                <w:color w:val="000000"/>
                <w:kern w:val="0"/>
                <w:sz w:val="24"/>
                <w:highlight w:val="none"/>
              </w:rPr>
              <w:t>课程</w:t>
            </w:r>
          </w:p>
          <w:p w14:paraId="5D552A49">
            <w:pPr>
              <w:spacing w:line="276" w:lineRule="auto"/>
              <w:jc w:val="center"/>
              <w:rPr>
                <w:rFonts w:hint="eastAsia" w:ascii="仿宋" w:hAnsi="仿宋" w:eastAsia="仿宋"/>
                <w:color w:val="000000"/>
                <w:kern w:val="0"/>
                <w:sz w:val="24"/>
                <w:highlight w:val="none"/>
              </w:rPr>
            </w:pPr>
            <w:r>
              <w:rPr>
                <w:rFonts w:hint="eastAsia" w:ascii="仿宋" w:hAnsi="仿宋" w:eastAsia="仿宋"/>
                <w:color w:val="000000"/>
                <w:kern w:val="0"/>
                <w:sz w:val="24"/>
                <w:highlight w:val="none"/>
              </w:rPr>
              <w:t>目标</w:t>
            </w:r>
          </w:p>
          <w:p w14:paraId="2595BAA4">
            <w:pPr>
              <w:spacing w:line="276" w:lineRule="auto"/>
              <w:jc w:val="center"/>
              <w:rPr>
                <w:rFonts w:hint="default" w:ascii="仿宋" w:hAnsi="仿宋" w:eastAsia="仿宋"/>
                <w:color w:val="000000"/>
                <w:kern w:val="0"/>
                <w:sz w:val="24"/>
                <w:highlight w:val="none"/>
                <w:lang w:val="en-US" w:eastAsia="zh-CN"/>
              </w:rPr>
            </w:pPr>
            <w:r>
              <w:rPr>
                <w:rFonts w:hint="eastAsia" w:ascii="仿宋" w:hAnsi="仿宋" w:eastAsia="仿宋"/>
                <w:color w:val="000000"/>
                <w:kern w:val="0"/>
                <w:sz w:val="24"/>
                <w:highlight w:val="none"/>
                <w:lang w:val="en-US" w:eastAsia="zh-CN"/>
              </w:rPr>
              <w:t>2、3</w:t>
            </w:r>
          </w:p>
        </w:tc>
        <w:tc>
          <w:tcPr>
            <w:tcW w:w="750" w:type="pct"/>
            <w:vMerge w:val="restart"/>
            <w:tcBorders>
              <w:top w:val="single" w:color="auto" w:sz="4" w:space="0"/>
              <w:left w:val="nil"/>
              <w:right w:val="single" w:color="auto" w:sz="4" w:space="0"/>
            </w:tcBorders>
            <w:vAlign w:val="center"/>
          </w:tcPr>
          <w:p w14:paraId="7B612A68">
            <w:pPr>
              <w:numPr>
                <w:ilvl w:val="0"/>
                <w:numId w:val="0"/>
              </w:numPr>
              <w:spacing w:line="276" w:lineRule="auto"/>
              <w:ind w:leftChars="200"/>
              <w:jc w:val="both"/>
              <w:rPr>
                <w:rFonts w:ascii="仿宋" w:hAnsi="仿宋" w:eastAsia="仿宋"/>
                <w:color w:val="000000"/>
                <w:sz w:val="24"/>
                <w:highlight w:val="none"/>
              </w:rPr>
            </w:pPr>
            <w:r>
              <w:rPr>
                <w:rFonts w:hint="eastAsia" w:ascii="仿宋" w:hAnsi="仿宋" w:eastAsia="仿宋"/>
                <w:color w:val="000000"/>
                <w:sz w:val="24"/>
                <w:highlight w:val="none"/>
              </w:rPr>
              <w:sym w:font="Wingdings 2" w:char="0052"/>
            </w:r>
            <w:r>
              <w:rPr>
                <w:rFonts w:hint="eastAsia" w:ascii="仿宋" w:hAnsi="仿宋" w:eastAsia="仿宋"/>
                <w:color w:val="000000"/>
                <w:sz w:val="24"/>
                <w:highlight w:val="none"/>
                <w:lang w:val="en-US" w:eastAsia="zh-CN"/>
              </w:rPr>
              <w:t xml:space="preserve"> </w:t>
            </w:r>
            <w:r>
              <w:rPr>
                <w:rFonts w:hint="eastAsia" w:ascii="仿宋" w:hAnsi="仿宋" w:eastAsia="仿宋"/>
                <w:color w:val="000000"/>
                <w:sz w:val="24"/>
                <w:highlight w:val="none"/>
              </w:rPr>
              <w:t>H</w:t>
            </w:r>
          </w:p>
          <w:p w14:paraId="6C323681">
            <w:pPr>
              <w:numPr>
                <w:ilvl w:val="0"/>
                <w:numId w:val="1"/>
              </w:numPr>
              <w:spacing w:line="276" w:lineRule="auto"/>
              <w:jc w:val="center"/>
              <w:rPr>
                <w:rFonts w:ascii="仿宋" w:hAnsi="仿宋" w:eastAsia="仿宋"/>
                <w:color w:val="000000"/>
                <w:sz w:val="24"/>
                <w:highlight w:val="none"/>
              </w:rPr>
            </w:pPr>
            <w:r>
              <w:rPr>
                <w:rFonts w:hint="eastAsia" w:ascii="仿宋" w:hAnsi="仿宋" w:eastAsia="仿宋"/>
                <w:color w:val="000000"/>
                <w:sz w:val="24"/>
                <w:highlight w:val="none"/>
              </w:rPr>
              <w:t>M</w:t>
            </w:r>
          </w:p>
          <w:p w14:paraId="241DE566">
            <w:pPr>
              <w:numPr>
                <w:ilvl w:val="0"/>
                <w:numId w:val="1"/>
              </w:numPr>
              <w:spacing w:line="276" w:lineRule="auto"/>
              <w:jc w:val="center"/>
              <w:rPr>
                <w:rFonts w:hint="eastAsia" w:ascii="仿宋" w:hAnsi="仿宋" w:eastAsia="仿宋"/>
                <w:color w:val="000000"/>
                <w:sz w:val="24"/>
                <w:highlight w:val="none"/>
              </w:rPr>
            </w:pPr>
            <w:r>
              <w:rPr>
                <w:rFonts w:hint="eastAsia" w:ascii="仿宋" w:hAnsi="仿宋" w:eastAsia="仿宋"/>
                <w:color w:val="000000"/>
                <w:sz w:val="24"/>
                <w:highlight w:val="none"/>
              </w:rPr>
              <w:t>L</w:t>
            </w:r>
          </w:p>
        </w:tc>
      </w:tr>
      <w:tr w14:paraId="3FFAD96E">
        <w:tblPrEx>
          <w:tblCellMar>
            <w:top w:w="0" w:type="dxa"/>
            <w:left w:w="108" w:type="dxa"/>
            <w:bottom w:w="0" w:type="dxa"/>
            <w:right w:w="108" w:type="dxa"/>
          </w:tblCellMar>
        </w:tblPrEx>
        <w:trPr>
          <w:trHeight w:val="1425" w:hRule="atLeast"/>
          <w:jc w:val="center"/>
        </w:trPr>
        <w:tc>
          <w:tcPr>
            <w:tcW w:w="1910" w:type="pct"/>
            <w:vMerge w:val="continue"/>
            <w:tcBorders>
              <w:left w:val="single" w:color="auto" w:sz="4" w:space="0"/>
              <w:bottom w:val="single" w:color="auto" w:sz="4" w:space="0"/>
              <w:right w:val="single" w:color="auto" w:sz="4" w:space="0"/>
            </w:tcBorders>
            <w:vAlign w:val="center"/>
          </w:tcPr>
          <w:p w14:paraId="55A663D9">
            <w:pPr>
              <w:widowControl/>
              <w:spacing w:line="276" w:lineRule="auto"/>
              <w:jc w:val="both"/>
              <w:rPr>
                <w:rFonts w:hint="eastAsia" w:ascii="仿宋" w:hAnsi="仿宋" w:eastAsia="仿宋"/>
                <w:b w:val="0"/>
                <w:bCs w:val="0"/>
                <w:sz w:val="24"/>
                <w:highlight w:val="none"/>
              </w:rPr>
            </w:pPr>
          </w:p>
        </w:tc>
        <w:tc>
          <w:tcPr>
            <w:tcW w:w="1595" w:type="pct"/>
            <w:tcBorders>
              <w:top w:val="single" w:color="auto" w:sz="4" w:space="0"/>
              <w:left w:val="nil"/>
              <w:bottom w:val="single" w:color="auto" w:sz="4" w:space="0"/>
              <w:right w:val="single" w:color="auto" w:sz="4" w:space="0"/>
            </w:tcBorders>
            <w:vAlign w:val="center"/>
          </w:tcPr>
          <w:p w14:paraId="05A1D732">
            <w:pPr>
              <w:widowControl/>
              <w:spacing w:line="276" w:lineRule="auto"/>
              <w:jc w:val="both"/>
              <w:rPr>
                <w:rFonts w:hint="eastAsia" w:ascii="仿宋" w:hAnsi="仿宋" w:eastAsia="仿宋"/>
                <w:b w:val="0"/>
                <w:bCs w:val="0"/>
                <w:sz w:val="24"/>
                <w:highlight w:val="none"/>
                <w:lang w:val="en-US" w:eastAsia="zh-CN"/>
              </w:rPr>
            </w:pPr>
            <w:r>
              <w:rPr>
                <w:rFonts w:hint="eastAsia" w:ascii="仿宋" w:hAnsi="仿宋" w:eastAsia="仿宋"/>
                <w:b w:val="0"/>
                <w:bCs w:val="0"/>
                <w:sz w:val="24"/>
                <w:highlight w:val="none"/>
                <w:lang w:val="en-US" w:eastAsia="zh-CN"/>
              </w:rPr>
              <w:t>观测点6.2</w:t>
            </w:r>
            <w:r>
              <w:rPr>
                <w:rFonts w:hint="eastAsia" w:ascii="仿宋" w:hAnsi="仿宋" w:eastAsia="仿宋"/>
                <w:b w:val="0"/>
                <w:bCs w:val="0"/>
                <w:sz w:val="24"/>
                <w:highlight w:val="none"/>
                <w:lang w:eastAsia="zh-CN"/>
              </w:rPr>
              <w:t>：</w:t>
            </w:r>
            <w:r>
              <w:rPr>
                <w:rFonts w:hint="eastAsia" w:ascii="仿宋" w:hAnsi="仿宋" w:eastAsia="仿宋"/>
                <w:b w:val="0"/>
                <w:bCs w:val="0"/>
                <w:sz w:val="24"/>
                <w:highlight w:val="none"/>
              </w:rPr>
              <w:t>能够将专业习得的批判性思维和反思能力运用到实际的学术研究、学术论文写作和工作问题的解决中，具有适应新课程改革的现代教育理念，并具备相应的教育教学能力，掌握一定的现代化教育技术，具有较强的语言、文字表达能力，具有从事思想政治教育、教学研究的基本能力。</w:t>
            </w:r>
          </w:p>
        </w:tc>
        <w:tc>
          <w:tcPr>
            <w:tcW w:w="743" w:type="pct"/>
            <w:vMerge w:val="continue"/>
            <w:tcBorders>
              <w:left w:val="nil"/>
              <w:bottom w:val="single" w:color="auto" w:sz="4" w:space="0"/>
              <w:right w:val="single" w:color="auto" w:sz="4" w:space="0"/>
            </w:tcBorders>
            <w:vAlign w:val="center"/>
          </w:tcPr>
          <w:p w14:paraId="1004DD51">
            <w:pPr>
              <w:spacing w:line="276" w:lineRule="auto"/>
              <w:jc w:val="center"/>
              <w:rPr>
                <w:rFonts w:hint="eastAsia" w:ascii="仿宋" w:hAnsi="仿宋" w:eastAsia="仿宋"/>
                <w:color w:val="000000"/>
                <w:kern w:val="0"/>
                <w:sz w:val="24"/>
                <w:highlight w:val="none"/>
              </w:rPr>
            </w:pPr>
          </w:p>
        </w:tc>
        <w:tc>
          <w:tcPr>
            <w:tcW w:w="750" w:type="pct"/>
            <w:vMerge w:val="continue"/>
            <w:tcBorders>
              <w:left w:val="nil"/>
              <w:bottom w:val="single" w:color="auto" w:sz="4" w:space="0"/>
              <w:right w:val="single" w:color="auto" w:sz="4" w:space="0"/>
            </w:tcBorders>
            <w:vAlign w:val="center"/>
          </w:tcPr>
          <w:p w14:paraId="54022133">
            <w:pPr>
              <w:spacing w:line="276" w:lineRule="auto"/>
              <w:jc w:val="center"/>
              <w:rPr>
                <w:rFonts w:hint="eastAsia" w:ascii="仿宋" w:hAnsi="仿宋" w:eastAsia="仿宋"/>
                <w:color w:val="000000"/>
                <w:sz w:val="24"/>
                <w:highlight w:val="none"/>
              </w:rPr>
            </w:pPr>
          </w:p>
        </w:tc>
      </w:tr>
      <w:tr w14:paraId="0C92938A">
        <w:tblPrEx>
          <w:tblCellMar>
            <w:top w:w="0" w:type="dxa"/>
            <w:left w:w="108" w:type="dxa"/>
            <w:bottom w:w="0" w:type="dxa"/>
            <w:right w:w="108" w:type="dxa"/>
          </w:tblCellMar>
        </w:tblPrEx>
        <w:trPr>
          <w:trHeight w:val="690" w:hRule="atLeast"/>
          <w:jc w:val="center"/>
        </w:trPr>
        <w:tc>
          <w:tcPr>
            <w:tcW w:w="1910" w:type="pct"/>
            <w:tcBorders>
              <w:top w:val="single" w:color="auto" w:sz="4" w:space="0"/>
              <w:left w:val="single" w:color="auto" w:sz="4" w:space="0"/>
              <w:bottom w:val="single" w:color="auto" w:sz="4" w:space="0"/>
              <w:right w:val="single" w:color="auto" w:sz="4" w:space="0"/>
            </w:tcBorders>
            <w:vAlign w:val="center"/>
          </w:tcPr>
          <w:p w14:paraId="22854A72">
            <w:pPr>
              <w:widowControl/>
              <w:spacing w:line="276" w:lineRule="auto"/>
              <w:jc w:val="both"/>
              <w:rPr>
                <w:rFonts w:hint="eastAsia" w:ascii="仿宋" w:hAnsi="仿宋" w:eastAsia="仿宋"/>
                <w:b w:val="0"/>
                <w:bCs w:val="0"/>
                <w:sz w:val="24"/>
                <w:highlight w:val="none"/>
              </w:rPr>
            </w:pPr>
            <w:r>
              <w:rPr>
                <w:rFonts w:hint="eastAsia" w:ascii="仿宋" w:hAnsi="仿宋" w:eastAsia="仿宋"/>
                <w:b w:val="0"/>
                <w:bCs w:val="0"/>
                <w:sz w:val="24"/>
                <w:highlight w:val="none"/>
              </w:rPr>
              <w:t>毕业要求</w:t>
            </w:r>
            <w:r>
              <w:rPr>
                <w:rFonts w:hint="eastAsia" w:ascii="仿宋" w:hAnsi="仿宋" w:eastAsia="仿宋"/>
                <w:b w:val="0"/>
                <w:bCs w:val="0"/>
                <w:sz w:val="24"/>
                <w:highlight w:val="none"/>
                <w:lang w:val="en-US" w:eastAsia="zh-CN"/>
              </w:rPr>
              <w:t>7</w:t>
            </w:r>
            <w:r>
              <w:rPr>
                <w:rFonts w:hint="eastAsia" w:ascii="仿宋" w:hAnsi="仿宋" w:eastAsia="仿宋"/>
                <w:b w:val="0"/>
                <w:bCs w:val="0"/>
                <w:sz w:val="24"/>
                <w:highlight w:val="none"/>
              </w:rPr>
              <w:t>：交流合作</w:t>
            </w:r>
            <w:r>
              <w:rPr>
                <w:rFonts w:hint="eastAsia" w:ascii="仿宋" w:hAnsi="仿宋" w:eastAsia="仿宋"/>
                <w:b w:val="0"/>
                <w:bCs w:val="0"/>
                <w:sz w:val="24"/>
                <w:highlight w:val="none"/>
                <w:lang w:eastAsia="zh-CN"/>
              </w:rPr>
              <w:t>。</w:t>
            </w:r>
            <w:r>
              <w:rPr>
                <w:rFonts w:hint="eastAsia" w:ascii="仿宋" w:hAnsi="仿宋" w:eastAsia="仿宋"/>
                <w:b w:val="0"/>
                <w:bCs w:val="0"/>
                <w:sz w:val="24"/>
                <w:highlight w:val="none"/>
              </w:rPr>
              <w:t>理解学习共同体的作用，具备较强的人际沟通、协调和合作能力，能够组织或参加小组互助和合作学习。</w:t>
            </w:r>
          </w:p>
        </w:tc>
        <w:tc>
          <w:tcPr>
            <w:tcW w:w="1595" w:type="pct"/>
            <w:tcBorders>
              <w:top w:val="single" w:color="auto" w:sz="4" w:space="0"/>
              <w:left w:val="nil"/>
              <w:bottom w:val="single" w:color="auto" w:sz="4" w:space="0"/>
              <w:right w:val="single" w:color="auto" w:sz="4" w:space="0"/>
            </w:tcBorders>
            <w:vAlign w:val="center"/>
          </w:tcPr>
          <w:p w14:paraId="51837791">
            <w:pPr>
              <w:spacing w:line="276" w:lineRule="auto"/>
              <w:jc w:val="both"/>
              <w:rPr>
                <w:rFonts w:hint="eastAsia" w:ascii="仿宋" w:hAnsi="仿宋" w:eastAsia="仿宋"/>
                <w:b w:val="0"/>
                <w:bCs w:val="0"/>
                <w:color w:val="000000"/>
                <w:sz w:val="24"/>
                <w:highlight w:val="none"/>
                <w:lang w:eastAsia="zh-CN"/>
              </w:rPr>
            </w:pPr>
            <w:r>
              <w:rPr>
                <w:rFonts w:hint="eastAsia" w:ascii="仿宋" w:hAnsi="仿宋" w:eastAsia="仿宋"/>
                <w:b w:val="0"/>
                <w:bCs w:val="0"/>
                <w:color w:val="000000"/>
                <w:sz w:val="24"/>
                <w:highlight w:val="none"/>
              </w:rPr>
              <w:t>观测点</w:t>
            </w:r>
            <w:r>
              <w:rPr>
                <w:rFonts w:hint="eastAsia" w:ascii="仿宋" w:hAnsi="仿宋" w:eastAsia="仿宋"/>
                <w:b w:val="0"/>
                <w:bCs w:val="0"/>
                <w:color w:val="000000"/>
                <w:sz w:val="24"/>
                <w:highlight w:val="none"/>
                <w:lang w:val="en-US" w:eastAsia="zh-CN"/>
              </w:rPr>
              <w:t>7.2</w:t>
            </w:r>
            <w:r>
              <w:rPr>
                <w:rFonts w:hint="eastAsia" w:ascii="仿宋" w:hAnsi="仿宋" w:eastAsia="仿宋"/>
                <w:b w:val="0"/>
                <w:bCs w:val="0"/>
                <w:color w:val="000000"/>
                <w:sz w:val="24"/>
                <w:highlight w:val="none"/>
              </w:rPr>
              <w:t>：</w:t>
            </w:r>
            <w:r>
              <w:rPr>
                <w:rFonts w:hint="eastAsia" w:ascii="仿宋" w:hAnsi="仿宋" w:eastAsia="仿宋"/>
                <w:b w:val="0"/>
                <w:bCs w:val="0"/>
                <w:sz w:val="24"/>
                <w:highlight w:val="none"/>
              </w:rPr>
              <w:t>具备人际沟通能力、团队合作能力和组织协调能力，具有将思想政治教育理论运用到实践的能力。</w:t>
            </w:r>
          </w:p>
        </w:tc>
        <w:tc>
          <w:tcPr>
            <w:tcW w:w="743" w:type="pct"/>
            <w:tcBorders>
              <w:top w:val="single" w:color="auto" w:sz="4" w:space="0"/>
              <w:left w:val="nil"/>
              <w:bottom w:val="single" w:color="auto" w:sz="4" w:space="0"/>
              <w:right w:val="single" w:color="auto" w:sz="4" w:space="0"/>
            </w:tcBorders>
            <w:vAlign w:val="center"/>
          </w:tcPr>
          <w:p w14:paraId="74070F6D">
            <w:pPr>
              <w:spacing w:line="276" w:lineRule="auto"/>
              <w:jc w:val="center"/>
              <w:rPr>
                <w:rFonts w:hint="eastAsia" w:ascii="仿宋" w:hAnsi="仿宋" w:eastAsia="仿宋"/>
                <w:color w:val="000000"/>
                <w:kern w:val="0"/>
                <w:sz w:val="24"/>
                <w:highlight w:val="none"/>
              </w:rPr>
            </w:pPr>
            <w:r>
              <w:rPr>
                <w:rFonts w:hint="eastAsia" w:ascii="仿宋" w:hAnsi="仿宋" w:eastAsia="仿宋"/>
                <w:color w:val="000000"/>
                <w:kern w:val="0"/>
                <w:sz w:val="24"/>
                <w:highlight w:val="none"/>
              </w:rPr>
              <w:t>课程</w:t>
            </w:r>
          </w:p>
          <w:p w14:paraId="2F746041">
            <w:pPr>
              <w:spacing w:line="276" w:lineRule="auto"/>
              <w:jc w:val="center"/>
              <w:rPr>
                <w:rFonts w:hint="eastAsia" w:ascii="仿宋" w:hAnsi="仿宋" w:eastAsia="仿宋"/>
                <w:color w:val="000000"/>
                <w:kern w:val="0"/>
                <w:sz w:val="24"/>
                <w:highlight w:val="none"/>
              </w:rPr>
            </w:pPr>
            <w:r>
              <w:rPr>
                <w:rFonts w:hint="eastAsia" w:ascii="仿宋" w:hAnsi="仿宋" w:eastAsia="仿宋"/>
                <w:color w:val="000000"/>
                <w:kern w:val="0"/>
                <w:sz w:val="24"/>
                <w:highlight w:val="none"/>
              </w:rPr>
              <w:t>目标</w:t>
            </w:r>
          </w:p>
          <w:p w14:paraId="269BCD46">
            <w:pPr>
              <w:spacing w:line="276" w:lineRule="auto"/>
              <w:jc w:val="center"/>
              <w:rPr>
                <w:rFonts w:hint="eastAsia" w:ascii="仿宋" w:hAnsi="仿宋" w:eastAsia="仿宋"/>
                <w:color w:val="000000"/>
                <w:kern w:val="0"/>
                <w:sz w:val="24"/>
                <w:highlight w:val="none"/>
              </w:rPr>
            </w:pPr>
            <w:r>
              <w:rPr>
                <w:rFonts w:hint="eastAsia" w:ascii="仿宋" w:hAnsi="仿宋" w:eastAsia="仿宋"/>
                <w:color w:val="000000"/>
                <w:kern w:val="0"/>
                <w:sz w:val="24"/>
                <w:highlight w:val="none"/>
                <w:lang w:val="en-US" w:eastAsia="zh-CN"/>
              </w:rPr>
              <w:t>1、</w:t>
            </w:r>
            <w:r>
              <w:rPr>
                <w:rFonts w:ascii="仿宋" w:hAnsi="仿宋" w:eastAsia="仿宋"/>
                <w:color w:val="000000"/>
                <w:kern w:val="0"/>
                <w:sz w:val="24"/>
                <w:highlight w:val="none"/>
              </w:rPr>
              <w:t>3</w:t>
            </w:r>
          </w:p>
        </w:tc>
        <w:tc>
          <w:tcPr>
            <w:tcW w:w="750" w:type="pct"/>
            <w:tcBorders>
              <w:top w:val="single" w:color="auto" w:sz="4" w:space="0"/>
              <w:left w:val="nil"/>
              <w:bottom w:val="single" w:color="auto" w:sz="4" w:space="0"/>
              <w:right w:val="single" w:color="auto" w:sz="4" w:space="0"/>
            </w:tcBorders>
            <w:vAlign w:val="center"/>
          </w:tcPr>
          <w:p w14:paraId="2A83F099">
            <w:pPr>
              <w:numPr>
                <w:ilvl w:val="0"/>
                <w:numId w:val="1"/>
              </w:numPr>
              <w:spacing w:line="276" w:lineRule="auto"/>
              <w:jc w:val="center"/>
              <w:rPr>
                <w:rFonts w:ascii="仿宋" w:hAnsi="仿宋" w:eastAsia="仿宋"/>
                <w:color w:val="000000"/>
                <w:sz w:val="24"/>
                <w:highlight w:val="none"/>
              </w:rPr>
            </w:pPr>
            <w:r>
              <w:rPr>
                <w:rFonts w:hint="eastAsia" w:ascii="仿宋" w:hAnsi="仿宋" w:eastAsia="仿宋"/>
                <w:color w:val="000000"/>
                <w:sz w:val="24"/>
                <w:highlight w:val="none"/>
              </w:rPr>
              <w:t>H</w:t>
            </w:r>
          </w:p>
          <w:p w14:paraId="6B4D41AE">
            <w:pPr>
              <w:numPr>
                <w:ilvl w:val="0"/>
                <w:numId w:val="0"/>
              </w:numPr>
              <w:spacing w:line="276" w:lineRule="auto"/>
              <w:ind w:leftChars="0"/>
              <w:jc w:val="center"/>
              <w:rPr>
                <w:rFonts w:ascii="仿宋" w:hAnsi="仿宋" w:eastAsia="仿宋"/>
                <w:color w:val="000000"/>
                <w:sz w:val="24"/>
                <w:highlight w:val="none"/>
              </w:rPr>
            </w:pPr>
            <w:r>
              <w:rPr>
                <w:rFonts w:hint="eastAsia" w:ascii="仿宋" w:hAnsi="仿宋" w:eastAsia="仿宋"/>
                <w:color w:val="000000"/>
                <w:sz w:val="24"/>
                <w:highlight w:val="none"/>
              </w:rPr>
              <w:sym w:font="Wingdings 2" w:char="0052"/>
            </w:r>
            <w:r>
              <w:rPr>
                <w:rFonts w:hint="eastAsia" w:ascii="仿宋" w:hAnsi="仿宋" w:eastAsia="仿宋"/>
                <w:color w:val="000000"/>
                <w:sz w:val="24"/>
                <w:highlight w:val="none"/>
                <w:lang w:val="en-US" w:eastAsia="zh-CN"/>
              </w:rPr>
              <w:t xml:space="preserve"> </w:t>
            </w:r>
            <w:r>
              <w:rPr>
                <w:rFonts w:hint="eastAsia" w:ascii="仿宋" w:hAnsi="仿宋" w:eastAsia="仿宋"/>
                <w:color w:val="000000"/>
                <w:sz w:val="24"/>
                <w:highlight w:val="none"/>
              </w:rPr>
              <w:t>M</w:t>
            </w:r>
          </w:p>
          <w:p w14:paraId="61452A29">
            <w:pPr>
              <w:numPr>
                <w:ilvl w:val="0"/>
                <w:numId w:val="1"/>
              </w:numPr>
              <w:spacing w:line="276" w:lineRule="auto"/>
              <w:jc w:val="center"/>
              <w:rPr>
                <w:rFonts w:hint="eastAsia" w:ascii="仿宋" w:hAnsi="仿宋" w:eastAsia="仿宋"/>
                <w:color w:val="000000"/>
                <w:sz w:val="24"/>
                <w:highlight w:val="none"/>
              </w:rPr>
            </w:pPr>
            <w:r>
              <w:rPr>
                <w:rFonts w:hint="eastAsia" w:ascii="仿宋" w:hAnsi="仿宋" w:eastAsia="仿宋"/>
                <w:color w:val="000000"/>
                <w:sz w:val="24"/>
                <w:highlight w:val="none"/>
              </w:rPr>
              <w:t>L</w:t>
            </w:r>
          </w:p>
        </w:tc>
      </w:tr>
    </w:tbl>
    <w:p w14:paraId="2DA20C6E">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p>
    <w:p w14:paraId="4F59D3CA">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
        <w:gridCol w:w="860"/>
        <w:gridCol w:w="2339"/>
        <w:gridCol w:w="446"/>
        <w:gridCol w:w="1592"/>
        <w:gridCol w:w="739"/>
        <w:gridCol w:w="815"/>
        <w:gridCol w:w="1277"/>
      </w:tblGrid>
      <w:tr w14:paraId="524C4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shd w:val="clear" w:color="auto" w:fill="auto"/>
            <w:vAlign w:val="center"/>
          </w:tcPr>
          <w:p w14:paraId="046E2ADA">
            <w:pPr>
              <w:suppressAutoHyphens/>
              <w:spacing w:before="156" w:beforeLines="50" w:after="156" w:afterLines="50" w:line="276" w:lineRule="auto"/>
              <w:jc w:val="center"/>
              <w:rPr>
                <w:rFonts w:eastAsia="仿宋"/>
                <w:b/>
                <w:bCs w:val="0"/>
                <w:color w:val="auto"/>
                <w:spacing w:val="-3"/>
                <w:sz w:val="24"/>
                <w:lang w:val="en-GB"/>
              </w:rPr>
            </w:pPr>
            <w:r>
              <w:rPr>
                <w:rFonts w:hint="eastAsia" w:eastAsia="仿宋"/>
                <w:b/>
                <w:bCs w:val="0"/>
                <w:color w:val="auto"/>
                <w:spacing w:val="-3"/>
                <w:sz w:val="24"/>
                <w:lang w:val="en-GB"/>
              </w:rPr>
              <w:t>序号</w:t>
            </w:r>
          </w:p>
        </w:tc>
        <w:tc>
          <w:tcPr>
            <w:tcW w:w="504" w:type="pct"/>
            <w:shd w:val="clear" w:color="auto" w:fill="auto"/>
            <w:vAlign w:val="center"/>
          </w:tcPr>
          <w:p w14:paraId="009F612D">
            <w:pPr>
              <w:suppressAutoHyphens/>
              <w:spacing w:before="156" w:beforeLines="50" w:after="156" w:afterLines="50" w:line="276" w:lineRule="auto"/>
              <w:jc w:val="center"/>
              <w:rPr>
                <w:rFonts w:hint="eastAsia" w:eastAsia="仿宋"/>
                <w:b/>
                <w:bCs w:val="0"/>
                <w:color w:val="auto"/>
                <w:spacing w:val="-3"/>
                <w:sz w:val="24"/>
                <w:lang w:val="en-GB"/>
              </w:rPr>
            </w:pPr>
            <w:r>
              <w:rPr>
                <w:rFonts w:hint="eastAsia" w:eastAsia="仿宋"/>
                <w:b/>
                <w:bCs w:val="0"/>
                <w:color w:val="auto"/>
                <w:spacing w:val="-3"/>
                <w:sz w:val="24"/>
                <w:lang w:val="en-GB"/>
              </w:rPr>
              <w:t>章节/教学单元</w:t>
            </w:r>
          </w:p>
        </w:tc>
        <w:tc>
          <w:tcPr>
            <w:tcW w:w="1372" w:type="pct"/>
            <w:shd w:val="clear" w:color="auto" w:fill="auto"/>
            <w:vAlign w:val="center"/>
          </w:tcPr>
          <w:p w14:paraId="752D7781">
            <w:pPr>
              <w:suppressAutoHyphens/>
              <w:spacing w:before="156" w:beforeLines="50" w:after="156" w:afterLines="50" w:line="276" w:lineRule="auto"/>
              <w:jc w:val="center"/>
              <w:rPr>
                <w:rFonts w:hint="eastAsia" w:eastAsia="仿宋"/>
                <w:b/>
                <w:bCs w:val="0"/>
                <w:color w:val="auto"/>
                <w:spacing w:val="-3"/>
                <w:sz w:val="24"/>
                <w:lang w:val="en-GB"/>
              </w:rPr>
            </w:pPr>
            <w:r>
              <w:rPr>
                <w:rFonts w:hint="eastAsia" w:eastAsia="仿宋"/>
                <w:b/>
                <w:bCs w:val="0"/>
                <w:color w:val="auto"/>
                <w:spacing w:val="-3"/>
                <w:sz w:val="24"/>
                <w:lang w:val="en-GB"/>
              </w:rPr>
              <w:t>教学内容</w:t>
            </w:r>
          </w:p>
        </w:tc>
        <w:tc>
          <w:tcPr>
            <w:tcW w:w="261" w:type="pct"/>
            <w:vAlign w:val="center"/>
          </w:tcPr>
          <w:p w14:paraId="176231DF">
            <w:pPr>
              <w:suppressAutoHyphens/>
              <w:spacing w:before="156" w:beforeLines="50" w:after="156" w:afterLines="50" w:line="276" w:lineRule="auto"/>
              <w:jc w:val="center"/>
              <w:rPr>
                <w:rFonts w:hint="eastAsia" w:eastAsia="仿宋"/>
                <w:b/>
                <w:bCs w:val="0"/>
                <w:color w:val="auto"/>
                <w:spacing w:val="-3"/>
                <w:sz w:val="24"/>
                <w:lang w:val="en-GB"/>
              </w:rPr>
            </w:pPr>
            <w:r>
              <w:rPr>
                <w:rFonts w:hint="eastAsia" w:eastAsia="仿宋"/>
                <w:b/>
                <w:bCs w:val="0"/>
                <w:color w:val="auto"/>
                <w:spacing w:val="-3"/>
                <w:sz w:val="24"/>
                <w:lang w:val="en-GB"/>
              </w:rPr>
              <w:t>学时</w:t>
            </w:r>
          </w:p>
        </w:tc>
        <w:tc>
          <w:tcPr>
            <w:tcW w:w="934" w:type="pct"/>
            <w:vAlign w:val="center"/>
          </w:tcPr>
          <w:p w14:paraId="2952F340">
            <w:pPr>
              <w:suppressAutoHyphens/>
              <w:spacing w:before="156" w:beforeLines="50" w:after="156" w:afterLines="50" w:line="276" w:lineRule="auto"/>
              <w:jc w:val="center"/>
              <w:rPr>
                <w:rFonts w:eastAsia="仿宋"/>
                <w:b/>
                <w:bCs w:val="0"/>
                <w:color w:val="auto"/>
                <w:spacing w:val="-3"/>
                <w:sz w:val="24"/>
                <w:lang w:val="en-GB"/>
              </w:rPr>
            </w:pPr>
            <w:r>
              <w:rPr>
                <w:rFonts w:hint="eastAsia" w:eastAsia="仿宋"/>
                <w:b/>
                <w:bCs w:val="0"/>
                <w:color w:val="auto"/>
                <w:spacing w:val="-3"/>
                <w:sz w:val="24"/>
                <w:lang w:val="en-GB"/>
              </w:rPr>
              <w:t>授课要点</w:t>
            </w:r>
          </w:p>
          <w:p w14:paraId="4B57A66C">
            <w:pPr>
              <w:suppressAutoHyphens/>
              <w:spacing w:before="156" w:beforeLines="50" w:after="156" w:afterLines="50" w:line="276" w:lineRule="auto"/>
              <w:jc w:val="center"/>
              <w:rPr>
                <w:rFonts w:hint="eastAsia" w:eastAsia="仿宋"/>
                <w:b/>
                <w:bCs w:val="0"/>
                <w:color w:val="auto"/>
                <w:spacing w:val="-3"/>
                <w:sz w:val="24"/>
                <w:lang w:val="en-GB"/>
              </w:rPr>
            </w:pPr>
            <w:r>
              <w:rPr>
                <w:rFonts w:hint="eastAsia" w:eastAsia="仿宋"/>
                <w:b/>
                <w:bCs w:val="0"/>
                <w:color w:val="auto"/>
                <w:spacing w:val="-3"/>
                <w:sz w:val="13"/>
                <w:szCs w:val="13"/>
                <w:lang w:val="en-GB"/>
              </w:rPr>
              <w:t>（重点、难点、课程思政元素等）</w:t>
            </w:r>
          </w:p>
        </w:tc>
        <w:tc>
          <w:tcPr>
            <w:tcW w:w="433" w:type="pct"/>
            <w:vAlign w:val="center"/>
          </w:tcPr>
          <w:p w14:paraId="7A7EFE91">
            <w:pPr>
              <w:suppressAutoHyphens/>
              <w:spacing w:before="156" w:beforeLines="50" w:after="156" w:afterLines="50" w:line="276" w:lineRule="auto"/>
              <w:jc w:val="center"/>
              <w:rPr>
                <w:rFonts w:hint="eastAsia" w:eastAsia="仿宋"/>
                <w:b/>
                <w:bCs w:val="0"/>
                <w:color w:val="auto"/>
                <w:spacing w:val="-3"/>
                <w:sz w:val="24"/>
                <w:lang w:val="en-GB"/>
              </w:rPr>
            </w:pPr>
            <w:r>
              <w:rPr>
                <w:rFonts w:hint="eastAsia" w:eastAsia="仿宋"/>
                <w:b/>
                <w:bCs w:val="0"/>
                <w:color w:val="auto"/>
                <w:spacing w:val="-3"/>
                <w:sz w:val="24"/>
                <w:lang w:val="en-GB"/>
              </w:rPr>
              <w:t>教学方法</w:t>
            </w:r>
          </w:p>
        </w:tc>
        <w:tc>
          <w:tcPr>
            <w:tcW w:w="478" w:type="pct"/>
            <w:vAlign w:val="center"/>
          </w:tcPr>
          <w:p w14:paraId="647CE6BC">
            <w:pPr>
              <w:suppressAutoHyphens/>
              <w:spacing w:before="156" w:beforeLines="50" w:after="156" w:afterLines="50" w:line="276" w:lineRule="auto"/>
              <w:jc w:val="center"/>
              <w:rPr>
                <w:rFonts w:hint="eastAsia" w:eastAsia="仿宋"/>
                <w:b/>
                <w:bCs w:val="0"/>
                <w:color w:val="auto"/>
                <w:spacing w:val="-3"/>
                <w:sz w:val="24"/>
                <w:lang w:val="en-GB"/>
              </w:rPr>
            </w:pPr>
            <w:r>
              <w:rPr>
                <w:rFonts w:hint="eastAsia" w:eastAsia="仿宋"/>
                <w:b/>
                <w:bCs w:val="0"/>
                <w:color w:val="auto"/>
                <w:spacing w:val="-3"/>
                <w:sz w:val="24"/>
                <w:lang w:val="en-GB"/>
              </w:rPr>
              <w:t>考核形式</w:t>
            </w:r>
          </w:p>
        </w:tc>
        <w:tc>
          <w:tcPr>
            <w:tcW w:w="749" w:type="pct"/>
            <w:vAlign w:val="center"/>
          </w:tcPr>
          <w:p w14:paraId="53E64843">
            <w:pPr>
              <w:suppressAutoHyphens/>
              <w:spacing w:before="156" w:beforeLines="50" w:after="156" w:afterLines="50" w:line="276" w:lineRule="auto"/>
              <w:jc w:val="center"/>
              <w:rPr>
                <w:rFonts w:hint="eastAsia" w:eastAsia="仿宋"/>
                <w:b/>
                <w:bCs w:val="0"/>
                <w:color w:val="auto"/>
                <w:spacing w:val="-3"/>
                <w:sz w:val="24"/>
                <w:lang w:val="en-GB"/>
              </w:rPr>
            </w:pPr>
            <w:r>
              <w:rPr>
                <w:rFonts w:hint="eastAsia" w:eastAsia="仿宋"/>
                <w:b/>
                <w:bCs w:val="0"/>
                <w:color w:val="auto"/>
                <w:spacing w:val="-3"/>
                <w:sz w:val="24"/>
                <w:lang w:val="en-GB"/>
              </w:rPr>
              <w:t>课程目标</w:t>
            </w:r>
          </w:p>
        </w:tc>
      </w:tr>
      <w:tr w14:paraId="0E42A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shd w:val="clear" w:color="auto" w:fill="auto"/>
            <w:vAlign w:val="center"/>
          </w:tcPr>
          <w:p w14:paraId="626BE985">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1</w:t>
            </w:r>
          </w:p>
        </w:tc>
        <w:tc>
          <w:tcPr>
            <w:tcW w:w="504" w:type="pct"/>
            <w:shd w:val="clear" w:color="auto" w:fill="auto"/>
            <w:vAlign w:val="center"/>
          </w:tcPr>
          <w:p w14:paraId="56C04796">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导言 何谓哲学？</w:t>
            </w:r>
          </w:p>
        </w:tc>
        <w:tc>
          <w:tcPr>
            <w:tcW w:w="1372" w:type="pct"/>
            <w:shd w:val="clear" w:color="auto" w:fill="auto"/>
            <w:vAlign w:val="center"/>
          </w:tcPr>
          <w:p w14:paraId="3C9D5EB9">
            <w:pPr>
              <w:suppressAutoHyphens/>
              <w:spacing w:before="156" w:beforeLines="50" w:after="156" w:afterLines="50" w:line="276" w:lineRule="auto"/>
              <w:jc w:val="both"/>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1.从学科与学说的相互关系出发，在哲学的历史和逻辑演进中，了解哲学的特点和意义。</w:t>
            </w:r>
          </w:p>
          <w:p w14:paraId="5414F158">
            <w:p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2.尝试对“什么是哲学”作出自己的回答，培养否定式思维方式，学会从否定、负面的角度切入思考问题。</w:t>
            </w:r>
          </w:p>
        </w:tc>
        <w:tc>
          <w:tcPr>
            <w:tcW w:w="261" w:type="pct"/>
            <w:vAlign w:val="center"/>
          </w:tcPr>
          <w:p w14:paraId="09608B03">
            <w:pPr>
              <w:suppressAutoHyphens/>
              <w:spacing w:before="156" w:beforeLines="50" w:after="156" w:afterLines="50" w:line="276" w:lineRule="auto"/>
              <w:jc w:val="both"/>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2</w:t>
            </w:r>
          </w:p>
        </w:tc>
        <w:tc>
          <w:tcPr>
            <w:tcW w:w="934" w:type="pct"/>
            <w:vAlign w:val="center"/>
          </w:tcPr>
          <w:p w14:paraId="3333A85E">
            <w:pPr>
              <w:numPr>
                <w:ilvl w:val="0"/>
                <w:numId w:val="2"/>
              </w:numPr>
              <w:suppressAutoHyphens/>
              <w:spacing w:before="156" w:beforeLines="50" w:after="156" w:afterLines="50" w:line="276" w:lineRule="auto"/>
              <w:jc w:val="both"/>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重点：理解哲学的概念及基本问题；</w:t>
            </w:r>
          </w:p>
          <w:p w14:paraId="3A7C3956">
            <w:pPr>
              <w:numPr>
                <w:ilvl w:val="0"/>
                <w:numId w:val="2"/>
              </w:num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难点：正确理解哲学的思维以及哲学的无用之用。</w:t>
            </w:r>
          </w:p>
        </w:tc>
        <w:tc>
          <w:tcPr>
            <w:tcW w:w="433" w:type="pct"/>
            <w:vAlign w:val="center"/>
          </w:tcPr>
          <w:p w14:paraId="1FB0F58E">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讲授</w:t>
            </w:r>
          </w:p>
          <w:p w14:paraId="2EB6926F">
            <w:pPr>
              <w:suppressAutoHyphens/>
              <w:spacing w:before="156" w:beforeLines="50" w:after="156" w:afterLines="50" w:line="276" w:lineRule="auto"/>
              <w:jc w:val="center"/>
              <w:rPr>
                <w:rFonts w:hint="default"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讨论</w:t>
            </w:r>
          </w:p>
        </w:tc>
        <w:tc>
          <w:tcPr>
            <w:tcW w:w="478" w:type="pct"/>
            <w:vAlign w:val="center"/>
          </w:tcPr>
          <w:p w14:paraId="77613542">
            <w:pPr>
              <w:suppressAutoHyphens/>
              <w:spacing w:before="156" w:beforeLines="50" w:after="156" w:afterLines="50" w:line="276" w:lineRule="auto"/>
              <w:jc w:val="center"/>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主观题</w:t>
            </w:r>
          </w:p>
        </w:tc>
        <w:tc>
          <w:tcPr>
            <w:tcW w:w="749" w:type="pct"/>
            <w:vAlign w:val="center"/>
          </w:tcPr>
          <w:p w14:paraId="36B0AB97">
            <w:pPr>
              <w:suppressAutoHyphens/>
              <w:spacing w:before="156" w:beforeLines="50" w:after="156" w:afterLines="50" w:line="276" w:lineRule="auto"/>
              <w:jc w:val="center"/>
              <w:rPr>
                <w:rFonts w:hint="default"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1.2.3</w:t>
            </w:r>
          </w:p>
        </w:tc>
      </w:tr>
      <w:tr w14:paraId="1A3F5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shd w:val="clear" w:color="auto" w:fill="auto"/>
            <w:vAlign w:val="center"/>
          </w:tcPr>
          <w:p w14:paraId="6A815C84">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2</w:t>
            </w:r>
          </w:p>
        </w:tc>
        <w:tc>
          <w:tcPr>
            <w:tcW w:w="504" w:type="pct"/>
            <w:shd w:val="clear" w:color="auto" w:fill="auto"/>
            <w:vAlign w:val="center"/>
          </w:tcPr>
          <w:p w14:paraId="6CA0A546">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zh-CN" w:eastAsia="zh-CN"/>
              </w:rPr>
              <w:t>第二章 生活的意义</w:t>
            </w:r>
          </w:p>
        </w:tc>
        <w:tc>
          <w:tcPr>
            <w:tcW w:w="1372" w:type="pct"/>
            <w:shd w:val="clear" w:color="auto" w:fill="auto"/>
            <w:vAlign w:val="center"/>
          </w:tcPr>
          <w:p w14:paraId="43F5D766">
            <w:p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zh-CN" w:eastAsia="zh-CN"/>
              </w:rPr>
              <w:t>关于“生活”作为哲学的历史课题与归旨，以及哲学对此所做的不懈求索。懂得“哲学来自生活”和“哲学回归生活”，是哲学存在发展的逻辑，也是哲学的生命力与实现过程。</w:t>
            </w:r>
          </w:p>
        </w:tc>
        <w:tc>
          <w:tcPr>
            <w:tcW w:w="261" w:type="pct"/>
            <w:vAlign w:val="center"/>
          </w:tcPr>
          <w:p w14:paraId="572DF18A">
            <w:pPr>
              <w:suppressAutoHyphens/>
              <w:spacing w:before="156" w:beforeLines="50" w:after="156" w:afterLines="50" w:line="276" w:lineRule="auto"/>
              <w:jc w:val="both"/>
              <w:rPr>
                <w:rFonts w:hint="default"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8</w:t>
            </w:r>
          </w:p>
        </w:tc>
        <w:tc>
          <w:tcPr>
            <w:tcW w:w="934" w:type="pct"/>
            <w:vAlign w:val="center"/>
          </w:tcPr>
          <w:p w14:paraId="22A60E41">
            <w:pPr>
              <w:numPr>
                <w:ilvl w:val="0"/>
                <w:numId w:val="3"/>
              </w:numPr>
              <w:suppressAutoHyphens/>
              <w:spacing w:before="156" w:beforeLines="50" w:after="156" w:afterLines="50" w:line="276" w:lineRule="auto"/>
              <w:jc w:val="both"/>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重点：海德格尔、加缪、苏格拉底等哲学家对“生活”“死亡”的理解；</w:t>
            </w:r>
          </w:p>
          <w:p w14:paraId="372799D0">
            <w:pPr>
              <w:numPr>
                <w:ilvl w:val="0"/>
                <w:numId w:val="3"/>
              </w:num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难点：《斐多》篇文本阅读。</w:t>
            </w:r>
          </w:p>
        </w:tc>
        <w:tc>
          <w:tcPr>
            <w:tcW w:w="433" w:type="pct"/>
            <w:vAlign w:val="center"/>
          </w:tcPr>
          <w:p w14:paraId="09D679CB">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讲授讨论</w:t>
            </w:r>
          </w:p>
        </w:tc>
        <w:tc>
          <w:tcPr>
            <w:tcW w:w="478" w:type="pct"/>
            <w:vAlign w:val="center"/>
          </w:tcPr>
          <w:p w14:paraId="530E412B">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主观题</w:t>
            </w:r>
          </w:p>
        </w:tc>
        <w:tc>
          <w:tcPr>
            <w:tcW w:w="749" w:type="pct"/>
            <w:vAlign w:val="center"/>
          </w:tcPr>
          <w:p w14:paraId="18B2AAA0">
            <w:pPr>
              <w:suppressAutoHyphens/>
              <w:spacing w:before="156" w:beforeLines="50" w:after="156" w:afterLines="50" w:line="276" w:lineRule="auto"/>
              <w:jc w:val="center"/>
              <w:rPr>
                <w:rFonts w:hint="default"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1.2.3</w:t>
            </w:r>
          </w:p>
        </w:tc>
      </w:tr>
      <w:tr w14:paraId="6C78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shd w:val="clear" w:color="auto" w:fill="auto"/>
            <w:vAlign w:val="center"/>
          </w:tcPr>
          <w:p w14:paraId="3A931725">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3</w:t>
            </w:r>
          </w:p>
        </w:tc>
        <w:tc>
          <w:tcPr>
            <w:tcW w:w="504" w:type="pct"/>
            <w:shd w:val="clear" w:color="auto" w:fill="auto"/>
            <w:vAlign w:val="center"/>
          </w:tcPr>
          <w:p w14:paraId="7CA6B83C">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zh-CN" w:eastAsia="zh-CN"/>
              </w:rPr>
              <w:t>第三章 上帝</w:t>
            </w:r>
          </w:p>
        </w:tc>
        <w:tc>
          <w:tcPr>
            <w:tcW w:w="1372" w:type="pct"/>
            <w:shd w:val="clear" w:color="auto" w:fill="auto"/>
            <w:vAlign w:val="center"/>
          </w:tcPr>
          <w:p w14:paraId="62FF2279">
            <w:p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梳理西方关于上帝的传统观念，在理性与信仰的对比视野中体会上帝存在的证明以及关于恶的存在的问题。</w:t>
            </w:r>
          </w:p>
        </w:tc>
        <w:tc>
          <w:tcPr>
            <w:tcW w:w="261" w:type="pct"/>
            <w:vAlign w:val="center"/>
          </w:tcPr>
          <w:p w14:paraId="3F658F26">
            <w:pPr>
              <w:suppressAutoHyphens/>
              <w:spacing w:before="156" w:beforeLines="50" w:after="156" w:afterLines="50" w:line="276" w:lineRule="auto"/>
              <w:jc w:val="both"/>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1</w:t>
            </w:r>
          </w:p>
        </w:tc>
        <w:tc>
          <w:tcPr>
            <w:tcW w:w="934" w:type="pct"/>
            <w:vAlign w:val="center"/>
          </w:tcPr>
          <w:p w14:paraId="0883E464">
            <w:pPr>
              <w:numPr>
                <w:ilvl w:val="0"/>
                <w:numId w:val="4"/>
              </w:numPr>
              <w:suppressAutoHyphens/>
              <w:spacing w:before="156" w:beforeLines="50" w:after="156" w:afterLines="50" w:line="276" w:lineRule="auto"/>
              <w:jc w:val="both"/>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重点：关于上帝存在的本体论论证、宇宙论论证；理性与信仰的区分</w:t>
            </w:r>
          </w:p>
          <w:p w14:paraId="7A495D5E">
            <w:pPr>
              <w:numPr>
                <w:ilvl w:val="0"/>
                <w:numId w:val="4"/>
              </w:num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难点：关于上帝存在的论证、恶的问题。</w:t>
            </w:r>
          </w:p>
        </w:tc>
        <w:tc>
          <w:tcPr>
            <w:tcW w:w="433" w:type="pct"/>
            <w:vAlign w:val="center"/>
          </w:tcPr>
          <w:p w14:paraId="004D867F">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讲授讨论</w:t>
            </w:r>
          </w:p>
        </w:tc>
        <w:tc>
          <w:tcPr>
            <w:tcW w:w="478" w:type="pct"/>
            <w:vAlign w:val="center"/>
          </w:tcPr>
          <w:p w14:paraId="3C46B724">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主观题</w:t>
            </w:r>
          </w:p>
        </w:tc>
        <w:tc>
          <w:tcPr>
            <w:tcW w:w="749" w:type="pct"/>
            <w:vAlign w:val="center"/>
          </w:tcPr>
          <w:p w14:paraId="1D628C69">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1</w:t>
            </w:r>
          </w:p>
        </w:tc>
      </w:tr>
      <w:tr w14:paraId="4690A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shd w:val="clear" w:color="auto" w:fill="auto"/>
            <w:vAlign w:val="center"/>
          </w:tcPr>
          <w:p w14:paraId="29FA9D86">
            <w:pPr>
              <w:suppressAutoHyphens/>
              <w:spacing w:before="156" w:beforeLines="50" w:after="156" w:afterLines="50" w:line="276" w:lineRule="auto"/>
              <w:jc w:val="center"/>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4</w:t>
            </w:r>
          </w:p>
        </w:tc>
        <w:tc>
          <w:tcPr>
            <w:tcW w:w="504" w:type="pct"/>
            <w:shd w:val="clear" w:color="auto" w:fill="auto"/>
            <w:vAlign w:val="center"/>
          </w:tcPr>
          <w:p w14:paraId="45935F2F">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zh-CN" w:eastAsia="zh-CN"/>
              </w:rPr>
              <w:t>第四章 实在的本性</w:t>
            </w:r>
          </w:p>
        </w:tc>
        <w:tc>
          <w:tcPr>
            <w:tcW w:w="1372" w:type="pct"/>
            <w:shd w:val="clear" w:color="auto" w:fill="auto"/>
            <w:vAlign w:val="center"/>
          </w:tcPr>
          <w:p w14:paraId="7B8FF31B">
            <w:p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由“什么是最真实的”问题的课堂讨论引入课程内容，在最初的形而上学家、柏拉图的“理式”、亚里士多德的形而上学、心灵与形而上学、唯心论等理论世界中进一步思考“存在”。</w:t>
            </w:r>
          </w:p>
        </w:tc>
        <w:tc>
          <w:tcPr>
            <w:tcW w:w="261" w:type="pct"/>
            <w:vAlign w:val="center"/>
          </w:tcPr>
          <w:p w14:paraId="2ABEF8FF">
            <w:pPr>
              <w:suppressAutoHyphens/>
              <w:spacing w:before="156" w:beforeLines="50" w:after="156" w:afterLines="50" w:line="276" w:lineRule="auto"/>
              <w:jc w:val="both"/>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4</w:t>
            </w:r>
          </w:p>
        </w:tc>
        <w:tc>
          <w:tcPr>
            <w:tcW w:w="934" w:type="pct"/>
            <w:vAlign w:val="center"/>
          </w:tcPr>
          <w:p w14:paraId="2D94C72E">
            <w:pPr>
              <w:numPr>
                <w:ilvl w:val="0"/>
                <w:numId w:val="5"/>
              </w:num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重点：古希腊自然哲学家对世界本原的探讨、柏拉图的“理式”、亚里士多德的形而上学、笛卡尔身心二元论</w:t>
            </w:r>
          </w:p>
          <w:p w14:paraId="01DC196B">
            <w:pPr>
              <w:numPr>
                <w:ilvl w:val="0"/>
                <w:numId w:val="5"/>
              </w:num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难点：关于本原问题的不同观点及其联系。</w:t>
            </w:r>
          </w:p>
        </w:tc>
        <w:tc>
          <w:tcPr>
            <w:tcW w:w="433" w:type="pct"/>
            <w:vAlign w:val="center"/>
          </w:tcPr>
          <w:p w14:paraId="2D00B326">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讲授讨论</w:t>
            </w:r>
          </w:p>
        </w:tc>
        <w:tc>
          <w:tcPr>
            <w:tcW w:w="478" w:type="pct"/>
            <w:vAlign w:val="center"/>
          </w:tcPr>
          <w:p w14:paraId="6AE67BEF">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主观题</w:t>
            </w:r>
          </w:p>
        </w:tc>
        <w:tc>
          <w:tcPr>
            <w:tcW w:w="749" w:type="pct"/>
            <w:vAlign w:val="center"/>
          </w:tcPr>
          <w:p w14:paraId="5686935C">
            <w:pPr>
              <w:suppressAutoHyphens/>
              <w:spacing w:before="156" w:beforeLines="50" w:after="156" w:afterLines="50" w:line="276" w:lineRule="auto"/>
              <w:jc w:val="center"/>
              <w:rPr>
                <w:rFonts w:hint="default"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1.2.3</w:t>
            </w:r>
          </w:p>
        </w:tc>
      </w:tr>
      <w:tr w14:paraId="3C258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shd w:val="clear" w:color="auto" w:fill="auto"/>
            <w:vAlign w:val="center"/>
          </w:tcPr>
          <w:p w14:paraId="4B9EB930">
            <w:pPr>
              <w:suppressAutoHyphens/>
              <w:spacing w:before="156" w:beforeLines="50" w:after="156" w:afterLines="50" w:line="276" w:lineRule="auto"/>
              <w:jc w:val="center"/>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5</w:t>
            </w:r>
          </w:p>
        </w:tc>
        <w:tc>
          <w:tcPr>
            <w:tcW w:w="504" w:type="pct"/>
            <w:shd w:val="clear" w:color="auto" w:fill="auto"/>
            <w:vAlign w:val="center"/>
          </w:tcPr>
          <w:p w14:paraId="068D06B9">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zh-CN" w:eastAsia="zh-CN"/>
              </w:rPr>
              <w:t>第五章 真理的追寻</w:t>
            </w:r>
          </w:p>
        </w:tc>
        <w:tc>
          <w:tcPr>
            <w:tcW w:w="1372" w:type="pct"/>
            <w:shd w:val="clear" w:color="auto" w:fill="auto"/>
            <w:vAlign w:val="center"/>
          </w:tcPr>
          <w:p w14:paraId="6AFB2B4C">
            <w:p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由“这个世界上是否存在真理？真理的判断标准是什么？真理能否为我们所认识？”等问题的课堂讨论引入课程内容，在唯理论与经验论的对比视野中进一步思考“真”。</w:t>
            </w:r>
          </w:p>
        </w:tc>
        <w:tc>
          <w:tcPr>
            <w:tcW w:w="261" w:type="pct"/>
            <w:vAlign w:val="center"/>
          </w:tcPr>
          <w:p w14:paraId="5590A7F3">
            <w:pPr>
              <w:suppressAutoHyphens/>
              <w:spacing w:before="156" w:beforeLines="50" w:after="156" w:afterLines="50" w:line="276" w:lineRule="auto"/>
              <w:jc w:val="both"/>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6</w:t>
            </w:r>
          </w:p>
        </w:tc>
        <w:tc>
          <w:tcPr>
            <w:tcW w:w="934" w:type="pct"/>
            <w:vAlign w:val="center"/>
          </w:tcPr>
          <w:p w14:paraId="44248797">
            <w:pPr>
              <w:numPr>
                <w:ilvl w:val="0"/>
                <w:numId w:val="6"/>
              </w:numPr>
              <w:suppressAutoHyphens/>
              <w:spacing w:before="156" w:beforeLines="50" w:after="156" w:afterLines="50" w:line="276" w:lineRule="auto"/>
              <w:jc w:val="both"/>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重点：唯理论与经验论的主要观点辨析与对比</w:t>
            </w:r>
          </w:p>
          <w:p w14:paraId="233AC272">
            <w:pPr>
              <w:numPr>
                <w:ilvl w:val="0"/>
                <w:numId w:val="6"/>
              </w:num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难点：唯理论与经验论的异同比较。</w:t>
            </w:r>
          </w:p>
        </w:tc>
        <w:tc>
          <w:tcPr>
            <w:tcW w:w="433" w:type="pct"/>
            <w:vAlign w:val="center"/>
          </w:tcPr>
          <w:p w14:paraId="69A58AA9">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讲授讨论</w:t>
            </w:r>
          </w:p>
        </w:tc>
        <w:tc>
          <w:tcPr>
            <w:tcW w:w="478" w:type="pct"/>
            <w:vAlign w:val="center"/>
          </w:tcPr>
          <w:p w14:paraId="15461674">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主观题</w:t>
            </w:r>
          </w:p>
        </w:tc>
        <w:tc>
          <w:tcPr>
            <w:tcW w:w="749" w:type="pct"/>
            <w:vAlign w:val="center"/>
          </w:tcPr>
          <w:p w14:paraId="36CCE712">
            <w:pPr>
              <w:suppressAutoHyphens/>
              <w:spacing w:before="156" w:beforeLines="50" w:after="156" w:afterLines="50" w:line="276" w:lineRule="auto"/>
              <w:jc w:val="center"/>
              <w:rPr>
                <w:rFonts w:hint="default"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1.2.3</w:t>
            </w:r>
          </w:p>
        </w:tc>
      </w:tr>
      <w:tr w14:paraId="599B7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shd w:val="clear" w:color="auto" w:fill="auto"/>
            <w:vAlign w:val="center"/>
          </w:tcPr>
          <w:p w14:paraId="03E9B2E8">
            <w:pPr>
              <w:suppressAutoHyphens/>
              <w:spacing w:before="156" w:beforeLines="50" w:after="156" w:afterLines="50" w:line="276" w:lineRule="auto"/>
              <w:jc w:val="center"/>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6</w:t>
            </w:r>
          </w:p>
        </w:tc>
        <w:tc>
          <w:tcPr>
            <w:tcW w:w="504" w:type="pct"/>
            <w:shd w:val="clear" w:color="auto" w:fill="auto"/>
            <w:vAlign w:val="center"/>
          </w:tcPr>
          <w:p w14:paraId="71EF61E7">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zh-CN" w:eastAsia="zh-CN"/>
              </w:rPr>
              <w:t>第六章 自我</w:t>
            </w:r>
          </w:p>
        </w:tc>
        <w:tc>
          <w:tcPr>
            <w:tcW w:w="1372" w:type="pct"/>
            <w:shd w:val="clear" w:color="auto" w:fill="auto"/>
            <w:vAlign w:val="center"/>
          </w:tcPr>
          <w:p w14:paraId="75D237CB">
            <w:p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由“你怎样向一位外星来客解释你是谁”的课堂讨论引入课程内容，在本质自我、自我及其情感、自我中心主义的困境等内容的学习中进一步思考自我及其与世界的关系。</w:t>
            </w:r>
          </w:p>
        </w:tc>
        <w:tc>
          <w:tcPr>
            <w:tcW w:w="261" w:type="pct"/>
            <w:vAlign w:val="center"/>
          </w:tcPr>
          <w:p w14:paraId="4BE97EC8">
            <w:pPr>
              <w:suppressAutoHyphens/>
              <w:spacing w:before="156" w:beforeLines="50" w:after="156" w:afterLines="50" w:line="276" w:lineRule="auto"/>
              <w:jc w:val="both"/>
              <w:rPr>
                <w:rFonts w:hint="default"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6</w:t>
            </w:r>
          </w:p>
        </w:tc>
        <w:tc>
          <w:tcPr>
            <w:tcW w:w="934" w:type="pct"/>
            <w:vAlign w:val="center"/>
          </w:tcPr>
          <w:p w14:paraId="0CEBA4BE">
            <w:pPr>
              <w:numPr>
                <w:ilvl w:val="0"/>
                <w:numId w:val="7"/>
              </w:num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重点：本质自我、自我及其情感</w:t>
            </w:r>
          </w:p>
          <w:p w14:paraId="6694875E">
            <w:pPr>
              <w:numPr>
                <w:ilvl w:val="0"/>
                <w:numId w:val="7"/>
              </w:num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难点：自我中心主义的困境</w:t>
            </w:r>
          </w:p>
        </w:tc>
        <w:tc>
          <w:tcPr>
            <w:tcW w:w="433" w:type="pct"/>
            <w:vAlign w:val="center"/>
          </w:tcPr>
          <w:p w14:paraId="7F80DD28">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讲授讨论</w:t>
            </w:r>
          </w:p>
        </w:tc>
        <w:tc>
          <w:tcPr>
            <w:tcW w:w="478" w:type="pct"/>
            <w:vAlign w:val="center"/>
          </w:tcPr>
          <w:p w14:paraId="268FD453">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主观题</w:t>
            </w:r>
          </w:p>
        </w:tc>
        <w:tc>
          <w:tcPr>
            <w:tcW w:w="749" w:type="pct"/>
            <w:vAlign w:val="center"/>
          </w:tcPr>
          <w:p w14:paraId="1BC3CF8A">
            <w:pPr>
              <w:suppressAutoHyphens/>
              <w:spacing w:before="156" w:beforeLines="50" w:after="156" w:afterLines="50" w:line="276" w:lineRule="auto"/>
              <w:jc w:val="center"/>
              <w:rPr>
                <w:rFonts w:hint="default"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1.2.3</w:t>
            </w:r>
          </w:p>
        </w:tc>
      </w:tr>
      <w:tr w14:paraId="550C1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shd w:val="clear" w:color="auto" w:fill="auto"/>
            <w:vAlign w:val="center"/>
          </w:tcPr>
          <w:p w14:paraId="70BC2D41">
            <w:pPr>
              <w:suppressAutoHyphens/>
              <w:spacing w:before="156" w:beforeLines="50" w:after="156" w:afterLines="50" w:line="276" w:lineRule="auto"/>
              <w:jc w:val="center"/>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7</w:t>
            </w:r>
          </w:p>
        </w:tc>
        <w:tc>
          <w:tcPr>
            <w:tcW w:w="504" w:type="pct"/>
            <w:shd w:val="clear" w:color="auto" w:fill="auto"/>
            <w:vAlign w:val="center"/>
          </w:tcPr>
          <w:p w14:paraId="1DD60A26">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第七章 自由</w:t>
            </w:r>
          </w:p>
        </w:tc>
        <w:tc>
          <w:tcPr>
            <w:tcW w:w="1372" w:type="pct"/>
            <w:shd w:val="clear" w:color="auto" w:fill="auto"/>
            <w:vAlign w:val="center"/>
          </w:tcPr>
          <w:p w14:paraId="75B84166">
            <w:p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zh-CN" w:eastAsia="zh-CN"/>
              </w:rPr>
              <w:t>由“是否存在自由意志？”的课堂讨论引入课程内容，在自由与良好生活、自由意志与决定论等内容的学习中进一步思考自由的问题。</w:t>
            </w:r>
          </w:p>
        </w:tc>
        <w:tc>
          <w:tcPr>
            <w:tcW w:w="261" w:type="pct"/>
            <w:vAlign w:val="center"/>
          </w:tcPr>
          <w:p w14:paraId="1A04983D">
            <w:pPr>
              <w:suppressAutoHyphens/>
              <w:spacing w:before="156" w:beforeLines="50" w:after="156" w:afterLines="50" w:line="276" w:lineRule="auto"/>
              <w:jc w:val="both"/>
              <w:rPr>
                <w:rFonts w:hint="default"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2</w:t>
            </w:r>
          </w:p>
        </w:tc>
        <w:tc>
          <w:tcPr>
            <w:tcW w:w="934" w:type="pct"/>
            <w:vAlign w:val="center"/>
          </w:tcPr>
          <w:p w14:paraId="78BC99F2">
            <w:p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1</w:t>
            </w:r>
            <w:r>
              <w:rPr>
                <w:rFonts w:hint="eastAsia" w:ascii="仿宋" w:hAnsi="仿宋" w:eastAsia="仿宋" w:cs="仿宋"/>
                <w:b w:val="0"/>
                <w:bCs/>
                <w:color w:val="auto"/>
                <w:sz w:val="21"/>
                <w:szCs w:val="21"/>
                <w:lang w:val="en-US" w:eastAsia="zh-CN"/>
              </w:rPr>
              <w:t>.</w:t>
            </w:r>
            <w:r>
              <w:rPr>
                <w:rFonts w:hint="eastAsia" w:ascii="仿宋" w:hAnsi="仿宋" w:eastAsia="仿宋" w:cs="仿宋"/>
                <w:b w:val="0"/>
                <w:bCs/>
                <w:color w:val="auto"/>
                <w:sz w:val="21"/>
                <w:szCs w:val="21"/>
                <w:lang w:val="en-GB" w:eastAsia="zh-CN"/>
              </w:rPr>
              <w:t xml:space="preserve"> 重点：决定论、自由意志论、决定论和非决定论、意识的角色、弱决定论（相容论）等</w:t>
            </w:r>
          </w:p>
          <w:p w14:paraId="0007A0CD">
            <w:p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2</w:t>
            </w:r>
            <w:r>
              <w:rPr>
                <w:rFonts w:hint="eastAsia" w:ascii="仿宋" w:hAnsi="仿宋" w:eastAsia="仿宋" w:cs="仿宋"/>
                <w:b w:val="0"/>
                <w:bCs/>
                <w:color w:val="auto"/>
                <w:sz w:val="21"/>
                <w:szCs w:val="21"/>
                <w:lang w:val="en-US" w:eastAsia="zh-CN"/>
              </w:rPr>
              <w:t>.</w:t>
            </w:r>
            <w:r>
              <w:rPr>
                <w:rFonts w:hint="eastAsia" w:ascii="仿宋" w:hAnsi="仿宋" w:eastAsia="仿宋" w:cs="仿宋"/>
                <w:b w:val="0"/>
                <w:bCs/>
                <w:color w:val="auto"/>
                <w:sz w:val="21"/>
                <w:szCs w:val="21"/>
                <w:lang w:val="en-GB" w:eastAsia="zh-CN"/>
              </w:rPr>
              <w:t xml:space="preserve"> 难点：有关自由意志不同观点之间的辩驳</w:t>
            </w:r>
          </w:p>
        </w:tc>
        <w:tc>
          <w:tcPr>
            <w:tcW w:w="433" w:type="pct"/>
            <w:vAlign w:val="center"/>
          </w:tcPr>
          <w:p w14:paraId="5221FB75">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讲授讨论</w:t>
            </w:r>
          </w:p>
        </w:tc>
        <w:tc>
          <w:tcPr>
            <w:tcW w:w="478" w:type="pct"/>
            <w:vAlign w:val="center"/>
          </w:tcPr>
          <w:p w14:paraId="79E753E5">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主观题</w:t>
            </w:r>
          </w:p>
        </w:tc>
        <w:tc>
          <w:tcPr>
            <w:tcW w:w="749" w:type="pct"/>
            <w:vAlign w:val="center"/>
          </w:tcPr>
          <w:p w14:paraId="185EF2BA">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1</w:t>
            </w:r>
          </w:p>
        </w:tc>
      </w:tr>
      <w:tr w14:paraId="2D87E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shd w:val="clear" w:color="auto" w:fill="auto"/>
            <w:vAlign w:val="center"/>
          </w:tcPr>
          <w:p w14:paraId="4B8572CD">
            <w:pPr>
              <w:suppressAutoHyphens/>
              <w:spacing w:before="156" w:beforeLines="50" w:after="156" w:afterLines="50" w:line="276" w:lineRule="auto"/>
              <w:jc w:val="center"/>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8</w:t>
            </w:r>
          </w:p>
        </w:tc>
        <w:tc>
          <w:tcPr>
            <w:tcW w:w="504" w:type="pct"/>
            <w:shd w:val="clear" w:color="auto" w:fill="auto"/>
            <w:vAlign w:val="center"/>
          </w:tcPr>
          <w:p w14:paraId="7E980102">
            <w:p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第八章 道德和良好生活</w:t>
            </w:r>
          </w:p>
        </w:tc>
        <w:tc>
          <w:tcPr>
            <w:tcW w:w="1372" w:type="pct"/>
            <w:shd w:val="clear" w:color="auto" w:fill="auto"/>
            <w:vAlign w:val="center"/>
          </w:tcPr>
          <w:p w14:paraId="40A3F978">
            <w:p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zh-CN" w:eastAsia="zh-CN"/>
              </w:rPr>
              <w:t>由“电车难题”的课堂讨论引入课程内容，在道德哲学、快乐与良好生活、自利在道德中的位置：利己主义和利他主义、道德相对主义与绝对主义等内容的学习中进一步联系当下，思考道德与正义等问题。</w:t>
            </w:r>
          </w:p>
        </w:tc>
        <w:tc>
          <w:tcPr>
            <w:tcW w:w="261" w:type="pct"/>
            <w:vAlign w:val="center"/>
          </w:tcPr>
          <w:p w14:paraId="66465D4D">
            <w:pPr>
              <w:suppressAutoHyphens/>
              <w:spacing w:before="156" w:beforeLines="50" w:after="156" w:afterLines="50" w:line="276" w:lineRule="auto"/>
              <w:jc w:val="both"/>
              <w:rPr>
                <w:rFonts w:hint="default"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5</w:t>
            </w:r>
          </w:p>
        </w:tc>
        <w:tc>
          <w:tcPr>
            <w:tcW w:w="934" w:type="pct"/>
            <w:vAlign w:val="center"/>
          </w:tcPr>
          <w:p w14:paraId="09A140A8">
            <w:pPr>
              <w:numPr>
                <w:ilvl w:val="0"/>
                <w:numId w:val="8"/>
              </w:numPr>
              <w:suppressAutoHyphens/>
              <w:spacing w:before="156" w:beforeLines="50" w:after="156" w:afterLines="50" w:line="276" w:lineRule="auto"/>
              <w:jc w:val="both"/>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重点：利己主义和利他主义、道德相对主义与绝对主义、道德和道德理论</w:t>
            </w:r>
          </w:p>
          <w:p w14:paraId="44B83B01">
            <w:pPr>
              <w:numPr>
                <w:ilvl w:val="0"/>
                <w:numId w:val="8"/>
              </w:num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难点：康德和理性的权威、边沁&amp;密尔功利主义。</w:t>
            </w:r>
          </w:p>
        </w:tc>
        <w:tc>
          <w:tcPr>
            <w:tcW w:w="433" w:type="pct"/>
            <w:vAlign w:val="center"/>
          </w:tcPr>
          <w:p w14:paraId="27B81E49">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讲授讨论</w:t>
            </w:r>
          </w:p>
        </w:tc>
        <w:tc>
          <w:tcPr>
            <w:tcW w:w="478" w:type="pct"/>
            <w:vAlign w:val="center"/>
          </w:tcPr>
          <w:p w14:paraId="02C8F6B8">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主观题</w:t>
            </w:r>
          </w:p>
        </w:tc>
        <w:tc>
          <w:tcPr>
            <w:tcW w:w="749" w:type="pct"/>
            <w:vAlign w:val="center"/>
          </w:tcPr>
          <w:p w14:paraId="3BAC5F98">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1.2</w:t>
            </w:r>
          </w:p>
        </w:tc>
      </w:tr>
      <w:tr w14:paraId="2087C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shd w:val="clear" w:color="auto" w:fill="auto"/>
            <w:vAlign w:val="center"/>
          </w:tcPr>
          <w:p w14:paraId="48B57E9D">
            <w:pPr>
              <w:suppressAutoHyphens/>
              <w:spacing w:before="156" w:beforeLines="50" w:after="156" w:afterLines="50" w:line="276" w:lineRule="auto"/>
              <w:jc w:val="center"/>
              <w:rPr>
                <w:rFonts w:hint="default"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9</w:t>
            </w:r>
          </w:p>
        </w:tc>
        <w:tc>
          <w:tcPr>
            <w:tcW w:w="504" w:type="pct"/>
            <w:shd w:val="clear" w:color="auto" w:fill="auto"/>
            <w:vAlign w:val="center"/>
          </w:tcPr>
          <w:p w14:paraId="67240F93">
            <w:pPr>
              <w:jc w:val="left"/>
              <w:rPr>
                <w:rFonts w:hint="eastAsia" w:ascii="仿宋" w:hAnsi="仿宋" w:eastAsia="仿宋" w:cs="仿宋"/>
                <w:b w:val="0"/>
                <w:bCs/>
                <w:color w:val="auto"/>
                <w:sz w:val="21"/>
                <w:szCs w:val="21"/>
                <w:lang w:val="zh-CN" w:eastAsia="zh-CN"/>
              </w:rPr>
            </w:pPr>
            <w:r>
              <w:rPr>
                <w:rFonts w:hint="eastAsia" w:ascii="仿宋" w:hAnsi="仿宋" w:eastAsia="仿宋" w:cs="仿宋"/>
                <w:b w:val="0"/>
                <w:bCs/>
                <w:color w:val="auto"/>
                <w:sz w:val="21"/>
                <w:szCs w:val="21"/>
                <w:lang w:val="zh-CN" w:eastAsia="zh-CN"/>
              </w:rPr>
              <w:t>第九章 正义和好的社会</w:t>
            </w:r>
          </w:p>
        </w:tc>
        <w:tc>
          <w:tcPr>
            <w:tcW w:w="1372" w:type="pct"/>
            <w:shd w:val="clear" w:color="auto" w:fill="auto"/>
            <w:vAlign w:val="center"/>
          </w:tcPr>
          <w:p w14:paraId="15316AEE">
            <w:pPr>
              <w:suppressAutoHyphens/>
              <w:spacing w:before="156" w:beforeLines="50" w:after="156" w:afterLines="50" w:line="276" w:lineRule="auto"/>
              <w:jc w:val="both"/>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US" w:eastAsia="zh-CN"/>
              </w:rPr>
              <w:t>由“以暴制暴是否是正义？”的课堂讨论引入课程内容，在道德与社会、社会的性质、合法性问题、无政府主义、自由市场以及对政府的需要、什么是正义、平等的含义、正义的起源与社会契约等内容的学习中进一步联系当下，思考正义和好的社会等问题。</w:t>
            </w:r>
          </w:p>
        </w:tc>
        <w:tc>
          <w:tcPr>
            <w:tcW w:w="261" w:type="pct"/>
            <w:vAlign w:val="center"/>
          </w:tcPr>
          <w:p w14:paraId="75B350A6">
            <w:pPr>
              <w:suppressAutoHyphens/>
              <w:spacing w:before="156" w:beforeLines="50" w:after="156" w:afterLines="50" w:line="276" w:lineRule="auto"/>
              <w:jc w:val="both"/>
              <w:rPr>
                <w:rFonts w:hint="default"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10</w:t>
            </w:r>
          </w:p>
        </w:tc>
        <w:tc>
          <w:tcPr>
            <w:tcW w:w="934" w:type="pct"/>
            <w:vAlign w:val="center"/>
          </w:tcPr>
          <w:p w14:paraId="65B429E7">
            <w:pPr>
              <w:numPr>
                <w:ilvl w:val="0"/>
                <w:numId w:val="9"/>
              </w:numPr>
              <w:suppressAutoHyphens/>
              <w:spacing w:before="156" w:beforeLines="50" w:after="156" w:afterLines="50" w:line="276" w:lineRule="auto"/>
              <w:jc w:val="both"/>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重点：什么是正义；正义的起源与社会契约；《理想国》文本阅读</w:t>
            </w:r>
          </w:p>
          <w:p w14:paraId="71290B21">
            <w:pPr>
              <w:numPr>
                <w:ilvl w:val="0"/>
                <w:numId w:val="9"/>
              </w:numPr>
              <w:suppressAutoHyphens/>
              <w:spacing w:before="156" w:beforeLines="50" w:after="156" w:afterLines="50" w:line="276" w:lineRule="auto"/>
              <w:jc w:val="both"/>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难点：《理想国》文本阅读、联系实际反思当下社会问题</w:t>
            </w:r>
          </w:p>
        </w:tc>
        <w:tc>
          <w:tcPr>
            <w:tcW w:w="433" w:type="pct"/>
            <w:vAlign w:val="center"/>
          </w:tcPr>
          <w:p w14:paraId="561C1BCB">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讲授讨论</w:t>
            </w:r>
          </w:p>
        </w:tc>
        <w:tc>
          <w:tcPr>
            <w:tcW w:w="478" w:type="pct"/>
            <w:vAlign w:val="center"/>
          </w:tcPr>
          <w:p w14:paraId="470B3774">
            <w:pPr>
              <w:suppressAutoHyphens/>
              <w:spacing w:before="156" w:beforeLines="50" w:after="156" w:afterLines="50" w:line="276" w:lineRule="auto"/>
              <w:jc w:val="center"/>
              <w:rPr>
                <w:rFonts w:hint="default"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主观题</w:t>
            </w:r>
          </w:p>
        </w:tc>
        <w:tc>
          <w:tcPr>
            <w:tcW w:w="749" w:type="pct"/>
            <w:vAlign w:val="center"/>
          </w:tcPr>
          <w:p w14:paraId="19CD8C52">
            <w:pPr>
              <w:suppressAutoHyphens/>
              <w:spacing w:before="156" w:beforeLines="50" w:after="156" w:afterLines="50" w:line="276" w:lineRule="auto"/>
              <w:jc w:val="center"/>
              <w:rPr>
                <w:rFonts w:hint="default"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1.2.3</w:t>
            </w:r>
          </w:p>
        </w:tc>
      </w:tr>
      <w:tr w14:paraId="75D2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shd w:val="clear" w:color="auto" w:fill="auto"/>
            <w:vAlign w:val="center"/>
          </w:tcPr>
          <w:p w14:paraId="25E2F22A">
            <w:pPr>
              <w:suppressAutoHyphens/>
              <w:spacing w:before="156" w:beforeLines="50" w:after="156" w:afterLines="50" w:line="276" w:lineRule="auto"/>
              <w:jc w:val="center"/>
              <w:rPr>
                <w:rFonts w:hint="default"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10</w:t>
            </w:r>
          </w:p>
        </w:tc>
        <w:tc>
          <w:tcPr>
            <w:tcW w:w="504" w:type="pct"/>
            <w:shd w:val="clear" w:color="auto" w:fill="auto"/>
            <w:vAlign w:val="center"/>
          </w:tcPr>
          <w:p w14:paraId="6314D055">
            <w:pPr>
              <w:jc w:val="left"/>
              <w:rPr>
                <w:rFonts w:hint="eastAsia" w:ascii="仿宋" w:hAnsi="仿宋" w:eastAsia="仿宋" w:cs="仿宋"/>
                <w:b w:val="0"/>
                <w:bCs/>
                <w:color w:val="auto"/>
                <w:sz w:val="21"/>
                <w:szCs w:val="21"/>
                <w:lang w:val="zh-CN" w:eastAsia="zh-CN"/>
              </w:rPr>
            </w:pPr>
            <w:r>
              <w:rPr>
                <w:rFonts w:hint="eastAsia" w:ascii="仿宋" w:hAnsi="仿宋" w:eastAsia="仿宋"/>
                <w:sz w:val="18"/>
                <w:szCs w:val="18"/>
                <w:lang w:val="zh-CN"/>
              </w:rPr>
              <w:t>第十章 美</w:t>
            </w:r>
          </w:p>
        </w:tc>
        <w:tc>
          <w:tcPr>
            <w:tcW w:w="1372" w:type="pct"/>
            <w:shd w:val="clear" w:color="auto" w:fill="auto"/>
            <w:vAlign w:val="center"/>
          </w:tcPr>
          <w:p w14:paraId="4957EC7C">
            <w:pPr>
              <w:suppressAutoHyphens/>
              <w:spacing w:before="156" w:beforeLines="50" w:after="156" w:afterLines="50" w:line="276" w:lineRule="auto"/>
              <w:jc w:val="both"/>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由“美是客观存在还是主观感受？”的课堂讨论引入课程内容，在美与真、欣赏悲剧、关于品味的争论、艺术、伦理与宗教、艺术为什么是艺术等内容的学习中进一步理解“美”的概念，学会捕捉生活中的真善美。</w:t>
            </w:r>
          </w:p>
        </w:tc>
        <w:tc>
          <w:tcPr>
            <w:tcW w:w="261" w:type="pct"/>
            <w:vAlign w:val="center"/>
          </w:tcPr>
          <w:p w14:paraId="7030C906">
            <w:pPr>
              <w:suppressAutoHyphens/>
              <w:spacing w:before="156" w:beforeLines="50" w:after="156" w:afterLines="50" w:line="276" w:lineRule="auto"/>
              <w:jc w:val="both"/>
              <w:rPr>
                <w:rFonts w:hint="default"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2</w:t>
            </w:r>
          </w:p>
        </w:tc>
        <w:tc>
          <w:tcPr>
            <w:tcW w:w="934" w:type="pct"/>
            <w:vAlign w:val="center"/>
          </w:tcPr>
          <w:p w14:paraId="38072B4A">
            <w:pPr>
              <w:numPr>
                <w:ilvl w:val="0"/>
                <w:numId w:val="10"/>
              </w:numPr>
              <w:suppressAutoHyphens/>
              <w:spacing w:before="156" w:beforeLines="50" w:after="156" w:afterLines="50" w:line="276" w:lineRule="auto"/>
              <w:jc w:val="both"/>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重点：欣赏悲剧；关于品味的争论；艺术、伦理与宗教</w:t>
            </w:r>
          </w:p>
          <w:p w14:paraId="7237051D">
            <w:pPr>
              <w:numPr>
                <w:ilvl w:val="0"/>
                <w:numId w:val="10"/>
              </w:numPr>
              <w:suppressAutoHyphens/>
              <w:spacing w:before="156" w:beforeLines="50" w:after="156" w:afterLines="50" w:line="276" w:lineRule="auto"/>
              <w:jc w:val="both"/>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难点：艺术、伦理与宗教的联系</w:t>
            </w:r>
          </w:p>
        </w:tc>
        <w:tc>
          <w:tcPr>
            <w:tcW w:w="739" w:type="dxa"/>
            <w:vAlign w:val="center"/>
          </w:tcPr>
          <w:p w14:paraId="15E5EE50">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讲授讨论</w:t>
            </w:r>
          </w:p>
        </w:tc>
        <w:tc>
          <w:tcPr>
            <w:tcW w:w="815" w:type="dxa"/>
            <w:vAlign w:val="center"/>
          </w:tcPr>
          <w:p w14:paraId="6E620EF1">
            <w:pPr>
              <w:suppressAutoHyphens/>
              <w:spacing w:before="156" w:beforeLines="50" w:after="156" w:afterLines="50" w:line="276" w:lineRule="auto"/>
              <w:jc w:val="center"/>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主观题</w:t>
            </w:r>
          </w:p>
        </w:tc>
        <w:tc>
          <w:tcPr>
            <w:tcW w:w="1277" w:type="dxa"/>
            <w:vAlign w:val="center"/>
          </w:tcPr>
          <w:p w14:paraId="107E2AFE">
            <w:pPr>
              <w:suppressAutoHyphens/>
              <w:spacing w:before="156" w:beforeLines="50" w:after="156" w:afterLines="50" w:line="276" w:lineRule="auto"/>
              <w:jc w:val="center"/>
              <w:rPr>
                <w:rFonts w:hint="default"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1.2.3</w:t>
            </w:r>
          </w:p>
        </w:tc>
      </w:tr>
      <w:tr w14:paraId="7FB00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shd w:val="clear" w:color="auto" w:fill="auto"/>
            <w:vAlign w:val="center"/>
          </w:tcPr>
          <w:p w14:paraId="562F7247">
            <w:pPr>
              <w:suppressAutoHyphens/>
              <w:spacing w:before="156" w:beforeLines="50" w:after="156" w:afterLines="50" w:line="276" w:lineRule="auto"/>
              <w:jc w:val="center"/>
              <w:rPr>
                <w:rFonts w:hint="default"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11</w:t>
            </w:r>
          </w:p>
        </w:tc>
        <w:tc>
          <w:tcPr>
            <w:tcW w:w="504" w:type="pct"/>
            <w:shd w:val="clear" w:color="auto" w:fill="auto"/>
            <w:vAlign w:val="center"/>
          </w:tcPr>
          <w:p w14:paraId="055D8587">
            <w:pPr>
              <w:jc w:val="left"/>
              <w:rPr>
                <w:rFonts w:hint="eastAsia" w:ascii="仿宋" w:hAnsi="仿宋" w:eastAsia="仿宋" w:cs="仿宋"/>
                <w:b w:val="0"/>
                <w:bCs/>
                <w:color w:val="auto"/>
                <w:sz w:val="21"/>
                <w:szCs w:val="21"/>
                <w:lang w:val="zh-CN" w:eastAsia="zh-CN"/>
              </w:rPr>
            </w:pPr>
            <w:r>
              <w:rPr>
                <w:rFonts w:hint="eastAsia" w:ascii="仿宋" w:hAnsi="仿宋" w:eastAsia="仿宋"/>
                <w:sz w:val="18"/>
                <w:szCs w:val="18"/>
                <w:lang w:val="zh-CN"/>
              </w:rPr>
              <w:t>第十一章 非西方哲学</w:t>
            </w:r>
          </w:p>
        </w:tc>
        <w:tc>
          <w:tcPr>
            <w:tcW w:w="1372" w:type="pct"/>
            <w:shd w:val="clear" w:color="auto" w:fill="auto"/>
            <w:vAlign w:val="center"/>
          </w:tcPr>
          <w:p w14:paraId="1EEBA841">
            <w:pPr>
              <w:suppressAutoHyphens/>
              <w:spacing w:before="156" w:beforeLines="50" w:after="156" w:afterLines="50" w:line="276" w:lineRule="auto"/>
              <w:jc w:val="both"/>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由轴心时代的概念引入非西方哲学的课程内容，以更宏阔的视野关照中国哲学与印度哲学与西方哲学的不同以及中国传统文化儒释道所奠基的民族品格与文化底色。</w:t>
            </w:r>
          </w:p>
        </w:tc>
        <w:tc>
          <w:tcPr>
            <w:tcW w:w="261" w:type="pct"/>
            <w:vAlign w:val="center"/>
          </w:tcPr>
          <w:p w14:paraId="5E37FDBB">
            <w:pPr>
              <w:suppressAutoHyphens/>
              <w:spacing w:before="156" w:beforeLines="50" w:after="156" w:afterLines="50" w:line="276" w:lineRule="auto"/>
              <w:jc w:val="both"/>
              <w:rPr>
                <w:rFonts w:hint="default"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2</w:t>
            </w:r>
          </w:p>
        </w:tc>
        <w:tc>
          <w:tcPr>
            <w:tcW w:w="934" w:type="pct"/>
            <w:vAlign w:val="center"/>
          </w:tcPr>
          <w:p w14:paraId="758EFF5C">
            <w:pPr>
              <w:numPr>
                <w:ilvl w:val="0"/>
                <w:numId w:val="11"/>
              </w:numPr>
              <w:suppressAutoHyphens/>
              <w:spacing w:before="156" w:beforeLines="50" w:after="156" w:afterLines="50" w:line="276" w:lineRule="auto"/>
              <w:jc w:val="both"/>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重点：轴心时代、中西印哲学对比</w:t>
            </w:r>
          </w:p>
          <w:p w14:paraId="428F5FA0">
            <w:pPr>
              <w:numPr>
                <w:ilvl w:val="0"/>
                <w:numId w:val="11"/>
              </w:numPr>
              <w:suppressAutoHyphens/>
              <w:spacing w:before="156" w:beforeLines="50" w:after="156" w:afterLines="50" w:line="276" w:lineRule="auto"/>
              <w:jc w:val="both"/>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难点：中西印哲学对比</w:t>
            </w:r>
          </w:p>
        </w:tc>
        <w:tc>
          <w:tcPr>
            <w:tcW w:w="739" w:type="dxa"/>
            <w:vAlign w:val="center"/>
          </w:tcPr>
          <w:p w14:paraId="3A366500">
            <w:pPr>
              <w:suppressAutoHyphens/>
              <w:spacing w:before="156" w:beforeLines="50" w:after="156" w:afterLines="50" w:line="276" w:lineRule="auto"/>
              <w:jc w:val="center"/>
              <w:rPr>
                <w:rFonts w:hint="eastAsia" w:ascii="仿宋" w:hAnsi="仿宋" w:eastAsia="仿宋" w:cs="仿宋"/>
                <w:b w:val="0"/>
                <w:bCs/>
                <w:color w:val="auto"/>
                <w:sz w:val="21"/>
                <w:szCs w:val="21"/>
                <w:lang w:val="en-GB" w:eastAsia="zh-CN"/>
              </w:rPr>
            </w:pPr>
            <w:r>
              <w:rPr>
                <w:rFonts w:hint="eastAsia" w:ascii="仿宋" w:hAnsi="仿宋" w:eastAsia="仿宋" w:cs="仿宋"/>
                <w:b w:val="0"/>
                <w:bCs/>
                <w:color w:val="auto"/>
                <w:sz w:val="21"/>
                <w:szCs w:val="21"/>
                <w:lang w:val="en-GB" w:eastAsia="zh-CN"/>
              </w:rPr>
              <w:t>讲授讨论</w:t>
            </w:r>
          </w:p>
        </w:tc>
        <w:tc>
          <w:tcPr>
            <w:tcW w:w="815" w:type="dxa"/>
            <w:vAlign w:val="center"/>
          </w:tcPr>
          <w:p w14:paraId="147FF7A5">
            <w:pPr>
              <w:suppressAutoHyphens/>
              <w:spacing w:before="156" w:beforeLines="50" w:after="156" w:afterLines="50" w:line="276" w:lineRule="auto"/>
              <w:jc w:val="center"/>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主观题</w:t>
            </w:r>
          </w:p>
        </w:tc>
        <w:tc>
          <w:tcPr>
            <w:tcW w:w="1277" w:type="dxa"/>
            <w:vAlign w:val="center"/>
          </w:tcPr>
          <w:p w14:paraId="29EACE2B">
            <w:pPr>
              <w:suppressAutoHyphens/>
              <w:spacing w:before="156" w:beforeLines="50" w:after="156" w:afterLines="50" w:line="276" w:lineRule="auto"/>
              <w:jc w:val="center"/>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1.3</w:t>
            </w:r>
          </w:p>
        </w:tc>
      </w:tr>
    </w:tbl>
    <w:p w14:paraId="53E28071">
      <w:pPr>
        <w:spacing w:after="156" w:afterLines="50" w:line="400" w:lineRule="exact"/>
        <w:rPr>
          <w:rFonts w:hint="eastAsia" w:eastAsia="仿宋"/>
          <w:color w:val="000000"/>
          <w:sz w:val="24"/>
        </w:rPr>
      </w:pPr>
    </w:p>
    <w:p w14:paraId="2D3D6CFA">
      <w:pPr>
        <w:spacing w:after="156" w:afterLines="50" w:line="400" w:lineRule="exact"/>
        <w:rPr>
          <w:rFonts w:hint="eastAsia" w:eastAsia="仿宋"/>
          <w:color w:val="000000"/>
          <w:sz w:val="24"/>
        </w:rPr>
      </w:pPr>
    </w:p>
    <w:p w14:paraId="770E18AF">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42CA5980">
      <w:pPr>
        <w:snapToGrid w:val="0"/>
        <w:spacing w:line="360" w:lineRule="auto"/>
        <w:ind w:firstLine="482" w:firstLineChars="200"/>
        <w:rPr>
          <w:rFonts w:ascii="仿宋" w:hAnsi="仿宋" w:eastAsia="仿宋"/>
          <w:b/>
          <w:color w:val="000000" w:themeColor="text1"/>
          <w:sz w:val="24"/>
          <w14:textFill>
            <w14:solidFill>
              <w14:schemeClr w14:val="tx1"/>
            </w14:solidFill>
          </w14:textFill>
        </w:rPr>
      </w:pPr>
      <w:r>
        <w:rPr>
          <w:rFonts w:hint="eastAsia" w:ascii="仿宋" w:hAnsi="仿宋" w:eastAsia="仿宋"/>
          <w:b/>
          <w:color w:val="000000"/>
          <w:sz w:val="24"/>
        </w:rPr>
        <w:t>（一）成绩评定方式：</w:t>
      </w:r>
      <w:r>
        <w:rPr>
          <w:rFonts w:hint="eastAsia" w:ascii="仿宋" w:hAnsi="仿宋" w:eastAsia="仿宋"/>
          <w:color w:val="000000" w:themeColor="text1"/>
          <w:sz w:val="24"/>
          <w14:textFill>
            <w14:solidFill>
              <w14:schemeClr w14:val="tx1"/>
            </w14:solidFill>
          </w14:textFill>
        </w:rPr>
        <w:t>百分制</w:t>
      </w:r>
    </w:p>
    <w:p w14:paraId="637BCE15">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40</w:t>
      </w:r>
      <w:r>
        <w:rPr>
          <w:rFonts w:eastAsia="仿宋"/>
          <w:sz w:val="24"/>
        </w:rPr>
        <w:t>%</w:t>
      </w:r>
      <w:r>
        <w:rPr>
          <w:rFonts w:hint="eastAsia" w:eastAsia="仿宋"/>
          <w:sz w:val="24"/>
        </w:rPr>
        <w:t>，</w:t>
      </w:r>
      <w:bookmarkStart w:id="2" w:name="_GoBack"/>
      <w:bookmarkEnd w:id="2"/>
      <w:r>
        <w:rPr>
          <w:rFonts w:hint="eastAsia" w:eastAsia="仿宋"/>
          <w:sz w:val="24"/>
        </w:rPr>
        <w:t>结课考核成绩</w:t>
      </w:r>
      <w:r>
        <w:rPr>
          <w:rFonts w:hint="eastAsia" w:eastAsia="仿宋"/>
          <w:sz w:val="24"/>
          <w:lang w:val="en-US" w:eastAsia="zh-CN"/>
        </w:rPr>
        <w:t>60</w:t>
      </w:r>
      <w:r>
        <w:rPr>
          <w:rFonts w:eastAsia="仿宋"/>
          <w:sz w:val="24"/>
        </w:rPr>
        <w:t>%</w:t>
      </w:r>
    </w:p>
    <w:p w14:paraId="5122C388">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761"/>
        <w:gridCol w:w="798"/>
        <w:gridCol w:w="3016"/>
        <w:gridCol w:w="1429"/>
      </w:tblGrid>
      <w:tr w14:paraId="00378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gridSpan w:val="2"/>
            <w:shd w:val="clear" w:color="auto" w:fill="auto"/>
            <w:vAlign w:val="center"/>
          </w:tcPr>
          <w:p w14:paraId="363F724A">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798" w:type="dxa"/>
            <w:vAlign w:val="center"/>
          </w:tcPr>
          <w:p w14:paraId="02693A87">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3016" w:type="dxa"/>
            <w:vAlign w:val="center"/>
          </w:tcPr>
          <w:p w14:paraId="36F893D0">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1429" w:type="dxa"/>
            <w:vAlign w:val="center"/>
          </w:tcPr>
          <w:p w14:paraId="3984CCB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w:t>
            </w:r>
          </w:p>
          <w:p w14:paraId="2D3C49F3">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p>
        </w:tc>
      </w:tr>
      <w:tr w14:paraId="3E1BC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shd w:val="clear" w:color="auto" w:fill="auto"/>
            <w:vAlign w:val="center"/>
          </w:tcPr>
          <w:p w14:paraId="56667F9A">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rPr>
              <w:t>过程考核</w:t>
            </w:r>
            <w:r>
              <w:rPr>
                <w:rFonts w:hint="eastAsia" w:ascii="仿宋" w:hAnsi="仿宋" w:eastAsia="仿宋"/>
                <w:b/>
                <w:color w:val="000000"/>
                <w:sz w:val="24"/>
                <w:lang w:eastAsia="zh-CN"/>
              </w:rPr>
              <w:t>（</w:t>
            </w:r>
            <w:r>
              <w:rPr>
                <w:rFonts w:hint="eastAsia" w:ascii="仿宋" w:hAnsi="仿宋" w:eastAsia="仿宋"/>
                <w:b/>
                <w:color w:val="000000"/>
                <w:sz w:val="24"/>
                <w:lang w:val="en-US" w:eastAsia="zh-CN"/>
              </w:rPr>
              <w:t>满分100分</w:t>
            </w:r>
            <w:r>
              <w:rPr>
                <w:rFonts w:hint="eastAsia" w:ascii="仿宋" w:hAnsi="仿宋" w:eastAsia="仿宋"/>
                <w:b/>
                <w:color w:val="000000"/>
                <w:sz w:val="24"/>
                <w:lang w:eastAsia="zh-CN"/>
              </w:rPr>
              <w:t>）</w:t>
            </w:r>
          </w:p>
        </w:tc>
        <w:tc>
          <w:tcPr>
            <w:tcW w:w="761" w:type="dxa"/>
            <w:shd w:val="clear" w:color="auto" w:fill="auto"/>
            <w:vAlign w:val="center"/>
          </w:tcPr>
          <w:p w14:paraId="517664DD">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考勤</w:t>
            </w:r>
          </w:p>
        </w:tc>
        <w:tc>
          <w:tcPr>
            <w:tcW w:w="798" w:type="dxa"/>
            <w:vAlign w:val="center"/>
          </w:tcPr>
          <w:p w14:paraId="75B881F0">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w:t>
            </w:r>
          </w:p>
        </w:tc>
        <w:tc>
          <w:tcPr>
            <w:tcW w:w="3016" w:type="dxa"/>
            <w:vAlign w:val="center"/>
          </w:tcPr>
          <w:p w14:paraId="5CE8F81A">
            <w:pPr>
              <w:snapToGrid w:val="0"/>
              <w:spacing w:line="360" w:lineRule="auto"/>
              <w:jc w:val="both"/>
              <w:rPr>
                <w:rFonts w:hint="default" w:ascii="仿宋" w:hAnsi="仿宋" w:eastAsia="仿宋"/>
                <w:b w:val="0"/>
                <w:bCs/>
                <w:color w:val="000000"/>
                <w:sz w:val="24"/>
                <w:lang w:val="en-US" w:eastAsia="zh-CN"/>
              </w:rPr>
            </w:pPr>
            <w:r>
              <w:rPr>
                <w:rFonts w:hint="eastAsia" w:ascii="仿宋" w:hAnsi="仿宋" w:eastAsia="仿宋"/>
                <w:b w:val="0"/>
                <w:bCs/>
                <w:color w:val="000000"/>
                <w:sz w:val="24"/>
              </w:rPr>
              <w:t>主要考核学生的到课情况，</w:t>
            </w:r>
            <w:r>
              <w:rPr>
                <w:rFonts w:hint="eastAsia" w:ascii="仿宋" w:hAnsi="仿宋" w:eastAsia="仿宋"/>
                <w:b w:val="0"/>
                <w:bCs/>
                <w:color w:val="000000"/>
                <w:sz w:val="24"/>
                <w:lang w:val="en-US" w:eastAsia="zh-CN"/>
              </w:rPr>
              <w:t>满分10分。无故旷到6次者取消考试资格。</w:t>
            </w:r>
          </w:p>
        </w:tc>
        <w:tc>
          <w:tcPr>
            <w:tcW w:w="1429" w:type="dxa"/>
            <w:vAlign w:val="center"/>
          </w:tcPr>
          <w:p w14:paraId="4548284F">
            <w:pPr>
              <w:snapToGrid w:val="0"/>
              <w:spacing w:line="360" w:lineRule="auto"/>
              <w:jc w:val="center"/>
              <w:rPr>
                <w:rFonts w:hint="eastAsia" w:ascii="仿宋" w:hAnsi="仿宋" w:eastAsia="仿宋"/>
                <w:b w:val="0"/>
                <w:bCs/>
                <w:color w:val="000000"/>
                <w:sz w:val="24"/>
                <w:lang w:val="en-US" w:eastAsia="zh-CN"/>
              </w:rPr>
            </w:pPr>
            <w:r>
              <w:rPr>
                <w:rFonts w:hint="eastAsia" w:ascii="仿宋" w:hAnsi="仿宋" w:eastAsia="仿宋"/>
                <w:b w:val="0"/>
                <w:bCs/>
                <w:color w:val="000000"/>
                <w:sz w:val="24"/>
                <w:lang w:val="en-US" w:eastAsia="zh-CN"/>
              </w:rPr>
              <w:t>1</w:t>
            </w:r>
          </w:p>
        </w:tc>
      </w:tr>
      <w:tr w14:paraId="79641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60DC5769">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1D8B1FA3">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平时作业</w:t>
            </w:r>
          </w:p>
        </w:tc>
        <w:tc>
          <w:tcPr>
            <w:tcW w:w="798" w:type="dxa"/>
            <w:vAlign w:val="center"/>
          </w:tcPr>
          <w:p w14:paraId="094B89A9">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40</w:t>
            </w:r>
          </w:p>
        </w:tc>
        <w:tc>
          <w:tcPr>
            <w:tcW w:w="3016" w:type="dxa"/>
            <w:vAlign w:val="center"/>
          </w:tcPr>
          <w:p w14:paraId="152EC001">
            <w:pPr>
              <w:snapToGrid w:val="0"/>
              <w:spacing w:line="360" w:lineRule="auto"/>
              <w:jc w:val="both"/>
              <w:rPr>
                <w:rFonts w:hint="eastAsia" w:ascii="仿宋" w:hAnsi="仿宋" w:eastAsia="仿宋"/>
                <w:b w:val="0"/>
                <w:bCs/>
                <w:color w:val="000000"/>
                <w:sz w:val="24"/>
              </w:rPr>
            </w:pPr>
            <w:r>
              <w:rPr>
                <w:rFonts w:hint="eastAsia" w:ascii="仿宋" w:hAnsi="仿宋" w:eastAsia="仿宋"/>
                <w:b w:val="0"/>
                <w:bCs/>
                <w:color w:val="000000"/>
                <w:sz w:val="24"/>
              </w:rPr>
              <w:t>通过作业情况考查学生对相关知识的掌握程度，</w:t>
            </w:r>
            <w:r>
              <w:rPr>
                <w:rFonts w:hint="eastAsia" w:ascii="仿宋" w:hAnsi="仿宋" w:eastAsia="仿宋"/>
                <w:b w:val="0"/>
                <w:bCs/>
                <w:color w:val="000000"/>
                <w:sz w:val="24"/>
                <w:lang w:val="en-US" w:eastAsia="zh-CN"/>
              </w:rPr>
              <w:t>满分40分</w:t>
            </w:r>
            <w:r>
              <w:rPr>
                <w:rFonts w:hint="eastAsia" w:ascii="仿宋" w:hAnsi="仿宋" w:eastAsia="仿宋"/>
                <w:b w:val="0"/>
                <w:bCs/>
                <w:color w:val="000000"/>
                <w:sz w:val="24"/>
              </w:rPr>
              <w:t>。</w:t>
            </w:r>
          </w:p>
        </w:tc>
        <w:tc>
          <w:tcPr>
            <w:tcW w:w="1429" w:type="dxa"/>
            <w:vAlign w:val="center"/>
          </w:tcPr>
          <w:p w14:paraId="4F83BB57">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1、2</w:t>
            </w:r>
          </w:p>
        </w:tc>
      </w:tr>
      <w:tr w14:paraId="30690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42E8C049">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52A8AE28">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课堂表现</w:t>
            </w:r>
          </w:p>
        </w:tc>
        <w:tc>
          <w:tcPr>
            <w:tcW w:w="798" w:type="dxa"/>
            <w:vAlign w:val="center"/>
          </w:tcPr>
          <w:p w14:paraId="6F28BA0F">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50</w:t>
            </w:r>
          </w:p>
        </w:tc>
        <w:tc>
          <w:tcPr>
            <w:tcW w:w="3016" w:type="dxa"/>
            <w:vAlign w:val="center"/>
          </w:tcPr>
          <w:p w14:paraId="59AA108D">
            <w:pPr>
              <w:snapToGrid w:val="0"/>
              <w:spacing w:line="360" w:lineRule="auto"/>
              <w:jc w:val="both"/>
              <w:rPr>
                <w:rFonts w:hint="eastAsia" w:ascii="仿宋" w:hAnsi="仿宋" w:eastAsia="仿宋"/>
                <w:b w:val="0"/>
                <w:bCs/>
                <w:color w:val="000000"/>
                <w:sz w:val="24"/>
              </w:rPr>
            </w:pPr>
            <w:r>
              <w:rPr>
                <w:rFonts w:hint="eastAsia" w:ascii="仿宋" w:hAnsi="仿宋" w:eastAsia="仿宋"/>
                <w:b w:val="0"/>
                <w:bCs/>
                <w:color w:val="000000"/>
                <w:sz w:val="24"/>
              </w:rPr>
              <w:t>主要考核学生的课堂参与情况以及对知识的理解和运用程度，</w:t>
            </w:r>
            <w:r>
              <w:rPr>
                <w:rFonts w:hint="eastAsia" w:ascii="仿宋" w:hAnsi="仿宋" w:eastAsia="仿宋"/>
                <w:b w:val="0"/>
                <w:bCs/>
                <w:color w:val="000000"/>
                <w:sz w:val="24"/>
                <w:lang w:val="en-US" w:eastAsia="zh-CN"/>
              </w:rPr>
              <w:t>满分50分。</w:t>
            </w:r>
          </w:p>
        </w:tc>
        <w:tc>
          <w:tcPr>
            <w:tcW w:w="1429" w:type="dxa"/>
            <w:vAlign w:val="center"/>
          </w:tcPr>
          <w:p w14:paraId="44FEBD01">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1、2、3</w:t>
            </w:r>
          </w:p>
        </w:tc>
      </w:tr>
      <w:tr w14:paraId="38095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shd w:val="clear" w:color="auto" w:fill="auto"/>
            <w:vAlign w:val="center"/>
          </w:tcPr>
          <w:p w14:paraId="7366F39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761" w:type="dxa"/>
            <w:shd w:val="clear" w:color="auto" w:fill="auto"/>
            <w:vAlign w:val="center"/>
          </w:tcPr>
          <w:p w14:paraId="2C1DB70F">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798" w:type="dxa"/>
            <w:vAlign w:val="center"/>
          </w:tcPr>
          <w:p w14:paraId="03EB14ED">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100</w:t>
            </w:r>
          </w:p>
        </w:tc>
        <w:tc>
          <w:tcPr>
            <w:tcW w:w="3016" w:type="dxa"/>
            <w:vAlign w:val="center"/>
          </w:tcPr>
          <w:p w14:paraId="66BD6FEB">
            <w:pPr>
              <w:snapToGrid w:val="0"/>
              <w:spacing w:line="360" w:lineRule="auto"/>
              <w:jc w:val="both"/>
              <w:rPr>
                <w:rFonts w:hint="eastAsia" w:ascii="仿宋" w:hAnsi="仿宋" w:eastAsia="仿宋"/>
                <w:b w:val="0"/>
                <w:bCs/>
                <w:color w:val="0070C0"/>
                <w:sz w:val="24"/>
                <w:lang w:val="en-US" w:eastAsia="zh-CN"/>
              </w:rPr>
            </w:pPr>
            <w:r>
              <w:rPr>
                <w:rFonts w:hint="eastAsia" w:ascii="仿宋" w:hAnsi="仿宋" w:eastAsia="仿宋"/>
                <w:b w:val="0"/>
                <w:bCs/>
                <w:color w:val="000000"/>
                <w:sz w:val="24"/>
                <w:lang w:val="en-US" w:eastAsia="zh-CN"/>
              </w:rPr>
              <w:t>考核形式为开卷，卷面成绩满分100分，题型包括简答、材料分析和论述三种题型。主要考核学生对存在、自由、自我、真善美等哲学问题的理解以及清晰而有条理地表达个人观点的能力。</w:t>
            </w:r>
          </w:p>
        </w:tc>
        <w:tc>
          <w:tcPr>
            <w:tcW w:w="1429" w:type="dxa"/>
            <w:vAlign w:val="center"/>
          </w:tcPr>
          <w:p w14:paraId="6878A809">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1、2、3</w:t>
            </w:r>
          </w:p>
        </w:tc>
      </w:tr>
    </w:tbl>
    <w:p w14:paraId="311FBFE4">
      <w:pPr>
        <w:snapToGrid w:val="0"/>
        <w:spacing w:line="360" w:lineRule="auto"/>
        <w:ind w:firstLine="482" w:firstLineChars="200"/>
        <w:rPr>
          <w:rFonts w:hint="eastAsia" w:ascii="仿宋" w:hAnsi="仿宋" w:eastAsia="仿宋"/>
          <w:b/>
          <w:color w:val="000000"/>
          <w:sz w:val="24"/>
        </w:rPr>
      </w:pPr>
    </w:p>
    <w:p w14:paraId="3655B964">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108"/>
        <w:gridCol w:w="1134"/>
        <w:gridCol w:w="1384"/>
        <w:gridCol w:w="1384"/>
        <w:gridCol w:w="1385"/>
      </w:tblGrid>
      <w:tr w14:paraId="26FE7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14:paraId="79EF7D56">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1134" w:type="dxa"/>
            <w:vMerge w:val="restart"/>
            <w:vAlign w:val="center"/>
          </w:tcPr>
          <w:p w14:paraId="73E2878B">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4153" w:type="dxa"/>
            <w:gridSpan w:val="3"/>
            <w:shd w:val="clear" w:color="auto" w:fill="auto"/>
            <w:vAlign w:val="center"/>
          </w:tcPr>
          <w:p w14:paraId="4A03552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14:paraId="3C417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auto"/>
            <w:vAlign w:val="center"/>
          </w:tcPr>
          <w:p w14:paraId="09660381">
            <w:pPr>
              <w:snapToGrid w:val="0"/>
              <w:spacing w:line="360" w:lineRule="auto"/>
              <w:jc w:val="center"/>
              <w:rPr>
                <w:rFonts w:hint="eastAsia" w:ascii="仿宋" w:hAnsi="仿宋" w:eastAsia="仿宋"/>
                <w:b/>
                <w:color w:val="000000"/>
                <w:sz w:val="24"/>
              </w:rPr>
            </w:pPr>
          </w:p>
        </w:tc>
        <w:tc>
          <w:tcPr>
            <w:tcW w:w="1134" w:type="dxa"/>
            <w:vMerge w:val="continue"/>
          </w:tcPr>
          <w:p w14:paraId="76FCD497">
            <w:pPr>
              <w:snapToGrid w:val="0"/>
              <w:spacing w:line="360" w:lineRule="auto"/>
              <w:jc w:val="center"/>
              <w:rPr>
                <w:rFonts w:hint="eastAsia" w:ascii="仿宋" w:hAnsi="仿宋" w:eastAsia="仿宋"/>
                <w:b/>
                <w:color w:val="000000"/>
                <w:sz w:val="24"/>
              </w:rPr>
            </w:pPr>
          </w:p>
        </w:tc>
        <w:tc>
          <w:tcPr>
            <w:tcW w:w="1384" w:type="dxa"/>
            <w:shd w:val="clear" w:color="auto" w:fill="auto"/>
            <w:vAlign w:val="center"/>
          </w:tcPr>
          <w:p w14:paraId="70DE619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1384" w:type="dxa"/>
          </w:tcPr>
          <w:p w14:paraId="68A38228">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c>
          <w:tcPr>
            <w:tcW w:w="1385" w:type="dxa"/>
          </w:tcPr>
          <w:p w14:paraId="3F13ACCF">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r>
      <w:tr w14:paraId="75D78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restart"/>
            <w:shd w:val="clear" w:color="auto" w:fill="auto"/>
            <w:vAlign w:val="center"/>
          </w:tcPr>
          <w:p w14:paraId="17D0058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b/>
                <w:color w:val="000000"/>
                <w:sz w:val="24"/>
              </w:rPr>
            </w:pPr>
            <w:r>
              <w:rPr>
                <w:rFonts w:hint="eastAsia" w:ascii="仿宋" w:hAnsi="仿宋" w:eastAsia="仿宋"/>
                <w:b/>
                <w:color w:val="000000"/>
                <w:sz w:val="24"/>
              </w:rPr>
              <w:t>过程考核</w:t>
            </w:r>
          </w:p>
        </w:tc>
        <w:tc>
          <w:tcPr>
            <w:tcW w:w="2108" w:type="dxa"/>
            <w:shd w:val="clear" w:color="auto" w:fill="auto"/>
            <w:vAlign w:val="center"/>
          </w:tcPr>
          <w:p w14:paraId="6CCEA67B">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考勤</w:t>
            </w:r>
          </w:p>
        </w:tc>
        <w:tc>
          <w:tcPr>
            <w:tcW w:w="1134" w:type="dxa"/>
            <w:vAlign w:val="center"/>
          </w:tcPr>
          <w:p w14:paraId="68605B45">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1384" w:type="dxa"/>
            <w:shd w:val="clear" w:color="auto" w:fill="auto"/>
            <w:vAlign w:val="center"/>
          </w:tcPr>
          <w:p w14:paraId="22256F87">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1384" w:type="dxa"/>
            <w:vAlign w:val="center"/>
          </w:tcPr>
          <w:p w14:paraId="31E32258">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0</w:t>
            </w:r>
          </w:p>
        </w:tc>
        <w:tc>
          <w:tcPr>
            <w:tcW w:w="1385" w:type="dxa"/>
            <w:vAlign w:val="center"/>
          </w:tcPr>
          <w:p w14:paraId="65F2A121">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0</w:t>
            </w:r>
          </w:p>
        </w:tc>
      </w:tr>
      <w:tr w14:paraId="15D3A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2A11071D">
            <w:pPr>
              <w:snapToGrid w:val="0"/>
              <w:spacing w:line="360" w:lineRule="auto"/>
              <w:jc w:val="center"/>
              <w:rPr>
                <w:rFonts w:hint="eastAsia" w:ascii="仿宋" w:hAnsi="仿宋" w:eastAsia="仿宋"/>
                <w:b/>
                <w:color w:val="000000"/>
                <w:sz w:val="24"/>
              </w:rPr>
            </w:pPr>
          </w:p>
        </w:tc>
        <w:tc>
          <w:tcPr>
            <w:tcW w:w="2108" w:type="dxa"/>
            <w:shd w:val="clear" w:color="auto" w:fill="auto"/>
            <w:vAlign w:val="center"/>
          </w:tcPr>
          <w:p w14:paraId="61BA1C26">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平时作业</w:t>
            </w:r>
          </w:p>
        </w:tc>
        <w:tc>
          <w:tcPr>
            <w:tcW w:w="1134" w:type="dxa"/>
            <w:vAlign w:val="center"/>
          </w:tcPr>
          <w:p w14:paraId="49C7D6E5">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40</w:t>
            </w:r>
          </w:p>
        </w:tc>
        <w:tc>
          <w:tcPr>
            <w:tcW w:w="1384" w:type="dxa"/>
            <w:shd w:val="clear" w:color="auto" w:fill="auto"/>
            <w:vAlign w:val="center"/>
          </w:tcPr>
          <w:p w14:paraId="12B2FA35">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1384" w:type="dxa"/>
            <w:vAlign w:val="center"/>
          </w:tcPr>
          <w:p w14:paraId="095D24FE">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1385" w:type="dxa"/>
            <w:vAlign w:val="center"/>
          </w:tcPr>
          <w:p w14:paraId="76CC3784">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r>
      <w:tr w14:paraId="5AC0B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94" w:type="dxa"/>
            <w:vMerge w:val="continue"/>
            <w:shd w:val="clear" w:color="auto" w:fill="auto"/>
            <w:vAlign w:val="center"/>
          </w:tcPr>
          <w:p w14:paraId="46A743B9">
            <w:pPr>
              <w:snapToGrid w:val="0"/>
              <w:spacing w:line="360" w:lineRule="auto"/>
              <w:jc w:val="center"/>
              <w:rPr>
                <w:rFonts w:hint="eastAsia" w:ascii="仿宋" w:hAnsi="仿宋" w:eastAsia="仿宋"/>
                <w:b/>
                <w:color w:val="000000"/>
                <w:sz w:val="24"/>
              </w:rPr>
            </w:pPr>
          </w:p>
        </w:tc>
        <w:tc>
          <w:tcPr>
            <w:tcW w:w="2108" w:type="dxa"/>
            <w:shd w:val="clear" w:color="auto" w:fill="auto"/>
            <w:vAlign w:val="center"/>
          </w:tcPr>
          <w:p w14:paraId="247ED2D0">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课堂表现</w:t>
            </w:r>
          </w:p>
        </w:tc>
        <w:tc>
          <w:tcPr>
            <w:tcW w:w="1134" w:type="dxa"/>
            <w:vAlign w:val="center"/>
          </w:tcPr>
          <w:p w14:paraId="409A1E3F">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50</w:t>
            </w:r>
          </w:p>
        </w:tc>
        <w:tc>
          <w:tcPr>
            <w:tcW w:w="1384" w:type="dxa"/>
            <w:shd w:val="clear" w:color="auto" w:fill="auto"/>
            <w:vAlign w:val="center"/>
          </w:tcPr>
          <w:p w14:paraId="366DB653">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1384" w:type="dxa"/>
            <w:vAlign w:val="center"/>
          </w:tcPr>
          <w:p w14:paraId="4ACC9584">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15</w:t>
            </w:r>
          </w:p>
        </w:tc>
        <w:tc>
          <w:tcPr>
            <w:tcW w:w="1385" w:type="dxa"/>
            <w:vAlign w:val="center"/>
          </w:tcPr>
          <w:p w14:paraId="10595EDB">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15</w:t>
            </w:r>
          </w:p>
        </w:tc>
      </w:tr>
      <w:tr w14:paraId="50BB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shd w:val="clear" w:color="auto" w:fill="auto"/>
            <w:vAlign w:val="center"/>
          </w:tcPr>
          <w:p w14:paraId="1946B51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b/>
                <w:color w:val="000000"/>
                <w:sz w:val="24"/>
              </w:rPr>
            </w:pPr>
            <w:r>
              <w:rPr>
                <w:rFonts w:hint="eastAsia" w:ascii="仿宋" w:hAnsi="仿宋" w:eastAsia="仿宋"/>
                <w:b/>
                <w:color w:val="000000"/>
                <w:sz w:val="24"/>
              </w:rPr>
              <w:t>结课考核</w:t>
            </w:r>
          </w:p>
        </w:tc>
        <w:tc>
          <w:tcPr>
            <w:tcW w:w="2108" w:type="dxa"/>
            <w:shd w:val="clear" w:color="auto" w:fill="auto"/>
            <w:vAlign w:val="center"/>
          </w:tcPr>
          <w:p w14:paraId="2B18563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1134" w:type="dxa"/>
            <w:vAlign w:val="center"/>
          </w:tcPr>
          <w:p w14:paraId="685C2A87">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c>
          <w:tcPr>
            <w:tcW w:w="1384" w:type="dxa"/>
            <w:shd w:val="clear" w:color="auto" w:fill="auto"/>
            <w:vAlign w:val="center"/>
          </w:tcPr>
          <w:p w14:paraId="341EB284">
            <w:pPr>
              <w:snapToGrid w:val="0"/>
              <w:spacing w:line="360" w:lineRule="auto"/>
              <w:jc w:val="center"/>
              <w:rPr>
                <w:rFonts w:hint="default" w:ascii="仿宋" w:hAnsi="仿宋" w:eastAsia="仿宋"/>
                <w:b/>
                <w:bCs w:val="0"/>
                <w:color w:val="000000"/>
                <w:sz w:val="24"/>
                <w:lang w:val="en-US" w:eastAsia="zh-CN"/>
              </w:rPr>
            </w:pPr>
            <w:r>
              <w:rPr>
                <w:rFonts w:hint="eastAsia" w:ascii="仿宋" w:hAnsi="仿宋" w:eastAsia="仿宋"/>
                <w:b/>
                <w:bCs w:val="0"/>
                <w:color w:val="000000"/>
                <w:sz w:val="24"/>
                <w:lang w:val="en-US" w:eastAsia="zh-CN"/>
              </w:rPr>
              <w:t>40</w:t>
            </w:r>
          </w:p>
        </w:tc>
        <w:tc>
          <w:tcPr>
            <w:tcW w:w="1384" w:type="dxa"/>
            <w:vAlign w:val="center"/>
          </w:tcPr>
          <w:p w14:paraId="20771927">
            <w:pPr>
              <w:snapToGrid w:val="0"/>
              <w:spacing w:line="360" w:lineRule="auto"/>
              <w:jc w:val="center"/>
              <w:rPr>
                <w:rFonts w:hint="default" w:ascii="仿宋" w:hAnsi="仿宋" w:eastAsia="仿宋"/>
                <w:b/>
                <w:bCs w:val="0"/>
                <w:color w:val="000000"/>
                <w:sz w:val="24"/>
                <w:lang w:val="en-US" w:eastAsia="zh-CN"/>
              </w:rPr>
            </w:pPr>
            <w:r>
              <w:rPr>
                <w:rFonts w:hint="eastAsia" w:ascii="仿宋" w:hAnsi="仿宋" w:eastAsia="仿宋"/>
                <w:b/>
                <w:bCs w:val="0"/>
                <w:color w:val="000000"/>
                <w:sz w:val="24"/>
                <w:lang w:val="en-US" w:eastAsia="zh-CN"/>
              </w:rPr>
              <w:t>30</w:t>
            </w:r>
          </w:p>
        </w:tc>
        <w:tc>
          <w:tcPr>
            <w:tcW w:w="1385" w:type="dxa"/>
            <w:vAlign w:val="center"/>
          </w:tcPr>
          <w:p w14:paraId="016894C7">
            <w:pPr>
              <w:snapToGrid w:val="0"/>
              <w:spacing w:line="360" w:lineRule="auto"/>
              <w:jc w:val="center"/>
              <w:rPr>
                <w:rFonts w:hint="default" w:ascii="仿宋" w:hAnsi="仿宋" w:eastAsia="仿宋"/>
                <w:b/>
                <w:bCs w:val="0"/>
                <w:color w:val="000000"/>
                <w:sz w:val="24"/>
                <w:lang w:val="en-US" w:eastAsia="zh-CN"/>
              </w:rPr>
            </w:pPr>
            <w:r>
              <w:rPr>
                <w:rFonts w:hint="eastAsia" w:ascii="仿宋" w:hAnsi="仿宋" w:eastAsia="仿宋"/>
                <w:b/>
                <w:bCs w:val="0"/>
                <w:color w:val="000000"/>
                <w:sz w:val="24"/>
                <w:lang w:val="en-US" w:eastAsia="zh-CN"/>
              </w:rPr>
              <w:t>30</w:t>
            </w:r>
          </w:p>
        </w:tc>
      </w:tr>
      <w:tr w14:paraId="0CB96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vAlign w:val="center"/>
          </w:tcPr>
          <w:p w14:paraId="47BE4989">
            <w:pPr>
              <w:snapToGrid w:val="0"/>
              <w:spacing w:line="360" w:lineRule="auto"/>
              <w:jc w:val="center"/>
              <w:rPr>
                <w:rFonts w:hint="eastAsia" w:ascii="仿宋" w:hAnsi="仿宋" w:eastAsia="仿宋"/>
                <w:sz w:val="24"/>
              </w:rPr>
            </w:pPr>
            <w:r>
              <w:rPr>
                <w:rFonts w:hint="eastAsia" w:ascii="仿宋" w:hAnsi="仿宋" w:eastAsia="仿宋"/>
                <w:b/>
                <w:color w:val="000000"/>
                <w:sz w:val="24"/>
              </w:rPr>
              <w:t>课程目标分值合计</w:t>
            </w:r>
          </w:p>
        </w:tc>
        <w:tc>
          <w:tcPr>
            <w:tcW w:w="1384" w:type="dxa"/>
            <w:shd w:val="clear" w:color="auto" w:fill="auto"/>
            <w:vAlign w:val="center"/>
          </w:tcPr>
          <w:p w14:paraId="5525F82C">
            <w:pPr>
              <w:snapToGrid w:val="0"/>
              <w:spacing w:line="360" w:lineRule="auto"/>
              <w:jc w:val="center"/>
              <w:rPr>
                <w:rFonts w:hint="default" w:ascii="仿宋" w:hAnsi="仿宋" w:eastAsia="仿宋"/>
                <w:b/>
                <w:bCs w:val="0"/>
                <w:color w:val="000000"/>
                <w:sz w:val="24"/>
                <w:lang w:val="en-US" w:eastAsia="zh-CN"/>
              </w:rPr>
            </w:pPr>
            <w:r>
              <w:rPr>
                <w:rFonts w:hint="eastAsia" w:ascii="仿宋" w:hAnsi="仿宋" w:eastAsia="仿宋"/>
                <w:b/>
                <w:bCs w:val="0"/>
                <w:sz w:val="24"/>
                <w:lang w:val="en-US" w:eastAsia="zh-CN"/>
              </w:rPr>
              <w:t>40</w:t>
            </w:r>
          </w:p>
        </w:tc>
        <w:tc>
          <w:tcPr>
            <w:tcW w:w="1384" w:type="dxa"/>
          </w:tcPr>
          <w:p w14:paraId="5484D3D3">
            <w:pPr>
              <w:snapToGrid w:val="0"/>
              <w:spacing w:line="360" w:lineRule="auto"/>
              <w:jc w:val="center"/>
              <w:rPr>
                <w:rFonts w:hint="default" w:ascii="仿宋" w:hAnsi="仿宋" w:eastAsia="仿宋"/>
                <w:b/>
                <w:bCs w:val="0"/>
                <w:sz w:val="24"/>
                <w:lang w:val="en-US" w:eastAsia="zh-CN"/>
              </w:rPr>
            </w:pPr>
            <w:r>
              <w:rPr>
                <w:rFonts w:hint="eastAsia" w:ascii="仿宋" w:hAnsi="仿宋" w:eastAsia="仿宋"/>
                <w:b/>
                <w:bCs w:val="0"/>
                <w:color w:val="000000"/>
                <w:sz w:val="24"/>
                <w:lang w:val="en-US" w:eastAsia="zh-CN"/>
              </w:rPr>
              <w:t>32</w:t>
            </w:r>
          </w:p>
        </w:tc>
        <w:tc>
          <w:tcPr>
            <w:tcW w:w="1385" w:type="dxa"/>
          </w:tcPr>
          <w:p w14:paraId="7C5D6806">
            <w:pPr>
              <w:snapToGrid w:val="0"/>
              <w:spacing w:line="360" w:lineRule="auto"/>
              <w:jc w:val="center"/>
              <w:rPr>
                <w:rFonts w:hint="default" w:ascii="仿宋" w:hAnsi="仿宋" w:eastAsia="仿宋"/>
                <w:b/>
                <w:bCs w:val="0"/>
                <w:sz w:val="24"/>
                <w:lang w:val="en-US" w:eastAsia="zh-CN"/>
              </w:rPr>
            </w:pPr>
            <w:r>
              <w:rPr>
                <w:rFonts w:hint="eastAsia" w:ascii="仿宋" w:hAnsi="仿宋" w:eastAsia="仿宋"/>
                <w:b/>
                <w:bCs w:val="0"/>
                <w:sz w:val="24"/>
                <w:lang w:val="en-US" w:eastAsia="zh-CN"/>
              </w:rPr>
              <w:t>28</w:t>
            </w:r>
          </w:p>
        </w:tc>
      </w:tr>
    </w:tbl>
    <w:p w14:paraId="0E2A69F1">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lang w:val="en-US" w:eastAsia="zh-CN"/>
        </w:rPr>
        <w:t>六</w:t>
      </w:r>
      <w:r>
        <w:rPr>
          <w:rFonts w:eastAsia="黑体"/>
          <w:color w:val="000000"/>
          <w:sz w:val="28"/>
          <w:szCs w:val="28"/>
        </w:rPr>
        <w:t>、课程</w:t>
      </w:r>
      <w:r>
        <w:rPr>
          <w:rFonts w:hint="eastAsia" w:eastAsia="黑体"/>
          <w:color w:val="000000"/>
          <w:sz w:val="28"/>
          <w:szCs w:val="28"/>
        </w:rPr>
        <w:t>目标达成度评价</w:t>
      </w:r>
    </w:p>
    <w:p w14:paraId="03951CA0">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765D55B1">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60FD385E">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694702FC">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lang w:val="en-US" w:eastAsia="zh-CN"/>
        </w:rPr>
        <w:t>七</w:t>
      </w:r>
      <w:r>
        <w:rPr>
          <w:rFonts w:eastAsia="黑体"/>
          <w:color w:val="000000"/>
          <w:sz w:val="28"/>
          <w:szCs w:val="28"/>
        </w:rPr>
        <w:t>、</w:t>
      </w:r>
      <w:r>
        <w:rPr>
          <w:rFonts w:hint="eastAsia" w:eastAsia="黑体"/>
          <w:color w:val="000000"/>
          <w:sz w:val="28"/>
          <w:szCs w:val="28"/>
        </w:rPr>
        <w:t>学习建议</w:t>
      </w:r>
    </w:p>
    <w:p w14:paraId="1166178D">
      <w:pPr>
        <w:snapToGrid w:val="0"/>
        <w:spacing w:line="300" w:lineRule="auto"/>
        <w:ind w:firstLine="480" w:firstLineChars="200"/>
        <w:rPr>
          <w:rFonts w:hint="eastAsia" w:ascii="仿宋" w:hAnsi="仿宋" w:eastAsia="仿宋"/>
          <w:color w:val="auto"/>
          <w:sz w:val="24"/>
        </w:rPr>
      </w:pPr>
      <w:r>
        <w:rPr>
          <w:rFonts w:hint="eastAsia" w:ascii="仿宋" w:hAnsi="仿宋" w:eastAsia="仿宋"/>
          <w:color w:val="auto"/>
          <w:sz w:val="24"/>
          <w:lang w:val="en-US" w:eastAsia="zh-CN"/>
        </w:rPr>
        <w:t>1.</w:t>
      </w:r>
      <w:r>
        <w:rPr>
          <w:rFonts w:hint="eastAsia" w:ascii="仿宋" w:hAnsi="仿宋" w:eastAsia="仿宋"/>
          <w:color w:val="auto"/>
          <w:sz w:val="24"/>
        </w:rPr>
        <w:t>认真听课，认真笔记，课后5-10min回顾</w:t>
      </w:r>
    </w:p>
    <w:p w14:paraId="6CFF27E9">
      <w:pPr>
        <w:snapToGrid w:val="0"/>
        <w:spacing w:line="300" w:lineRule="auto"/>
        <w:ind w:firstLine="480" w:firstLineChars="200"/>
        <w:rPr>
          <w:rFonts w:hint="eastAsia" w:ascii="仿宋" w:hAnsi="仿宋" w:eastAsia="仿宋"/>
          <w:color w:val="auto"/>
          <w:sz w:val="24"/>
        </w:rPr>
      </w:pPr>
      <w:r>
        <w:rPr>
          <w:rFonts w:hint="eastAsia" w:ascii="仿宋" w:hAnsi="仿宋" w:eastAsia="仿宋"/>
          <w:color w:val="auto"/>
          <w:sz w:val="24"/>
          <w:lang w:val="en-US" w:eastAsia="zh-CN"/>
        </w:rPr>
        <w:t>2.</w:t>
      </w:r>
      <w:r>
        <w:rPr>
          <w:rFonts w:hint="eastAsia" w:ascii="仿宋" w:hAnsi="仿宋" w:eastAsia="仿宋"/>
          <w:color w:val="auto"/>
          <w:sz w:val="24"/>
        </w:rPr>
        <w:t>以教学为指导阅读教材和参考资料</w:t>
      </w:r>
    </w:p>
    <w:p w14:paraId="0147D915">
      <w:pPr>
        <w:snapToGrid w:val="0"/>
        <w:spacing w:line="300" w:lineRule="auto"/>
        <w:ind w:firstLine="480" w:firstLineChars="200"/>
        <w:rPr>
          <w:rFonts w:hint="eastAsia" w:ascii="仿宋" w:hAnsi="仿宋" w:eastAsia="仿宋"/>
          <w:color w:val="auto"/>
          <w:sz w:val="24"/>
        </w:rPr>
      </w:pPr>
      <w:r>
        <w:rPr>
          <w:rFonts w:hint="eastAsia" w:ascii="仿宋" w:hAnsi="仿宋" w:eastAsia="仿宋"/>
          <w:color w:val="auto"/>
          <w:sz w:val="24"/>
          <w:lang w:val="en-US" w:eastAsia="zh-CN"/>
        </w:rPr>
        <w:t>3.</w:t>
      </w:r>
      <w:r>
        <w:rPr>
          <w:rFonts w:hint="eastAsia" w:ascii="仿宋" w:hAnsi="仿宋" w:eastAsia="仿宋"/>
          <w:color w:val="auto"/>
          <w:sz w:val="24"/>
        </w:rPr>
        <w:t>有疑必问，多与老师同学交流</w:t>
      </w:r>
    </w:p>
    <w:p w14:paraId="51D3B46E">
      <w:pPr>
        <w:snapToGrid w:val="0"/>
        <w:spacing w:line="300" w:lineRule="auto"/>
        <w:ind w:firstLine="480" w:firstLineChars="200"/>
        <w:rPr>
          <w:rFonts w:hint="eastAsia" w:ascii="仿宋" w:hAnsi="仿宋" w:eastAsia="仿宋"/>
          <w:color w:val="auto"/>
          <w:sz w:val="24"/>
        </w:rPr>
      </w:pPr>
      <w:r>
        <w:rPr>
          <w:rFonts w:hint="eastAsia" w:ascii="仿宋" w:hAnsi="仿宋" w:eastAsia="仿宋"/>
          <w:color w:val="auto"/>
          <w:sz w:val="24"/>
          <w:lang w:val="en-US" w:eastAsia="zh-CN"/>
        </w:rPr>
        <w:t>4.</w:t>
      </w:r>
      <w:r>
        <w:rPr>
          <w:rFonts w:hint="eastAsia" w:ascii="仿宋" w:hAnsi="仿宋" w:eastAsia="仿宋"/>
          <w:color w:val="auto"/>
          <w:sz w:val="24"/>
        </w:rPr>
        <w:t>内容掌握：由宏观及微观，</w:t>
      </w:r>
      <w:r>
        <w:rPr>
          <w:rFonts w:hint="eastAsia" w:ascii="仿宋" w:hAnsi="仿宋" w:eastAsia="仿宋"/>
          <w:color w:val="auto"/>
          <w:sz w:val="24"/>
          <w:lang w:val="en-US" w:eastAsia="zh-CN"/>
        </w:rPr>
        <w:t>注意</w:t>
      </w:r>
      <w:r>
        <w:rPr>
          <w:rFonts w:hint="eastAsia" w:ascii="仿宋" w:hAnsi="仿宋" w:eastAsia="仿宋"/>
          <w:color w:val="auto"/>
          <w:sz w:val="24"/>
        </w:rPr>
        <w:t>框架逻辑、时间线索与细节知识点</w:t>
      </w:r>
    </w:p>
    <w:bookmarkEnd w:id="1"/>
    <w:p w14:paraId="61C9F348">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lang w:val="en-US" w:eastAsia="zh-CN"/>
        </w:rPr>
        <w:t>八</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461E9853">
      <w:pPr>
        <w:spacing w:line="360" w:lineRule="auto"/>
        <w:ind w:firstLine="482" w:firstLineChars="200"/>
        <w:rPr>
          <w:rFonts w:hint="eastAsia" w:eastAsia="仿宋"/>
          <w:b/>
          <w:color w:val="000000"/>
          <w:sz w:val="24"/>
        </w:rPr>
      </w:pPr>
      <w:r>
        <w:rPr>
          <w:rFonts w:eastAsia="仿宋"/>
          <w:b/>
          <w:color w:val="000000"/>
          <w:sz w:val="24"/>
        </w:rPr>
        <w:t>1．教材</w:t>
      </w:r>
    </w:p>
    <w:tbl>
      <w:tblPr>
        <w:tblStyle w:val="9"/>
        <w:tblW w:w="0" w:type="auto"/>
        <w:tblInd w:w="0" w:type="dxa"/>
        <w:tblLayout w:type="autofit"/>
        <w:tblCellMar>
          <w:top w:w="0" w:type="dxa"/>
          <w:left w:w="108" w:type="dxa"/>
          <w:bottom w:w="0" w:type="dxa"/>
          <w:right w:w="108" w:type="dxa"/>
        </w:tblCellMar>
      </w:tblPr>
      <w:tblGrid>
        <w:gridCol w:w="1084"/>
        <w:gridCol w:w="967"/>
        <w:gridCol w:w="1185"/>
        <w:gridCol w:w="1516"/>
        <w:gridCol w:w="938"/>
        <w:gridCol w:w="1581"/>
        <w:gridCol w:w="1251"/>
      </w:tblGrid>
      <w:tr w14:paraId="029592C9">
        <w:tblPrEx>
          <w:tblCellMar>
            <w:top w:w="0" w:type="dxa"/>
            <w:left w:w="108" w:type="dxa"/>
            <w:bottom w:w="0" w:type="dxa"/>
            <w:right w:w="108" w:type="dxa"/>
          </w:tblCellMar>
        </w:tblPrEx>
        <w:trPr>
          <w:trHeight w:val="555" w:hRule="atLeast"/>
        </w:trPr>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9332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C9270">
            <w:pPr>
              <w:widowControl/>
              <w:jc w:val="center"/>
              <w:textAlignment w:val="center"/>
              <w:rPr>
                <w:rFonts w:hint="eastAsia" w:ascii="宋体" w:hAnsi="宋体" w:cs="宋体"/>
                <w:b/>
                <w:bCs/>
                <w:color w:val="000000"/>
                <w:sz w:val="20"/>
                <w:szCs w:val="20"/>
              </w:rPr>
            </w:pPr>
            <w:r>
              <w:rPr>
                <w:rStyle w:val="23"/>
                <w:rFonts w:hint="default"/>
                <w:lang w:bidi="ar"/>
              </w:rPr>
              <w:t>版次</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6E8FF">
            <w:pPr>
              <w:widowControl/>
              <w:jc w:val="center"/>
              <w:textAlignment w:val="center"/>
              <w:rPr>
                <w:rFonts w:hint="eastAsia" w:ascii="宋体" w:hAnsi="宋体" w:cs="宋体"/>
                <w:b/>
                <w:bCs/>
                <w:color w:val="000000"/>
                <w:sz w:val="20"/>
                <w:szCs w:val="20"/>
              </w:rPr>
            </w:pPr>
            <w:r>
              <w:rPr>
                <w:rStyle w:val="25"/>
                <w:rFonts w:hint="default"/>
                <w:lang w:bidi="ar"/>
              </w:rPr>
              <w:t>印次</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2AB7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07CF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94E6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B60A9">
            <w:pPr>
              <w:widowControl/>
              <w:jc w:val="center"/>
              <w:textAlignment w:val="center"/>
              <w:rPr>
                <w:rFonts w:hint="eastAsia" w:ascii="宋体" w:hAnsi="宋体" w:cs="宋体"/>
                <w:b/>
                <w:bCs/>
                <w:color w:val="000000"/>
                <w:sz w:val="20"/>
                <w:szCs w:val="20"/>
              </w:rPr>
            </w:pPr>
            <w:r>
              <w:rPr>
                <w:rStyle w:val="25"/>
                <w:rFonts w:hint="default"/>
                <w:lang w:bidi="ar"/>
              </w:rPr>
              <w:t>教材级别</w:t>
            </w:r>
          </w:p>
        </w:tc>
      </w:tr>
      <w:tr w14:paraId="5B6D18CC">
        <w:tblPrEx>
          <w:tblCellMar>
            <w:top w:w="0" w:type="dxa"/>
            <w:left w:w="108" w:type="dxa"/>
            <w:bottom w:w="0" w:type="dxa"/>
            <w:right w:w="108" w:type="dxa"/>
          </w:tblCellMar>
        </w:tblPrEx>
        <w:trPr>
          <w:trHeight w:val="495" w:hRule="atLeast"/>
        </w:trPr>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82D56">
            <w:pPr>
              <w:widowControl/>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val="en-GB" w:bidi="ar"/>
              </w:rPr>
              <w:t>《大问题：简明哲学导论》</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26D6B">
            <w:pPr>
              <w:widowControl/>
              <w:jc w:val="center"/>
              <w:textAlignment w:val="center"/>
              <w:rPr>
                <w:rFonts w:hint="eastAsia" w:ascii="仿宋" w:hAnsi="仿宋" w:eastAsia="仿宋" w:cs="仿宋"/>
                <w:color w:val="000000"/>
                <w:sz w:val="20"/>
                <w:szCs w:val="20"/>
              </w:rPr>
            </w:pPr>
            <w:r>
              <w:rPr>
                <w:rFonts w:hint="eastAsia" w:ascii="仿宋" w:hAnsi="仿宋" w:eastAsia="仿宋" w:cs="仿宋"/>
              </w:rPr>
              <w:t>20</w:t>
            </w:r>
            <w:r>
              <w:rPr>
                <w:rFonts w:hint="eastAsia" w:ascii="仿宋" w:hAnsi="仿宋" w:eastAsia="仿宋" w:cs="仿宋"/>
                <w:lang w:val="en-US" w:eastAsia="zh-CN"/>
              </w:rPr>
              <w:t>18</w:t>
            </w:r>
            <w:r>
              <w:rPr>
                <w:rFonts w:hint="eastAsia" w:ascii="仿宋" w:hAnsi="仿宋" w:eastAsia="仿宋" w:cs="仿宋"/>
              </w:rPr>
              <w:t>年</w:t>
            </w:r>
            <w:r>
              <w:rPr>
                <w:rFonts w:hint="eastAsia" w:ascii="仿宋" w:hAnsi="仿宋" w:eastAsia="仿宋" w:cs="仿宋"/>
                <w:lang w:val="en-US" w:eastAsia="zh-CN"/>
              </w:rPr>
              <w:t>7</w:t>
            </w:r>
            <w:r>
              <w:rPr>
                <w:rFonts w:hint="eastAsia" w:ascii="仿宋" w:hAnsi="仿宋" w:eastAsia="仿宋" w:cs="仿宋"/>
              </w:rPr>
              <w:t>月第</w:t>
            </w:r>
            <w:r>
              <w:rPr>
                <w:rFonts w:hint="eastAsia" w:ascii="仿宋" w:hAnsi="仿宋" w:eastAsia="仿宋" w:cs="仿宋"/>
                <w:lang w:val="en-US" w:eastAsia="zh-CN"/>
              </w:rPr>
              <w:t>1</w:t>
            </w:r>
            <w:r>
              <w:rPr>
                <w:rFonts w:hint="eastAsia" w:ascii="仿宋" w:hAnsi="仿宋" w:eastAsia="仿宋" w:cs="仿宋"/>
              </w:rPr>
              <w:t>版</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82135">
            <w:pPr>
              <w:widowControl/>
              <w:jc w:val="center"/>
              <w:textAlignment w:val="center"/>
              <w:rPr>
                <w:rFonts w:hint="eastAsia" w:ascii="仿宋" w:hAnsi="仿宋" w:eastAsia="仿宋" w:cs="仿宋"/>
                <w:color w:val="000000"/>
                <w:sz w:val="20"/>
                <w:szCs w:val="20"/>
                <w:lang w:val="en-US" w:eastAsia="zh-CN"/>
              </w:rPr>
            </w:pPr>
            <w:r>
              <w:rPr>
                <w:rFonts w:hint="eastAsia" w:ascii="仿宋" w:hAnsi="仿宋" w:eastAsia="仿宋" w:cs="仿宋"/>
              </w:rPr>
              <w:t>20</w:t>
            </w:r>
            <w:r>
              <w:rPr>
                <w:rFonts w:hint="eastAsia" w:ascii="仿宋" w:hAnsi="仿宋" w:eastAsia="仿宋" w:cs="仿宋"/>
                <w:lang w:val="en-US" w:eastAsia="zh-CN"/>
              </w:rPr>
              <w:t>19</w:t>
            </w:r>
            <w:r>
              <w:rPr>
                <w:rFonts w:hint="eastAsia" w:ascii="仿宋" w:hAnsi="仿宋" w:eastAsia="仿宋" w:cs="仿宋"/>
              </w:rPr>
              <w:t>年</w:t>
            </w:r>
            <w:r>
              <w:rPr>
                <w:rFonts w:hint="eastAsia" w:ascii="仿宋" w:hAnsi="仿宋" w:eastAsia="仿宋" w:cs="仿宋"/>
                <w:lang w:val="en-US" w:eastAsia="zh-CN"/>
              </w:rPr>
              <w:t>7</w:t>
            </w:r>
            <w:r>
              <w:rPr>
                <w:rFonts w:hint="eastAsia" w:ascii="仿宋" w:hAnsi="仿宋" w:eastAsia="仿宋" w:cs="仿宋"/>
              </w:rPr>
              <w:t>月第</w:t>
            </w:r>
            <w:r>
              <w:rPr>
                <w:rFonts w:hint="eastAsia" w:ascii="仿宋" w:hAnsi="仿宋" w:eastAsia="仿宋" w:cs="仿宋"/>
                <w:lang w:val="en-US" w:eastAsia="zh-CN"/>
              </w:rPr>
              <w:t>1次印刷</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526E0">
            <w:pPr>
              <w:widowControl/>
              <w:jc w:val="center"/>
              <w:textAlignment w:val="center"/>
              <w:rPr>
                <w:rFonts w:hint="eastAsia" w:ascii="仿宋" w:hAnsi="仿宋" w:eastAsia="仿宋" w:cs="仿宋"/>
                <w:color w:val="000000"/>
                <w:sz w:val="20"/>
                <w:szCs w:val="20"/>
                <w:lang w:eastAsia="zh-CN"/>
              </w:rPr>
            </w:pPr>
            <w:r>
              <w:rPr>
                <w:rFonts w:hint="eastAsia" w:ascii="仿宋" w:hAnsi="仿宋" w:eastAsia="仿宋" w:cs="仿宋"/>
                <w:color w:val="000000"/>
                <w:kern w:val="0"/>
                <w:sz w:val="20"/>
                <w:szCs w:val="20"/>
                <w:lang w:val="en-US" w:eastAsia="zh-CN" w:bidi="ar"/>
              </w:rPr>
              <w:t>[美]罗伯特·所罗门（Robert C.Solomon），[美] 凯思林·希金斯（Kathleen M.Higgins）</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0951B">
            <w:pPr>
              <w:widowControl/>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val="en-US" w:eastAsia="zh-CN" w:bidi="ar"/>
              </w:rPr>
              <w:t>清华大学</w:t>
            </w:r>
            <w:r>
              <w:rPr>
                <w:rFonts w:hint="eastAsia" w:ascii="仿宋" w:hAnsi="仿宋" w:eastAsia="仿宋" w:cs="仿宋"/>
                <w:color w:val="000000"/>
                <w:kern w:val="0"/>
                <w:sz w:val="20"/>
                <w:szCs w:val="20"/>
                <w:lang w:bidi="ar"/>
              </w:rPr>
              <w:t>出版社</w:t>
            </w:r>
          </w:p>
        </w:tc>
        <w:tc>
          <w:tcPr>
            <w:tcW w:w="1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8DB24">
            <w:pPr>
              <w:widowControl/>
              <w:jc w:val="center"/>
              <w:textAlignment w:val="center"/>
              <w:rPr>
                <w:rFonts w:hint="eastAsia" w:ascii="仿宋" w:hAnsi="仿宋" w:eastAsia="仿宋" w:cs="仿宋"/>
                <w:color w:val="000000"/>
                <w:sz w:val="20"/>
                <w:szCs w:val="20"/>
                <w:lang w:val="en-US" w:eastAsia="zh-CN"/>
              </w:rPr>
            </w:pPr>
            <w:r>
              <w:rPr>
                <w:rFonts w:hint="eastAsia" w:ascii="仿宋" w:hAnsi="仿宋" w:eastAsia="仿宋" w:cs="仿宋"/>
              </w:rPr>
              <w:t>9787302498872</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7AD50">
            <w:pPr>
              <w:widowControl/>
              <w:jc w:val="center"/>
              <w:textAlignment w:val="center"/>
              <w:rPr>
                <w:rFonts w:hint="eastAsia" w:ascii="仿宋" w:hAnsi="仿宋" w:eastAsia="仿宋" w:cs="仿宋"/>
                <w:color w:val="000000"/>
                <w:sz w:val="20"/>
                <w:szCs w:val="20"/>
                <w:lang w:val="en-US" w:eastAsia="zh-CN"/>
              </w:rPr>
            </w:pPr>
          </w:p>
        </w:tc>
      </w:tr>
    </w:tbl>
    <w:p w14:paraId="74360830">
      <w:pPr>
        <w:spacing w:line="360" w:lineRule="auto"/>
        <w:ind w:firstLine="482" w:firstLineChars="200"/>
        <w:rPr>
          <w:rFonts w:hint="eastAsia" w:eastAsia="仿宋"/>
          <w:b/>
          <w:color w:val="000000"/>
          <w:sz w:val="24"/>
        </w:rPr>
      </w:pPr>
      <w:r>
        <w:rPr>
          <w:rFonts w:eastAsia="仿宋"/>
          <w:b/>
          <w:color w:val="000000"/>
          <w:sz w:val="24"/>
        </w:rPr>
        <w:t>2．主要参考</w:t>
      </w:r>
      <w:r>
        <w:rPr>
          <w:rFonts w:hint="eastAsia" w:eastAsia="仿宋"/>
          <w:b/>
          <w:color w:val="000000"/>
          <w:sz w:val="24"/>
        </w:rPr>
        <w:t>书目</w:t>
      </w:r>
    </w:p>
    <w:tbl>
      <w:tblPr>
        <w:tblStyle w:val="9"/>
        <w:tblW w:w="0" w:type="auto"/>
        <w:tblInd w:w="0" w:type="dxa"/>
        <w:tblLayout w:type="fixed"/>
        <w:tblCellMar>
          <w:top w:w="0" w:type="dxa"/>
          <w:left w:w="108" w:type="dxa"/>
          <w:bottom w:w="0" w:type="dxa"/>
          <w:right w:w="108" w:type="dxa"/>
        </w:tblCellMar>
      </w:tblPr>
      <w:tblGrid>
        <w:gridCol w:w="417"/>
        <w:gridCol w:w="974"/>
        <w:gridCol w:w="958"/>
        <w:gridCol w:w="1059"/>
        <w:gridCol w:w="819"/>
        <w:gridCol w:w="946"/>
        <w:gridCol w:w="1391"/>
        <w:gridCol w:w="1958"/>
      </w:tblGrid>
      <w:tr w14:paraId="55796130">
        <w:tblPrEx>
          <w:tblCellMar>
            <w:top w:w="0" w:type="dxa"/>
            <w:left w:w="108" w:type="dxa"/>
            <w:bottom w:w="0" w:type="dxa"/>
            <w:right w:w="108" w:type="dxa"/>
          </w:tblCellMar>
        </w:tblPrEx>
        <w:trPr>
          <w:trHeight w:val="55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EF3B6">
            <w:pPr>
              <w:widowControl/>
              <w:jc w:val="center"/>
              <w:textAlignment w:val="center"/>
              <w:rPr>
                <w:rFonts w:ascii="宋体" w:hAnsi="宋体" w:cs="宋体"/>
                <w:b/>
                <w:bCs/>
                <w:color w:val="auto"/>
                <w:kern w:val="0"/>
                <w:sz w:val="20"/>
                <w:szCs w:val="20"/>
                <w:lang w:bidi="ar"/>
              </w:rPr>
            </w:pPr>
            <w:r>
              <w:rPr>
                <w:rFonts w:hint="eastAsia" w:ascii="宋体" w:hAnsi="宋体" w:cs="宋体"/>
                <w:b/>
                <w:bCs/>
                <w:color w:val="auto"/>
                <w:kern w:val="0"/>
                <w:sz w:val="20"/>
                <w:szCs w:val="20"/>
                <w:lang w:bidi="ar"/>
              </w:rPr>
              <w:t>序号</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EA404">
            <w:pPr>
              <w:widowControl/>
              <w:jc w:val="center"/>
              <w:textAlignment w:val="center"/>
              <w:rPr>
                <w:rFonts w:hint="eastAsia" w:ascii="宋体" w:hAnsi="宋体" w:cs="宋体"/>
                <w:b/>
                <w:bCs/>
                <w:color w:val="auto"/>
                <w:kern w:val="0"/>
                <w:sz w:val="20"/>
                <w:szCs w:val="20"/>
                <w:lang w:bidi="ar"/>
              </w:rPr>
            </w:pPr>
            <w:r>
              <w:rPr>
                <w:rFonts w:hint="eastAsia" w:ascii="宋体" w:hAnsi="宋体" w:cs="宋体"/>
                <w:b/>
                <w:bCs/>
                <w:color w:val="auto"/>
                <w:kern w:val="0"/>
                <w:sz w:val="20"/>
                <w:szCs w:val="20"/>
                <w:lang w:bidi="ar"/>
              </w:rPr>
              <w:t>教材</w:t>
            </w:r>
          </w:p>
          <w:p w14:paraId="321BA23E">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名称</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EAA25">
            <w:pPr>
              <w:widowControl/>
              <w:jc w:val="center"/>
              <w:textAlignment w:val="center"/>
              <w:rPr>
                <w:rFonts w:hint="eastAsia" w:ascii="宋体" w:hAnsi="宋体" w:cs="宋体"/>
                <w:b/>
                <w:bCs/>
                <w:color w:val="auto"/>
                <w:sz w:val="20"/>
                <w:szCs w:val="20"/>
              </w:rPr>
            </w:pPr>
            <w:r>
              <w:rPr>
                <w:rStyle w:val="23"/>
                <w:rFonts w:hint="default"/>
                <w:color w:val="auto"/>
                <w:lang w:bidi="ar"/>
              </w:rPr>
              <w:t>版次</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B1DBA">
            <w:pPr>
              <w:widowControl/>
              <w:jc w:val="center"/>
              <w:textAlignment w:val="center"/>
              <w:rPr>
                <w:rFonts w:hint="eastAsia" w:ascii="宋体" w:hAnsi="宋体" w:cs="宋体"/>
                <w:b/>
                <w:bCs/>
                <w:color w:val="auto"/>
                <w:sz w:val="20"/>
                <w:szCs w:val="20"/>
              </w:rPr>
            </w:pPr>
            <w:r>
              <w:rPr>
                <w:rStyle w:val="25"/>
                <w:rFonts w:hint="default"/>
                <w:color w:val="auto"/>
                <w:lang w:bidi="ar"/>
              </w:rPr>
              <w:t>印次</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16628">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作者</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DF5D9">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出版社</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9F18F">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书号（ISBN）</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47869">
            <w:pPr>
              <w:widowControl/>
              <w:jc w:val="center"/>
              <w:textAlignment w:val="center"/>
              <w:rPr>
                <w:rFonts w:hint="eastAsia" w:ascii="宋体" w:hAnsi="宋体" w:cs="宋体"/>
                <w:b/>
                <w:bCs/>
                <w:color w:val="auto"/>
                <w:sz w:val="20"/>
                <w:szCs w:val="20"/>
              </w:rPr>
            </w:pPr>
            <w:r>
              <w:rPr>
                <w:rStyle w:val="25"/>
                <w:rFonts w:hint="default"/>
                <w:color w:val="auto"/>
                <w:lang w:bidi="ar"/>
              </w:rPr>
              <w:t>教材级别</w:t>
            </w:r>
          </w:p>
        </w:tc>
      </w:tr>
      <w:tr w14:paraId="55A5850A">
        <w:tblPrEx>
          <w:tblCellMar>
            <w:top w:w="0" w:type="dxa"/>
            <w:left w:w="108" w:type="dxa"/>
            <w:bottom w:w="0" w:type="dxa"/>
            <w:right w:w="108" w:type="dxa"/>
          </w:tblCellMar>
        </w:tblPrEx>
        <w:trPr>
          <w:trHeight w:val="49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DD315">
            <w:pPr>
              <w:widowControl/>
              <w:jc w:val="center"/>
              <w:textAlignment w:val="center"/>
              <w:rPr>
                <w:rFonts w:hint="eastAsia" w:ascii="仿宋" w:hAnsi="仿宋" w:eastAsia="仿宋" w:cs="仿宋"/>
                <w:color w:val="auto"/>
                <w:kern w:val="0"/>
                <w:sz w:val="20"/>
                <w:szCs w:val="20"/>
                <w:lang w:val="en-GB" w:bidi="ar"/>
              </w:rPr>
            </w:pPr>
            <w:r>
              <w:rPr>
                <w:rFonts w:hint="eastAsia" w:ascii="仿宋" w:hAnsi="仿宋" w:eastAsia="仿宋" w:cs="仿宋"/>
                <w:color w:val="auto"/>
                <w:kern w:val="0"/>
                <w:sz w:val="20"/>
                <w:szCs w:val="20"/>
                <w:lang w:val="en-GB" w:bidi="ar"/>
              </w:rPr>
              <w:t>1</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7A12A">
            <w:pPr>
              <w:widowControl/>
              <w:jc w:val="center"/>
              <w:textAlignment w:val="center"/>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哲学</w:t>
            </w:r>
          </w:p>
          <w:p w14:paraId="7B076E1A">
            <w:pPr>
              <w:widowControl/>
              <w:jc w:val="center"/>
              <w:textAlignment w:val="center"/>
              <w:rPr>
                <w:rFonts w:hint="eastAsia" w:ascii="仿宋" w:hAnsi="仿宋" w:eastAsia="仿宋" w:cs="仿宋"/>
                <w:color w:val="auto"/>
                <w:kern w:val="0"/>
                <w:sz w:val="20"/>
                <w:szCs w:val="20"/>
                <w:lang w:val="en-US" w:bidi="ar"/>
              </w:rPr>
            </w:pPr>
            <w:r>
              <w:rPr>
                <w:rFonts w:hint="eastAsia" w:ascii="仿宋" w:hAnsi="仿宋" w:eastAsia="仿宋" w:cs="仿宋"/>
                <w:color w:val="auto"/>
                <w:kern w:val="0"/>
                <w:sz w:val="20"/>
                <w:szCs w:val="20"/>
                <w:lang w:val="en-US" w:eastAsia="zh-CN" w:bidi="ar"/>
              </w:rPr>
              <w:t>导论</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7EC3A">
            <w:pPr>
              <w:widowControl/>
              <w:jc w:val="center"/>
              <w:textAlignment w:val="center"/>
              <w:rPr>
                <w:rFonts w:hint="eastAsia" w:ascii="仿宋" w:hAnsi="仿宋" w:eastAsia="仿宋" w:cs="仿宋"/>
                <w:color w:val="000000"/>
                <w:kern w:val="0"/>
                <w:sz w:val="20"/>
                <w:szCs w:val="20"/>
                <w:lang w:val="en-GB" w:eastAsia="zh-CN" w:bidi="ar"/>
              </w:rPr>
            </w:pPr>
            <w:r>
              <w:rPr>
                <w:rFonts w:hint="eastAsia" w:ascii="仿宋" w:hAnsi="仿宋" w:eastAsia="仿宋" w:cs="仿宋"/>
                <w:color w:val="000000"/>
                <w:kern w:val="0"/>
                <w:sz w:val="20"/>
                <w:szCs w:val="20"/>
                <w:lang w:val="en-GB" w:eastAsia="zh-CN" w:bidi="ar"/>
              </w:rPr>
              <w:t>20</w:t>
            </w:r>
            <w:r>
              <w:rPr>
                <w:rFonts w:hint="eastAsia" w:ascii="仿宋" w:hAnsi="仿宋" w:eastAsia="仿宋" w:cs="仿宋"/>
                <w:color w:val="000000"/>
                <w:kern w:val="0"/>
                <w:sz w:val="20"/>
                <w:szCs w:val="20"/>
                <w:lang w:val="en-US" w:eastAsia="zh-CN" w:bidi="ar"/>
              </w:rPr>
              <w:t>21</w:t>
            </w:r>
            <w:r>
              <w:rPr>
                <w:rFonts w:hint="eastAsia" w:ascii="仿宋" w:hAnsi="仿宋" w:eastAsia="仿宋" w:cs="仿宋"/>
                <w:color w:val="000000"/>
                <w:kern w:val="0"/>
                <w:sz w:val="20"/>
                <w:szCs w:val="20"/>
                <w:lang w:val="en-GB" w:eastAsia="zh-CN" w:bidi="ar"/>
              </w:rPr>
              <w:t>年</w:t>
            </w:r>
            <w:r>
              <w:rPr>
                <w:rFonts w:hint="eastAsia" w:ascii="仿宋" w:hAnsi="仿宋" w:eastAsia="仿宋" w:cs="仿宋"/>
                <w:color w:val="000000"/>
                <w:kern w:val="0"/>
                <w:sz w:val="20"/>
                <w:szCs w:val="20"/>
                <w:lang w:val="en-US" w:eastAsia="zh-CN" w:bidi="ar"/>
              </w:rPr>
              <w:t>5</w:t>
            </w:r>
            <w:r>
              <w:rPr>
                <w:rFonts w:hint="eastAsia" w:ascii="仿宋" w:hAnsi="仿宋" w:eastAsia="仿宋" w:cs="仿宋"/>
                <w:color w:val="000000"/>
                <w:kern w:val="0"/>
                <w:sz w:val="20"/>
                <w:szCs w:val="20"/>
                <w:lang w:val="en-GB" w:eastAsia="zh-CN" w:bidi="ar"/>
              </w:rPr>
              <w:t>月第1版</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42574">
            <w:pPr>
              <w:widowControl/>
              <w:jc w:val="center"/>
              <w:textAlignment w:val="center"/>
              <w:rPr>
                <w:rFonts w:hint="eastAsia" w:ascii="仿宋" w:hAnsi="仿宋" w:eastAsia="仿宋" w:cs="仿宋"/>
                <w:color w:val="000000"/>
                <w:kern w:val="0"/>
                <w:sz w:val="20"/>
                <w:szCs w:val="20"/>
                <w:lang w:val="en-GB" w:eastAsia="zh-CN" w:bidi="ar"/>
              </w:rPr>
            </w:pPr>
            <w:r>
              <w:rPr>
                <w:rFonts w:hint="eastAsia" w:ascii="仿宋" w:hAnsi="仿宋" w:eastAsia="仿宋" w:cs="仿宋"/>
                <w:color w:val="000000"/>
                <w:kern w:val="0"/>
                <w:sz w:val="20"/>
                <w:szCs w:val="20"/>
                <w:lang w:val="en-GB" w:eastAsia="zh-CN" w:bidi="ar"/>
              </w:rPr>
              <w:t>20</w:t>
            </w:r>
            <w:r>
              <w:rPr>
                <w:rFonts w:hint="eastAsia" w:ascii="仿宋" w:hAnsi="仿宋" w:eastAsia="仿宋" w:cs="仿宋"/>
                <w:color w:val="000000"/>
                <w:kern w:val="0"/>
                <w:sz w:val="20"/>
                <w:szCs w:val="20"/>
                <w:lang w:val="en-US" w:eastAsia="zh-CN" w:bidi="ar"/>
              </w:rPr>
              <w:t>21</w:t>
            </w:r>
            <w:r>
              <w:rPr>
                <w:rFonts w:hint="eastAsia" w:ascii="仿宋" w:hAnsi="仿宋" w:eastAsia="仿宋" w:cs="仿宋"/>
                <w:color w:val="000000"/>
                <w:kern w:val="0"/>
                <w:sz w:val="20"/>
                <w:szCs w:val="20"/>
                <w:lang w:val="en-GB" w:eastAsia="zh-CN" w:bidi="ar"/>
              </w:rPr>
              <w:t>年</w:t>
            </w:r>
            <w:r>
              <w:rPr>
                <w:rFonts w:hint="eastAsia" w:ascii="仿宋" w:hAnsi="仿宋" w:eastAsia="仿宋" w:cs="仿宋"/>
                <w:color w:val="000000"/>
                <w:kern w:val="0"/>
                <w:sz w:val="20"/>
                <w:szCs w:val="20"/>
                <w:lang w:val="en-US" w:eastAsia="zh-CN" w:bidi="ar"/>
              </w:rPr>
              <w:t>5</w:t>
            </w:r>
            <w:r>
              <w:rPr>
                <w:rFonts w:hint="eastAsia" w:ascii="仿宋" w:hAnsi="仿宋" w:eastAsia="仿宋" w:cs="仿宋"/>
                <w:color w:val="000000"/>
                <w:kern w:val="0"/>
                <w:sz w:val="20"/>
                <w:szCs w:val="20"/>
                <w:lang w:val="en-GB" w:eastAsia="zh-CN" w:bidi="ar"/>
              </w:rPr>
              <w:t>月第</w:t>
            </w:r>
            <w:r>
              <w:rPr>
                <w:rFonts w:hint="eastAsia" w:ascii="仿宋" w:hAnsi="仿宋" w:eastAsia="仿宋" w:cs="仿宋"/>
                <w:color w:val="000000"/>
                <w:kern w:val="0"/>
                <w:sz w:val="20"/>
                <w:szCs w:val="20"/>
                <w:lang w:val="en-US" w:eastAsia="zh-CN" w:bidi="ar"/>
              </w:rPr>
              <w:t>11</w:t>
            </w:r>
            <w:r>
              <w:rPr>
                <w:rFonts w:hint="eastAsia" w:ascii="仿宋" w:hAnsi="仿宋" w:eastAsia="仿宋" w:cs="仿宋"/>
                <w:color w:val="000000"/>
                <w:kern w:val="0"/>
                <w:sz w:val="20"/>
                <w:szCs w:val="20"/>
                <w:lang w:val="en-GB" w:eastAsia="zh-CN" w:bidi="ar"/>
              </w:rPr>
              <w:t>次印刷</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9B64D">
            <w:pPr>
              <w:widowControl/>
              <w:jc w:val="center"/>
              <w:textAlignment w:val="center"/>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GB" w:eastAsia="zh-CN" w:bidi="ar"/>
              </w:rPr>
              <w:t>王德峰</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CC01D">
            <w:pPr>
              <w:widowControl/>
              <w:jc w:val="center"/>
              <w:textAlignment w:val="center"/>
              <w:rPr>
                <w:rFonts w:hint="eastAsia" w:ascii="仿宋" w:hAnsi="仿宋" w:eastAsia="仿宋" w:cs="仿宋"/>
                <w:color w:val="000000"/>
                <w:kern w:val="0"/>
                <w:sz w:val="20"/>
                <w:szCs w:val="20"/>
                <w:lang w:val="en-GB" w:eastAsia="zh-CN" w:bidi="ar"/>
              </w:rPr>
            </w:pPr>
            <w:r>
              <w:rPr>
                <w:rFonts w:hint="eastAsia" w:ascii="仿宋" w:hAnsi="仿宋" w:eastAsia="仿宋" w:cs="仿宋"/>
                <w:color w:val="000000"/>
                <w:kern w:val="0"/>
                <w:sz w:val="20"/>
                <w:szCs w:val="20"/>
                <w:lang w:val="en-US" w:eastAsia="zh-CN" w:bidi="ar"/>
              </w:rPr>
              <w:t>复旦大学出版社</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9792C">
            <w:pPr>
              <w:widowControl/>
              <w:jc w:val="center"/>
              <w:textAlignment w:val="center"/>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9787309104127</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47642">
            <w:pPr>
              <w:widowControl/>
              <w:jc w:val="center"/>
              <w:textAlignment w:val="center"/>
              <w:rPr>
                <w:rFonts w:hint="default"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21世纪大学文科教材 复旦博学·哲学系列</w:t>
            </w:r>
          </w:p>
        </w:tc>
      </w:tr>
      <w:tr w14:paraId="3D8A97E0">
        <w:tblPrEx>
          <w:tblCellMar>
            <w:top w:w="0" w:type="dxa"/>
            <w:left w:w="108" w:type="dxa"/>
            <w:bottom w:w="0" w:type="dxa"/>
            <w:right w:w="108" w:type="dxa"/>
          </w:tblCellMar>
        </w:tblPrEx>
        <w:trPr>
          <w:trHeight w:val="49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6B00A">
            <w:pPr>
              <w:widowControl/>
              <w:jc w:val="center"/>
              <w:textAlignment w:val="center"/>
              <w:rPr>
                <w:rFonts w:hint="eastAsia" w:ascii="仿宋" w:hAnsi="仿宋" w:eastAsia="仿宋" w:cs="仿宋"/>
                <w:color w:val="auto"/>
                <w:kern w:val="0"/>
                <w:sz w:val="20"/>
                <w:szCs w:val="20"/>
                <w:lang w:val="en-GB" w:bidi="ar"/>
              </w:rPr>
            </w:pPr>
            <w:r>
              <w:rPr>
                <w:rFonts w:hint="eastAsia" w:ascii="仿宋" w:hAnsi="仿宋" w:eastAsia="仿宋" w:cs="仿宋"/>
                <w:color w:val="auto"/>
                <w:kern w:val="0"/>
                <w:sz w:val="20"/>
                <w:szCs w:val="20"/>
                <w:lang w:val="en-GB" w:bidi="ar"/>
              </w:rPr>
              <w:t>2</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A4262">
            <w:pPr>
              <w:widowControl/>
              <w:jc w:val="center"/>
              <w:textAlignment w:val="center"/>
              <w:rPr>
                <w:rFonts w:hint="eastAsia" w:ascii="仿宋" w:hAnsi="仿宋" w:eastAsia="仿宋" w:cs="仿宋"/>
                <w:color w:val="auto"/>
                <w:kern w:val="0"/>
                <w:sz w:val="20"/>
                <w:szCs w:val="20"/>
                <w:lang w:val="en-US" w:eastAsia="zh-CN" w:bidi="ar"/>
              </w:rPr>
            </w:pPr>
            <w:r>
              <w:rPr>
                <w:rFonts w:hint="eastAsia" w:ascii="仿宋" w:hAnsi="仿宋" w:eastAsia="仿宋" w:cs="仿宋"/>
                <w:color w:val="auto"/>
                <w:kern w:val="0"/>
                <w:sz w:val="20"/>
                <w:szCs w:val="20"/>
                <w:lang w:val="en-US" w:eastAsia="zh-CN" w:bidi="ar"/>
              </w:rPr>
              <w:t>简明哲学通论</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EE21E">
            <w:pPr>
              <w:widowControl/>
              <w:jc w:val="center"/>
              <w:textAlignment w:val="center"/>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GB" w:eastAsia="zh-CN" w:bidi="ar"/>
              </w:rPr>
              <w:t>20</w:t>
            </w:r>
            <w:r>
              <w:rPr>
                <w:rFonts w:hint="eastAsia" w:ascii="仿宋" w:hAnsi="仿宋" w:eastAsia="仿宋" w:cs="仿宋"/>
                <w:color w:val="000000"/>
                <w:kern w:val="0"/>
                <w:sz w:val="20"/>
                <w:szCs w:val="20"/>
                <w:lang w:val="en-US" w:eastAsia="zh-CN" w:bidi="ar"/>
              </w:rPr>
              <w:t>00</w:t>
            </w:r>
            <w:r>
              <w:rPr>
                <w:rFonts w:hint="eastAsia" w:ascii="仿宋" w:hAnsi="仿宋" w:eastAsia="仿宋" w:cs="仿宋"/>
                <w:color w:val="000000"/>
                <w:kern w:val="0"/>
                <w:sz w:val="20"/>
                <w:szCs w:val="20"/>
                <w:lang w:val="en-GB" w:eastAsia="zh-CN" w:bidi="ar"/>
              </w:rPr>
              <w:t>年</w:t>
            </w:r>
            <w:r>
              <w:rPr>
                <w:rFonts w:hint="eastAsia" w:ascii="仿宋" w:hAnsi="仿宋" w:eastAsia="仿宋" w:cs="仿宋"/>
                <w:color w:val="000000"/>
                <w:kern w:val="0"/>
                <w:sz w:val="20"/>
                <w:szCs w:val="20"/>
                <w:lang w:val="en-US" w:eastAsia="zh-CN" w:bidi="ar"/>
              </w:rPr>
              <w:t>7</w:t>
            </w:r>
            <w:r>
              <w:rPr>
                <w:rFonts w:hint="eastAsia" w:ascii="仿宋" w:hAnsi="仿宋" w:eastAsia="仿宋" w:cs="仿宋"/>
                <w:color w:val="000000"/>
                <w:kern w:val="0"/>
                <w:sz w:val="20"/>
                <w:szCs w:val="20"/>
                <w:lang w:val="en-GB" w:eastAsia="zh-CN" w:bidi="ar"/>
              </w:rPr>
              <w:t>月第</w:t>
            </w:r>
            <w:r>
              <w:rPr>
                <w:rFonts w:hint="eastAsia" w:ascii="仿宋" w:hAnsi="仿宋" w:eastAsia="仿宋" w:cs="仿宋"/>
                <w:color w:val="000000"/>
                <w:kern w:val="0"/>
                <w:sz w:val="20"/>
                <w:szCs w:val="20"/>
                <w:lang w:val="en-US" w:eastAsia="zh-CN" w:bidi="ar"/>
              </w:rPr>
              <w:t>1版</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8DD7D">
            <w:pPr>
              <w:widowControl/>
              <w:jc w:val="center"/>
              <w:textAlignment w:val="center"/>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GB" w:eastAsia="zh-CN" w:bidi="ar"/>
              </w:rPr>
              <w:t>20</w:t>
            </w:r>
            <w:r>
              <w:rPr>
                <w:rFonts w:hint="eastAsia" w:ascii="仿宋" w:hAnsi="仿宋" w:eastAsia="仿宋" w:cs="仿宋"/>
                <w:color w:val="000000"/>
                <w:kern w:val="0"/>
                <w:sz w:val="20"/>
                <w:szCs w:val="20"/>
                <w:lang w:val="en-US" w:eastAsia="zh-CN" w:bidi="ar"/>
              </w:rPr>
              <w:t>22</w:t>
            </w:r>
            <w:r>
              <w:rPr>
                <w:rFonts w:hint="eastAsia" w:ascii="仿宋" w:hAnsi="仿宋" w:eastAsia="仿宋" w:cs="仿宋"/>
                <w:color w:val="000000"/>
                <w:kern w:val="0"/>
                <w:sz w:val="20"/>
                <w:szCs w:val="20"/>
                <w:lang w:val="en-GB" w:eastAsia="zh-CN" w:bidi="ar"/>
              </w:rPr>
              <w:t>年</w:t>
            </w:r>
            <w:r>
              <w:rPr>
                <w:rFonts w:hint="eastAsia" w:ascii="仿宋" w:hAnsi="仿宋" w:eastAsia="仿宋" w:cs="仿宋"/>
                <w:color w:val="000000"/>
                <w:kern w:val="0"/>
                <w:sz w:val="20"/>
                <w:szCs w:val="20"/>
                <w:lang w:val="en-US" w:eastAsia="zh-CN" w:bidi="ar"/>
              </w:rPr>
              <w:t>12</w:t>
            </w:r>
            <w:r>
              <w:rPr>
                <w:rFonts w:hint="eastAsia" w:ascii="仿宋" w:hAnsi="仿宋" w:eastAsia="仿宋" w:cs="仿宋"/>
                <w:color w:val="000000"/>
                <w:kern w:val="0"/>
                <w:sz w:val="20"/>
                <w:szCs w:val="20"/>
                <w:lang w:val="en-GB" w:eastAsia="zh-CN" w:bidi="ar"/>
              </w:rPr>
              <w:t>月第1</w:t>
            </w:r>
            <w:r>
              <w:rPr>
                <w:rFonts w:hint="eastAsia" w:ascii="仿宋" w:hAnsi="仿宋" w:eastAsia="仿宋" w:cs="仿宋"/>
                <w:color w:val="000000"/>
                <w:kern w:val="0"/>
                <w:sz w:val="20"/>
                <w:szCs w:val="20"/>
                <w:lang w:val="en-US" w:eastAsia="zh-CN" w:bidi="ar"/>
              </w:rPr>
              <w:t>9</w:t>
            </w:r>
            <w:r>
              <w:rPr>
                <w:rFonts w:hint="eastAsia" w:ascii="仿宋" w:hAnsi="仿宋" w:eastAsia="仿宋" w:cs="仿宋"/>
                <w:color w:val="000000"/>
                <w:kern w:val="0"/>
                <w:sz w:val="20"/>
                <w:szCs w:val="20"/>
                <w:lang w:val="en-GB" w:eastAsia="zh-CN" w:bidi="ar"/>
              </w:rPr>
              <w:t>次印刷</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C94D4">
            <w:pPr>
              <w:widowControl/>
              <w:jc w:val="center"/>
              <w:textAlignment w:val="center"/>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GB" w:eastAsia="zh-CN" w:bidi="ar"/>
              </w:rPr>
              <w:t>孙正聿</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0BADC">
            <w:pPr>
              <w:widowControl/>
              <w:jc w:val="center"/>
              <w:textAlignment w:val="center"/>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高等教育出版社</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DAEF5">
            <w:pPr>
              <w:widowControl/>
              <w:jc w:val="center"/>
              <w:textAlignment w:val="center"/>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GB" w:eastAsia="zh-CN" w:bidi="ar"/>
              </w:rPr>
              <w:t>9787040077964</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CA570">
            <w:pPr>
              <w:widowControl/>
              <w:jc w:val="center"/>
              <w:textAlignment w:val="center"/>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面向21世纪课程教材</w:t>
            </w:r>
          </w:p>
        </w:tc>
      </w:tr>
    </w:tbl>
    <w:p w14:paraId="3BB94FA1">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0" w:leftChars="0" w:firstLine="482" w:firstLineChars="200"/>
        <w:textAlignment w:val="auto"/>
        <w:rPr>
          <w:rFonts w:hint="eastAsia" w:eastAsia="仿宋"/>
          <w:b/>
          <w:color w:val="000000"/>
          <w:sz w:val="24"/>
        </w:rPr>
      </w:pPr>
      <w:r>
        <w:rPr>
          <w:rFonts w:eastAsia="仿宋"/>
          <w:b/>
          <w:sz w:val="24"/>
        </w:rPr>
        <w:t>其他学习资源</w:t>
      </w:r>
    </w:p>
    <w:p w14:paraId="507E11C4">
      <w:pPr>
        <w:numPr>
          <w:ilvl w:val="0"/>
          <w:numId w:val="12"/>
        </w:numPr>
        <w:spacing w:line="360" w:lineRule="auto"/>
        <w:ind w:firstLine="480" w:firstLineChars="200"/>
        <w:jc w:val="left"/>
        <w:rPr>
          <w:rFonts w:hint="eastAsia" w:eastAsia="仿宋"/>
          <w:color w:val="000000"/>
          <w:sz w:val="24"/>
        </w:rPr>
      </w:pPr>
      <w:r>
        <w:rPr>
          <w:rFonts w:hint="eastAsia" w:eastAsia="仿宋"/>
          <w:color w:val="000000"/>
          <w:sz w:val="24"/>
        </w:rPr>
        <w:t>[古希腊]柏拉图著，王太庆译：《裴洞篇》《会饮篇》《理想国》，北京：商务印书馆，2013年。</w:t>
      </w:r>
    </w:p>
    <w:p w14:paraId="1D8F2A5D">
      <w:pPr>
        <w:numPr>
          <w:ilvl w:val="0"/>
          <w:numId w:val="12"/>
        </w:numPr>
        <w:spacing w:line="360" w:lineRule="auto"/>
        <w:ind w:firstLine="480" w:firstLineChars="200"/>
        <w:jc w:val="left"/>
        <w:rPr>
          <w:rFonts w:hint="eastAsia" w:eastAsia="仿宋"/>
          <w:color w:val="000000"/>
          <w:sz w:val="24"/>
        </w:rPr>
      </w:pPr>
      <w:r>
        <w:rPr>
          <w:rFonts w:hint="eastAsia" w:eastAsia="仿宋"/>
          <w:color w:val="000000"/>
          <w:sz w:val="24"/>
        </w:rPr>
        <w:t>[古希腊]柏拉图著，吴飞译疏：《苏格拉底的申辩》，北京：华夏出版社，2017年。</w:t>
      </w:r>
    </w:p>
    <w:p w14:paraId="15CDB5F0">
      <w:pPr>
        <w:numPr>
          <w:ilvl w:val="0"/>
          <w:numId w:val="12"/>
        </w:numPr>
        <w:spacing w:line="360" w:lineRule="auto"/>
        <w:ind w:firstLine="480" w:firstLineChars="200"/>
        <w:jc w:val="left"/>
        <w:rPr>
          <w:rFonts w:hint="default" w:eastAsia="仿宋"/>
          <w:color w:val="000000"/>
          <w:sz w:val="24"/>
          <w:lang w:val="en-US" w:eastAsia="zh-CN"/>
        </w:rPr>
      </w:pPr>
      <w:r>
        <w:rPr>
          <w:rFonts w:hint="eastAsia" w:eastAsia="仿宋"/>
          <w:color w:val="000000"/>
          <w:sz w:val="24"/>
        </w:rPr>
        <w:t>[宋]朱熹撰：《四书章句集注》，北京：中华书局，1983年。</w:t>
      </w:r>
    </w:p>
    <w:p w14:paraId="4AFC9AEE">
      <w:pPr>
        <w:numPr>
          <w:ilvl w:val="0"/>
          <w:numId w:val="12"/>
        </w:numPr>
        <w:spacing w:line="360" w:lineRule="auto"/>
        <w:ind w:firstLine="480" w:firstLineChars="200"/>
        <w:jc w:val="left"/>
        <w:rPr>
          <w:rFonts w:hint="default" w:eastAsia="仿宋"/>
          <w:color w:val="000000"/>
          <w:sz w:val="24"/>
          <w:lang w:val="en-US" w:eastAsia="zh-CN"/>
        </w:rPr>
      </w:pPr>
      <w:r>
        <w:rPr>
          <w:rFonts w:hint="default" w:eastAsia="仿宋"/>
          <w:color w:val="000000"/>
          <w:sz w:val="24"/>
          <w:lang w:val="en-US" w:eastAsia="zh-CN"/>
        </w:rPr>
        <w:t>张志伟：《西方哲学十五讲》，北京：北京大学出版社，2004年。</w:t>
      </w:r>
    </w:p>
    <w:p w14:paraId="096CE43B">
      <w:pPr>
        <w:numPr>
          <w:ilvl w:val="0"/>
          <w:numId w:val="12"/>
        </w:numPr>
        <w:spacing w:line="360" w:lineRule="auto"/>
        <w:ind w:firstLine="480" w:firstLineChars="200"/>
        <w:jc w:val="left"/>
        <w:rPr>
          <w:rFonts w:hint="default" w:eastAsia="仿宋"/>
          <w:color w:val="000000"/>
          <w:sz w:val="24"/>
          <w:lang w:val="en-US" w:eastAsia="zh-CN"/>
        </w:rPr>
      </w:pPr>
      <w:r>
        <w:rPr>
          <w:rFonts w:hint="default" w:eastAsia="仿宋"/>
          <w:color w:val="000000"/>
          <w:sz w:val="24"/>
          <w:lang w:val="en-US" w:eastAsia="zh-CN"/>
        </w:rPr>
        <w:t>[古希腊]修昔底德著，谢德风译：《伯罗奔尼撒战争史》，北京：商务印书馆，</w:t>
      </w:r>
      <w:r>
        <w:rPr>
          <w:rFonts w:hint="eastAsia" w:eastAsia="仿宋"/>
          <w:color w:val="000000"/>
          <w:sz w:val="24"/>
          <w:lang w:val="en-US" w:eastAsia="zh-CN"/>
        </w:rPr>
        <w:t>2018</w:t>
      </w:r>
      <w:r>
        <w:rPr>
          <w:rFonts w:hint="default" w:eastAsia="仿宋"/>
          <w:color w:val="000000"/>
          <w:sz w:val="24"/>
          <w:lang w:val="en-US" w:eastAsia="zh-CN"/>
        </w:rPr>
        <w:t>年。</w:t>
      </w:r>
    </w:p>
    <w:p w14:paraId="4F2C120A">
      <w:pPr>
        <w:numPr>
          <w:ilvl w:val="0"/>
          <w:numId w:val="12"/>
        </w:numPr>
        <w:spacing w:line="360" w:lineRule="auto"/>
        <w:ind w:firstLine="480" w:firstLineChars="200"/>
        <w:jc w:val="left"/>
        <w:rPr>
          <w:rFonts w:hint="default" w:eastAsia="仿宋"/>
          <w:color w:val="000000"/>
          <w:sz w:val="24"/>
          <w:lang w:val="en-US" w:eastAsia="zh-CN"/>
        </w:rPr>
      </w:pPr>
      <w:r>
        <w:rPr>
          <w:rFonts w:hint="default" w:eastAsia="仿宋"/>
          <w:color w:val="000000"/>
          <w:sz w:val="24"/>
          <w:lang w:val="en-US" w:eastAsia="zh-CN"/>
        </w:rPr>
        <w:t>冯友兰：《中国哲学简史》，北京：北京大学出版社，2012年。</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9C868E"/>
    <w:multiLevelType w:val="singleLevel"/>
    <w:tmpl w:val="9D9C868E"/>
    <w:lvl w:ilvl="0" w:tentative="0">
      <w:start w:val="1"/>
      <w:numFmt w:val="decimal"/>
      <w:suff w:val="space"/>
      <w:lvlText w:val="%1."/>
      <w:lvlJc w:val="left"/>
    </w:lvl>
  </w:abstractNum>
  <w:abstractNum w:abstractNumId="1">
    <w:nsid w:val="A34D62FE"/>
    <w:multiLevelType w:val="singleLevel"/>
    <w:tmpl w:val="A34D62FE"/>
    <w:lvl w:ilvl="0" w:tentative="0">
      <w:start w:val="1"/>
      <w:numFmt w:val="decimal"/>
      <w:suff w:val="space"/>
      <w:lvlText w:val="%1."/>
      <w:lvlJc w:val="left"/>
    </w:lvl>
  </w:abstractNum>
  <w:abstractNum w:abstractNumId="2">
    <w:nsid w:val="A9507C33"/>
    <w:multiLevelType w:val="singleLevel"/>
    <w:tmpl w:val="A9507C33"/>
    <w:lvl w:ilvl="0" w:tentative="0">
      <w:start w:val="1"/>
      <w:numFmt w:val="decimal"/>
      <w:suff w:val="space"/>
      <w:lvlText w:val="%1."/>
      <w:lvlJc w:val="left"/>
    </w:lvl>
  </w:abstractNum>
  <w:abstractNum w:abstractNumId="3">
    <w:nsid w:val="CD92279A"/>
    <w:multiLevelType w:val="singleLevel"/>
    <w:tmpl w:val="CD92279A"/>
    <w:lvl w:ilvl="0" w:tentative="0">
      <w:start w:val="1"/>
      <w:numFmt w:val="decimal"/>
      <w:suff w:val="space"/>
      <w:lvlText w:val="%1."/>
      <w:lvlJc w:val="left"/>
    </w:lvl>
  </w:abstractNum>
  <w:abstractNum w:abstractNumId="4">
    <w:nsid w:val="F6C50D02"/>
    <w:multiLevelType w:val="singleLevel"/>
    <w:tmpl w:val="F6C50D02"/>
    <w:lvl w:ilvl="0" w:tentative="0">
      <w:start w:val="1"/>
      <w:numFmt w:val="decimal"/>
      <w:suff w:val="nothing"/>
      <w:lvlText w:val="（%1）"/>
      <w:lvlJc w:val="left"/>
    </w:lvl>
  </w:abstractNum>
  <w:abstractNum w:abstractNumId="5">
    <w:nsid w:val="F7FEB065"/>
    <w:multiLevelType w:val="multilevel"/>
    <w:tmpl w:val="F7FEB065"/>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6">
    <w:nsid w:val="0F2010BB"/>
    <w:multiLevelType w:val="singleLevel"/>
    <w:tmpl w:val="0F2010BB"/>
    <w:lvl w:ilvl="0" w:tentative="0">
      <w:start w:val="1"/>
      <w:numFmt w:val="decimal"/>
      <w:suff w:val="space"/>
      <w:lvlText w:val="%1."/>
      <w:lvlJc w:val="left"/>
    </w:lvl>
  </w:abstractNum>
  <w:abstractNum w:abstractNumId="7">
    <w:nsid w:val="5461E20E"/>
    <w:multiLevelType w:val="singleLevel"/>
    <w:tmpl w:val="5461E20E"/>
    <w:lvl w:ilvl="0" w:tentative="0">
      <w:start w:val="1"/>
      <w:numFmt w:val="decimal"/>
      <w:suff w:val="space"/>
      <w:lvlText w:val="%1."/>
      <w:lvlJc w:val="left"/>
    </w:lvl>
  </w:abstractNum>
  <w:abstractNum w:abstractNumId="8">
    <w:nsid w:val="5B9E7778"/>
    <w:multiLevelType w:val="singleLevel"/>
    <w:tmpl w:val="5B9E7778"/>
    <w:lvl w:ilvl="0" w:tentative="0">
      <w:start w:val="1"/>
      <w:numFmt w:val="decimal"/>
      <w:suff w:val="space"/>
      <w:lvlText w:val="%1."/>
      <w:lvlJc w:val="left"/>
    </w:lvl>
  </w:abstractNum>
  <w:abstractNum w:abstractNumId="9">
    <w:nsid w:val="6BDACEE1"/>
    <w:multiLevelType w:val="singleLevel"/>
    <w:tmpl w:val="6BDACEE1"/>
    <w:lvl w:ilvl="0" w:tentative="0">
      <w:start w:val="1"/>
      <w:numFmt w:val="decimal"/>
      <w:suff w:val="space"/>
      <w:lvlText w:val="%1."/>
      <w:lvlJc w:val="left"/>
    </w:lvl>
  </w:abstractNum>
  <w:abstractNum w:abstractNumId="10">
    <w:nsid w:val="799B107B"/>
    <w:multiLevelType w:val="singleLevel"/>
    <w:tmpl w:val="799B107B"/>
    <w:lvl w:ilvl="0" w:tentative="0">
      <w:start w:val="1"/>
      <w:numFmt w:val="decimal"/>
      <w:suff w:val="space"/>
      <w:lvlText w:val="%1."/>
      <w:lvlJc w:val="left"/>
    </w:lvl>
  </w:abstractNum>
  <w:abstractNum w:abstractNumId="11">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1"/>
  </w:num>
  <w:num w:numId="2">
    <w:abstractNumId w:val="8"/>
  </w:num>
  <w:num w:numId="3">
    <w:abstractNumId w:val="7"/>
  </w:num>
  <w:num w:numId="4">
    <w:abstractNumId w:val="0"/>
  </w:num>
  <w:num w:numId="5">
    <w:abstractNumId w:val="10"/>
  </w:num>
  <w:num w:numId="6">
    <w:abstractNumId w:val="3"/>
  </w:num>
  <w:num w:numId="7">
    <w:abstractNumId w:val="9"/>
  </w:num>
  <w:num w:numId="8">
    <w:abstractNumId w:val="2"/>
  </w:num>
  <w:num w:numId="9">
    <w:abstractNumId w:val="1"/>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UwZWViZTJjY2Q4ZjczNTdkNjAyNzQ3ODgyMTA5YmQ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14EA"/>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22A7"/>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1867146"/>
    <w:rsid w:val="01A73D87"/>
    <w:rsid w:val="01A87AFF"/>
    <w:rsid w:val="01E90844"/>
    <w:rsid w:val="02900A92"/>
    <w:rsid w:val="0370464D"/>
    <w:rsid w:val="042C2C6A"/>
    <w:rsid w:val="04722D72"/>
    <w:rsid w:val="052D4EEB"/>
    <w:rsid w:val="067A3A86"/>
    <w:rsid w:val="087B5F6E"/>
    <w:rsid w:val="091311E6"/>
    <w:rsid w:val="0A805ABD"/>
    <w:rsid w:val="0B2E5519"/>
    <w:rsid w:val="0B9A495D"/>
    <w:rsid w:val="0BB53545"/>
    <w:rsid w:val="0BBC48D3"/>
    <w:rsid w:val="0C056895"/>
    <w:rsid w:val="0C2D3A23"/>
    <w:rsid w:val="0CFA1B57"/>
    <w:rsid w:val="0D307327"/>
    <w:rsid w:val="0DAD0977"/>
    <w:rsid w:val="0F2A5FF8"/>
    <w:rsid w:val="1023487D"/>
    <w:rsid w:val="12490E8B"/>
    <w:rsid w:val="12833AFC"/>
    <w:rsid w:val="12915003"/>
    <w:rsid w:val="14641329"/>
    <w:rsid w:val="14DC7D94"/>
    <w:rsid w:val="15C042D8"/>
    <w:rsid w:val="167069E6"/>
    <w:rsid w:val="16C136E5"/>
    <w:rsid w:val="17A832C2"/>
    <w:rsid w:val="17C4348D"/>
    <w:rsid w:val="186049D2"/>
    <w:rsid w:val="18C3565C"/>
    <w:rsid w:val="194A5944"/>
    <w:rsid w:val="1AA67A69"/>
    <w:rsid w:val="1B074E10"/>
    <w:rsid w:val="1B0E43FD"/>
    <w:rsid w:val="1BC5023D"/>
    <w:rsid w:val="1CAE64BA"/>
    <w:rsid w:val="1D5D57EA"/>
    <w:rsid w:val="1E1C7453"/>
    <w:rsid w:val="1E27299B"/>
    <w:rsid w:val="1FD955FC"/>
    <w:rsid w:val="1FE521F3"/>
    <w:rsid w:val="20142AD8"/>
    <w:rsid w:val="206A51C4"/>
    <w:rsid w:val="2082367E"/>
    <w:rsid w:val="20EE3329"/>
    <w:rsid w:val="212154AC"/>
    <w:rsid w:val="21871088"/>
    <w:rsid w:val="21D40771"/>
    <w:rsid w:val="2367293B"/>
    <w:rsid w:val="23BF7E95"/>
    <w:rsid w:val="247E49C4"/>
    <w:rsid w:val="24B228BF"/>
    <w:rsid w:val="26EF12AE"/>
    <w:rsid w:val="27146728"/>
    <w:rsid w:val="27D169D3"/>
    <w:rsid w:val="27E50C16"/>
    <w:rsid w:val="284C4897"/>
    <w:rsid w:val="28E079FB"/>
    <w:rsid w:val="2C8150CE"/>
    <w:rsid w:val="2D8B0003"/>
    <w:rsid w:val="2DB42C49"/>
    <w:rsid w:val="2DC518B5"/>
    <w:rsid w:val="2E0A6B39"/>
    <w:rsid w:val="2E270EA1"/>
    <w:rsid w:val="2E6E7857"/>
    <w:rsid w:val="2F4B7B98"/>
    <w:rsid w:val="2FAD1FC1"/>
    <w:rsid w:val="303D2218"/>
    <w:rsid w:val="313100D0"/>
    <w:rsid w:val="31796C3F"/>
    <w:rsid w:val="31F36A80"/>
    <w:rsid w:val="33294694"/>
    <w:rsid w:val="33582884"/>
    <w:rsid w:val="34DE0411"/>
    <w:rsid w:val="35103416"/>
    <w:rsid w:val="355C1F7F"/>
    <w:rsid w:val="36F80606"/>
    <w:rsid w:val="37C46192"/>
    <w:rsid w:val="37EF1A35"/>
    <w:rsid w:val="37F25055"/>
    <w:rsid w:val="382A2A41"/>
    <w:rsid w:val="383438BF"/>
    <w:rsid w:val="38E56968"/>
    <w:rsid w:val="3980184F"/>
    <w:rsid w:val="39902C7F"/>
    <w:rsid w:val="39D96898"/>
    <w:rsid w:val="3BC205B0"/>
    <w:rsid w:val="3BE455FD"/>
    <w:rsid w:val="3CAB1C76"/>
    <w:rsid w:val="3DCB6A74"/>
    <w:rsid w:val="3DF37D79"/>
    <w:rsid w:val="3E0B26DF"/>
    <w:rsid w:val="3E264AE1"/>
    <w:rsid w:val="3E5D621B"/>
    <w:rsid w:val="3E9E5F37"/>
    <w:rsid w:val="3F444158"/>
    <w:rsid w:val="3F854A01"/>
    <w:rsid w:val="3FFF113A"/>
    <w:rsid w:val="40181B85"/>
    <w:rsid w:val="40C559FD"/>
    <w:rsid w:val="40F956A6"/>
    <w:rsid w:val="41621B6F"/>
    <w:rsid w:val="41971A3B"/>
    <w:rsid w:val="42D50EDF"/>
    <w:rsid w:val="447102DE"/>
    <w:rsid w:val="453B44DF"/>
    <w:rsid w:val="48931F3C"/>
    <w:rsid w:val="494B0A69"/>
    <w:rsid w:val="495711BC"/>
    <w:rsid w:val="49940662"/>
    <w:rsid w:val="499D7C4A"/>
    <w:rsid w:val="49B341B6"/>
    <w:rsid w:val="49B93C25"/>
    <w:rsid w:val="4B2C0426"/>
    <w:rsid w:val="4BC15012"/>
    <w:rsid w:val="4C357ACB"/>
    <w:rsid w:val="4C390AD2"/>
    <w:rsid w:val="4C96649F"/>
    <w:rsid w:val="4D4D7DF7"/>
    <w:rsid w:val="4DAF5F89"/>
    <w:rsid w:val="4DC66910"/>
    <w:rsid w:val="4EC17113"/>
    <w:rsid w:val="4F095275"/>
    <w:rsid w:val="4F133DD7"/>
    <w:rsid w:val="504416AD"/>
    <w:rsid w:val="508272AB"/>
    <w:rsid w:val="50CE26AB"/>
    <w:rsid w:val="521F3DAB"/>
    <w:rsid w:val="52493BA6"/>
    <w:rsid w:val="53F73CC7"/>
    <w:rsid w:val="55004DFD"/>
    <w:rsid w:val="55943798"/>
    <w:rsid w:val="568B2BAE"/>
    <w:rsid w:val="56C37E91"/>
    <w:rsid w:val="57802226"/>
    <w:rsid w:val="57AE1B0B"/>
    <w:rsid w:val="58005114"/>
    <w:rsid w:val="5AA955EF"/>
    <w:rsid w:val="5BC00E43"/>
    <w:rsid w:val="5C2F5FC8"/>
    <w:rsid w:val="5C95407D"/>
    <w:rsid w:val="5C9C024C"/>
    <w:rsid w:val="5CF74D38"/>
    <w:rsid w:val="5DBA3EAB"/>
    <w:rsid w:val="5DFB2606"/>
    <w:rsid w:val="5EDD6435"/>
    <w:rsid w:val="5FDA19EB"/>
    <w:rsid w:val="60C56EFB"/>
    <w:rsid w:val="62127610"/>
    <w:rsid w:val="62F53B9C"/>
    <w:rsid w:val="64526CF8"/>
    <w:rsid w:val="658D448B"/>
    <w:rsid w:val="661324B7"/>
    <w:rsid w:val="66383EBB"/>
    <w:rsid w:val="66961477"/>
    <w:rsid w:val="66A56E44"/>
    <w:rsid w:val="67346B89"/>
    <w:rsid w:val="67A06958"/>
    <w:rsid w:val="681837B0"/>
    <w:rsid w:val="68297D70"/>
    <w:rsid w:val="68BE090B"/>
    <w:rsid w:val="68E91B24"/>
    <w:rsid w:val="697510D0"/>
    <w:rsid w:val="69C51D1A"/>
    <w:rsid w:val="6BC32289"/>
    <w:rsid w:val="6BF2569F"/>
    <w:rsid w:val="6D2F407A"/>
    <w:rsid w:val="6D64006D"/>
    <w:rsid w:val="6D851EEC"/>
    <w:rsid w:val="6D9640F9"/>
    <w:rsid w:val="6F5953DE"/>
    <w:rsid w:val="717148AB"/>
    <w:rsid w:val="719426FE"/>
    <w:rsid w:val="71D609E2"/>
    <w:rsid w:val="728564EA"/>
    <w:rsid w:val="73D375FF"/>
    <w:rsid w:val="73DB3FB6"/>
    <w:rsid w:val="73DC4C67"/>
    <w:rsid w:val="744213FD"/>
    <w:rsid w:val="76C62B96"/>
    <w:rsid w:val="77C96155"/>
    <w:rsid w:val="78FB431C"/>
    <w:rsid w:val="791B4FCB"/>
    <w:rsid w:val="7A15284A"/>
    <w:rsid w:val="7B210967"/>
    <w:rsid w:val="7B7B492E"/>
    <w:rsid w:val="7BA63CB2"/>
    <w:rsid w:val="7CBD4AB8"/>
    <w:rsid w:val="7CCC0C02"/>
    <w:rsid w:val="7D1032D5"/>
    <w:rsid w:val="7D8623CF"/>
    <w:rsid w:val="7D965A4F"/>
    <w:rsid w:val="7D9E2866"/>
    <w:rsid w:val="7E3C05EB"/>
    <w:rsid w:val="7E941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Document Map"/>
    <w:basedOn w:val="1"/>
    <w:link w:val="16"/>
    <w:unhideWhenUsed/>
    <w:qFormat/>
    <w:uiPriority w:val="99"/>
    <w:rPr>
      <w:rFonts w:ascii="宋体"/>
      <w:sz w:val="18"/>
      <w:szCs w:val="18"/>
    </w:rPr>
  </w:style>
  <w:style w:type="paragraph" w:styleId="3">
    <w:name w:val="annotation text"/>
    <w:basedOn w:val="1"/>
    <w:link w:val="13"/>
    <w:unhideWhenUsed/>
    <w:qFormat/>
    <w:uiPriority w:val="99"/>
    <w:pPr>
      <w:jc w:val="left"/>
    </w:pPr>
    <w:rPr>
      <w:kern w:val="0"/>
      <w:sz w:val="24"/>
    </w:rPr>
  </w:style>
  <w:style w:type="paragraph" w:styleId="4">
    <w:name w:val="Balloon Text"/>
    <w:basedOn w:val="1"/>
    <w:link w:val="14"/>
    <w:unhideWhenUsed/>
    <w:qFormat/>
    <w:uiPriority w:val="99"/>
    <w:rPr>
      <w:kern w:val="0"/>
      <w:sz w:val="18"/>
      <w:szCs w:val="18"/>
    </w:rPr>
  </w:style>
  <w:style w:type="paragraph" w:styleId="5">
    <w:name w:val="footer"/>
    <w:basedOn w:val="1"/>
    <w:link w:val="15"/>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8">
    <w:name w:val="annotation subject"/>
    <w:basedOn w:val="3"/>
    <w:next w:val="3"/>
    <w:link w:val="18"/>
    <w:unhideWhenUsed/>
    <w:qFormat/>
    <w:uiPriority w:val="99"/>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rFonts w:cs="Times New Roman"/>
      <w:sz w:val="21"/>
      <w:szCs w:val="21"/>
    </w:rPr>
  </w:style>
  <w:style w:type="character" w:customStyle="1" w:styleId="13">
    <w:name w:val="批注文字 Char"/>
    <w:link w:val="3"/>
    <w:semiHidden/>
    <w:qFormat/>
    <w:locked/>
    <w:uiPriority w:val="99"/>
    <w:rPr>
      <w:rFonts w:ascii="Times New Roman" w:hAnsi="Times New Roman" w:eastAsia="宋体" w:cs="Times New Roman"/>
      <w:sz w:val="24"/>
      <w:szCs w:val="24"/>
    </w:rPr>
  </w:style>
  <w:style w:type="character" w:customStyle="1" w:styleId="14">
    <w:name w:val="批注框文本 Char"/>
    <w:link w:val="4"/>
    <w:semiHidden/>
    <w:qFormat/>
    <w:locked/>
    <w:uiPriority w:val="99"/>
    <w:rPr>
      <w:rFonts w:ascii="Times New Roman" w:hAnsi="Times New Roman" w:eastAsia="宋体" w:cs="Times New Roman"/>
      <w:sz w:val="18"/>
      <w:szCs w:val="18"/>
    </w:rPr>
  </w:style>
  <w:style w:type="character" w:customStyle="1" w:styleId="15">
    <w:name w:val="页脚 Char"/>
    <w:link w:val="5"/>
    <w:qFormat/>
    <w:locked/>
    <w:uiPriority w:val="99"/>
    <w:rPr>
      <w:rFonts w:cs="Times New Roman"/>
      <w:sz w:val="18"/>
      <w:szCs w:val="18"/>
    </w:rPr>
  </w:style>
  <w:style w:type="character" w:customStyle="1" w:styleId="16">
    <w:name w:val="文档结构图 Char"/>
    <w:link w:val="2"/>
    <w:semiHidden/>
    <w:qFormat/>
    <w:uiPriority w:val="99"/>
    <w:rPr>
      <w:rFonts w:ascii="宋体" w:hAnsi="Times New Roman"/>
      <w:kern w:val="2"/>
      <w:sz w:val="18"/>
      <w:szCs w:val="18"/>
    </w:rPr>
  </w:style>
  <w:style w:type="character" w:customStyle="1" w:styleId="17">
    <w:name w:val="页眉 Char"/>
    <w:link w:val="6"/>
    <w:qFormat/>
    <w:locked/>
    <w:uiPriority w:val="99"/>
    <w:rPr>
      <w:rFonts w:cs="Times New Roman"/>
      <w:sz w:val="18"/>
      <w:szCs w:val="18"/>
    </w:rPr>
  </w:style>
  <w:style w:type="character" w:customStyle="1" w:styleId="18">
    <w:name w:val="批注主题 Char"/>
    <w:link w:val="8"/>
    <w:semiHidden/>
    <w:qFormat/>
    <w:locked/>
    <w:uiPriority w:val="99"/>
    <w:rPr>
      <w:rFonts w:ascii="Times New Roman" w:hAnsi="Times New Roman" w:eastAsia="宋体" w:cs="Times New Roman"/>
      <w:b/>
      <w:bCs/>
      <w:sz w:val="24"/>
      <w:szCs w:val="24"/>
    </w:rPr>
  </w:style>
  <w:style w:type="paragraph" w:customStyle="1" w:styleId="19">
    <w:name w:val="列出段落"/>
    <w:basedOn w:val="1"/>
    <w:qFormat/>
    <w:uiPriority w:val="34"/>
    <w:pPr>
      <w:ind w:firstLine="420" w:firstLineChars="200"/>
    </w:pPr>
    <w:rPr>
      <w:rFonts w:ascii="Calibri" w:hAnsi="Calibri"/>
      <w:szCs w:val="22"/>
    </w:rPr>
  </w:style>
  <w:style w:type="paragraph" w:customStyle="1" w:styleId="20">
    <w:name w:val=" 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
    <w:name w:val="List Paragraph"/>
    <w:basedOn w:val="1"/>
    <w:qFormat/>
    <w:uiPriority w:val="34"/>
    <w:pPr>
      <w:ind w:firstLine="420" w:firstLineChars="200"/>
    </w:pPr>
  </w:style>
  <w:style w:type="paragraph" w:customStyle="1" w:styleId="22">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3">
    <w:name w:val="font31"/>
    <w:qFormat/>
    <w:uiPriority w:val="0"/>
    <w:rPr>
      <w:rFonts w:hint="eastAsia" w:ascii="宋体" w:hAnsi="宋体" w:eastAsia="宋体" w:cs="宋体"/>
      <w:b/>
      <w:bCs/>
      <w:color w:val="000000"/>
      <w:sz w:val="20"/>
      <w:szCs w:val="20"/>
      <w:u w:val="none"/>
    </w:rPr>
  </w:style>
  <w:style w:type="character" w:customStyle="1" w:styleId="24">
    <w:name w:val="font41"/>
    <w:qFormat/>
    <w:uiPriority w:val="0"/>
    <w:rPr>
      <w:rFonts w:hint="eastAsia" w:ascii="宋体" w:hAnsi="宋体" w:eastAsia="宋体" w:cs="宋体"/>
      <w:b/>
      <w:bCs/>
      <w:color w:val="FF0000"/>
      <w:sz w:val="20"/>
      <w:szCs w:val="20"/>
      <w:u w:val="none"/>
    </w:rPr>
  </w:style>
  <w:style w:type="character" w:customStyle="1" w:styleId="25">
    <w:name w:val="font11"/>
    <w:qFormat/>
    <w:uiPriority w:val="0"/>
    <w:rPr>
      <w:rFonts w:hint="eastAsia" w:ascii="宋体" w:hAnsi="宋体" w:eastAsia="宋体" w:cs="宋体"/>
      <w:b/>
      <w:bCs/>
      <w:color w:val="000000"/>
      <w:sz w:val="20"/>
      <w:szCs w:val="20"/>
      <w:u w:val="none"/>
    </w:rPr>
  </w:style>
  <w:style w:type="character" w:customStyle="1" w:styleId="26">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4211</Words>
  <Characters>4475</Characters>
  <Lines>115</Lines>
  <Paragraphs>144</Paragraphs>
  <TotalTime>493</TotalTime>
  <ScaleCrop>false</ScaleCrop>
  <LinksUpToDate>false</LinksUpToDate>
  <CharactersWithSpaces>4503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Crystal</cp:lastModifiedBy>
  <dcterms:modified xsi:type="dcterms:W3CDTF">2024-08-29T04:13:49Z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87892D4F83404C83A3A65068550CD338_13</vt:lpwstr>
  </property>
</Properties>
</file>