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left"/>
      </w:pPr>
      <w:r>
        <w:drawing>
          <wp:inline distT="0" distB="0" distL="0" distR="0">
            <wp:extent cx="2392680" cy="358140"/>
            <wp:effectExtent l="0" t="0" r="762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pPr>
        <w:spacing w:line="480" w:lineRule="auto"/>
        <w:rPr>
          <w:rFonts w:ascii="宋体" w:hAnsi="宋体"/>
          <w:color w:val="000000"/>
          <w:sz w:val="44"/>
          <w:szCs w:val="20"/>
        </w:rPr>
      </w:pPr>
    </w:p>
    <w:p>
      <w:pPr>
        <w:tabs>
          <w:tab w:val="left" w:pos="880"/>
        </w:tabs>
        <w:spacing w:line="480" w:lineRule="auto"/>
        <w:rPr>
          <w:rFonts w:ascii="宋体" w:hAnsi="宋体"/>
          <w:color w:val="000000"/>
          <w:sz w:val="44"/>
          <w:szCs w:val="20"/>
        </w:rPr>
      </w:pPr>
      <w:r>
        <w:rPr>
          <w:rFonts w:ascii="宋体" w:hAnsi="宋体"/>
          <w:color w:val="000000"/>
          <w:sz w:val="44"/>
          <w:szCs w:val="20"/>
        </w:rPr>
        <w:tab/>
      </w:r>
    </w:p>
    <w:p>
      <w:pPr>
        <w:spacing w:line="480" w:lineRule="auto"/>
        <w:rPr>
          <w:rFonts w:ascii="宋体" w:hAnsi="宋体"/>
          <w:color w:val="000000"/>
          <w:sz w:val="44"/>
          <w:szCs w:val="20"/>
        </w:rPr>
      </w:pPr>
    </w:p>
    <w:p>
      <w:pPr>
        <w:spacing w:line="480" w:lineRule="auto"/>
        <w:jc w:val="center"/>
        <w:rPr>
          <w:rFonts w:hint="eastAsia" w:ascii="Times New Roman" w:hAnsi="Times New Roman" w:eastAsia="黑体" w:cs="Times New Roman"/>
          <w:color w:val="000000"/>
          <w:sz w:val="40"/>
          <w:szCs w:val="22"/>
        </w:rPr>
      </w:pPr>
      <w:r>
        <w:rPr>
          <w:rFonts w:hint="eastAsia" w:ascii="Times New Roman" w:hAnsi="Times New Roman" w:eastAsia="黑体" w:cs="Times New Roman"/>
          <w:color w:val="000000"/>
          <w:sz w:val="40"/>
          <w:szCs w:val="22"/>
        </w:rPr>
        <w:t>《马克思主义哲学原理》</w:t>
      </w:r>
    </w:p>
    <w:p>
      <w:pPr>
        <w:spacing w:line="480" w:lineRule="auto"/>
        <w:jc w:val="center"/>
        <w:rPr>
          <w:rFonts w:hint="eastAsia" w:ascii="Times New Roman" w:hAnsi="Times New Roman" w:eastAsia="黑体" w:cs="Times New Roman"/>
          <w:color w:val="000000"/>
          <w:sz w:val="40"/>
          <w:szCs w:val="22"/>
        </w:rPr>
      </w:pPr>
      <w:r>
        <w:rPr>
          <w:rFonts w:hint="eastAsia" w:ascii="Times New Roman" w:hAnsi="Times New Roman" w:eastAsia="黑体" w:cs="Times New Roman"/>
          <w:color w:val="000000"/>
          <w:sz w:val="40"/>
          <w:szCs w:val="22"/>
        </w:rPr>
        <w:t>教学大纲</w:t>
      </w:r>
    </w:p>
    <w:p>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w:t>
      </w:r>
      <w:r>
        <w:rPr>
          <w:rFonts w:hint="eastAsia" w:ascii="仿宋" w:hAnsi="仿宋" w:eastAsia="仿宋"/>
          <w:color w:val="000000"/>
          <w:sz w:val="28"/>
          <w:u w:val="single"/>
          <w:lang w:val="en-US" w:eastAsia="zh-CN"/>
        </w:rPr>
        <w:t>1</w:t>
      </w:r>
      <w:r>
        <w:rPr>
          <w:rFonts w:hint="eastAsia" w:ascii="仿宋" w:hAnsi="仿宋" w:eastAsia="仿宋"/>
          <w:color w:val="000000"/>
          <w:sz w:val="28"/>
          <w:u w:val="single"/>
        </w:rPr>
        <w:t>版）</w:t>
      </w:r>
    </w:p>
    <w:p>
      <w:pPr>
        <w:spacing w:line="480" w:lineRule="auto"/>
        <w:rPr>
          <w:color w:val="000000"/>
          <w:sz w:val="32"/>
          <w:szCs w:val="20"/>
        </w:rPr>
      </w:pPr>
    </w:p>
    <w:p>
      <w:pPr>
        <w:spacing w:line="480" w:lineRule="auto"/>
        <w:rPr>
          <w:color w:val="000000"/>
          <w:sz w:val="32"/>
          <w:szCs w:val="20"/>
        </w:rPr>
      </w:pPr>
    </w:p>
    <w:p>
      <w:pPr>
        <w:spacing w:line="480" w:lineRule="auto"/>
        <w:rPr>
          <w:color w:val="000000"/>
          <w:sz w:val="28"/>
          <w:u w:val="single"/>
        </w:rPr>
      </w:pPr>
    </w:p>
    <w:tbl>
      <w:tblPr>
        <w:tblStyle w:val="4"/>
        <w:tblW w:w="0" w:type="auto"/>
        <w:jc w:val="center"/>
        <w:tblLayout w:type="autofit"/>
        <w:tblCellMar>
          <w:top w:w="0" w:type="dxa"/>
          <w:left w:w="108" w:type="dxa"/>
          <w:bottom w:w="0" w:type="dxa"/>
          <w:right w:w="108" w:type="dxa"/>
        </w:tblCellMar>
      </w:tblPr>
      <w:tblGrid>
        <w:gridCol w:w="1482"/>
        <w:gridCol w:w="4863"/>
      </w:tblGrid>
      <w:tr>
        <w:trPr>
          <w:jc w:val="center"/>
        </w:trPr>
        <w:tc>
          <w:tcPr>
            <w:tcW w:w="1482" w:type="dxa"/>
            <w:shd w:val="clear" w:color="auto" w:fill="auto"/>
            <w:vAlign w:val="bottom"/>
          </w:tcPr>
          <w:p>
            <w:pPr>
              <w:spacing w:line="480" w:lineRule="auto"/>
              <w:jc w:val="center"/>
              <w:rPr>
                <w:rFonts w:ascii="仿宋" w:hAnsi="仿宋" w:eastAsia="仿宋"/>
                <w:b/>
                <w:bCs/>
                <w:color w:val="000000"/>
                <w:sz w:val="28"/>
              </w:rPr>
            </w:pPr>
            <w:r>
              <w:rPr>
                <w:rFonts w:hint="eastAsia" w:ascii="仿宋" w:hAnsi="仿宋" w:eastAsia="仿宋"/>
                <w:b/>
                <w:bCs/>
                <w:color w:val="000000"/>
                <w:sz w:val="28"/>
              </w:rPr>
              <w:t>执笔人：</w:t>
            </w:r>
          </w:p>
        </w:tc>
        <w:tc>
          <w:tcPr>
            <w:tcW w:w="4863" w:type="dxa"/>
            <w:tcBorders>
              <w:left w:val="nil"/>
              <w:bottom w:val="single" w:color="auto" w:sz="4" w:space="0"/>
            </w:tcBorders>
            <w:shd w:val="clear" w:color="auto" w:fill="auto"/>
            <w:vAlign w:val="center"/>
          </w:tcPr>
          <w:p>
            <w:pPr>
              <w:spacing w:line="480" w:lineRule="auto"/>
              <w:ind w:firstLine="1400" w:firstLineChars="500"/>
              <w:jc w:val="both"/>
              <w:rPr>
                <w:rFonts w:hint="eastAsia" w:eastAsia="宋体"/>
                <w:color w:val="000000"/>
                <w:sz w:val="28"/>
                <w:lang w:val="en-US" w:eastAsia="zh-CN"/>
              </w:rPr>
            </w:pPr>
            <w:r>
              <w:rPr>
                <w:rFonts w:hint="eastAsia"/>
                <w:color w:val="000000"/>
                <w:sz w:val="28"/>
                <w:lang w:val="en-US" w:eastAsia="zh-CN"/>
              </w:rPr>
              <w:t>晁娜娜</w:t>
            </w:r>
          </w:p>
        </w:tc>
      </w:tr>
      <w:tr>
        <w:trPr>
          <w:jc w:val="center"/>
        </w:trPr>
        <w:tc>
          <w:tcPr>
            <w:tcW w:w="1482" w:type="dxa"/>
            <w:shd w:val="clear" w:color="auto" w:fill="auto"/>
            <w:vAlign w:val="bottom"/>
          </w:tcPr>
          <w:p>
            <w:pPr>
              <w:spacing w:line="480" w:lineRule="auto"/>
              <w:jc w:val="center"/>
              <w:rPr>
                <w:rFonts w:ascii="仿宋" w:hAnsi="仿宋" w:eastAsia="仿宋"/>
                <w:b/>
                <w:bCs/>
                <w:color w:val="000000"/>
                <w:sz w:val="28"/>
              </w:rPr>
            </w:pPr>
            <w:r>
              <w:rPr>
                <w:rFonts w:hint="eastAsia" w:ascii="仿宋" w:hAnsi="仿宋" w:eastAsia="仿宋"/>
                <w:b/>
                <w:bCs/>
                <w:color w:val="000000"/>
                <w:sz w:val="28"/>
              </w:rPr>
              <w:t>审核人：</w:t>
            </w:r>
          </w:p>
        </w:tc>
        <w:tc>
          <w:tcPr>
            <w:tcW w:w="4863" w:type="dxa"/>
            <w:tcBorders>
              <w:top w:val="single" w:color="auto" w:sz="4" w:space="0"/>
              <w:left w:val="nil"/>
              <w:bottom w:val="single" w:color="auto" w:sz="4" w:space="0"/>
            </w:tcBorders>
            <w:shd w:val="clear" w:color="auto" w:fill="auto"/>
            <w:vAlign w:val="center"/>
          </w:tcPr>
          <w:p>
            <w:pPr>
              <w:spacing w:line="480" w:lineRule="auto"/>
              <w:ind w:firstLine="1400" w:firstLineChars="500"/>
              <w:jc w:val="both"/>
              <w:rPr>
                <w:rFonts w:hint="default" w:eastAsia="宋体"/>
                <w:color w:val="000000"/>
                <w:sz w:val="28"/>
                <w:lang w:val="en-US" w:eastAsia="zh-CN"/>
              </w:rPr>
            </w:pPr>
            <w:r>
              <w:rPr>
                <w:rFonts w:hint="eastAsia"/>
                <w:color w:val="000000"/>
                <w:sz w:val="28"/>
                <w:lang w:val="en-US" w:eastAsia="zh-CN"/>
              </w:rPr>
              <w:t>丁英宏</w:t>
            </w:r>
          </w:p>
        </w:tc>
      </w:tr>
    </w:tbl>
    <w:p>
      <w:pPr>
        <w:jc w:val="center"/>
        <w:rPr>
          <w:rFonts w:ascii="仿宋" w:hAnsi="仿宋" w:eastAsia="仿宋"/>
          <w:color w:val="000000"/>
          <w:sz w:val="28"/>
          <w:u w:val="single"/>
        </w:rPr>
      </w:pPr>
    </w:p>
    <w:p>
      <w:pPr>
        <w:jc w:val="center"/>
        <w:rPr>
          <w:rFonts w:ascii="仿宋" w:hAnsi="仿宋" w:eastAsia="仿宋"/>
          <w:color w:val="000000"/>
          <w:sz w:val="28"/>
          <w:u w:val="single"/>
        </w:rPr>
      </w:pPr>
    </w:p>
    <w:p>
      <w:pPr>
        <w:jc w:val="center"/>
        <w:rPr>
          <w:rFonts w:hint="eastAsia"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5</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4"/>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pPr>
              <w:jc w:val="center"/>
              <w:rPr>
                <w:rFonts w:hint="eastAsia" w:ascii="仿宋" w:hAnsi="仿宋" w:eastAsia="仿宋"/>
                <w:color w:val="000000"/>
                <w:kern w:val="0"/>
                <w:sz w:val="24"/>
                <w:lang w:val="en-GB" w:eastAsia="zh-CN"/>
              </w:rPr>
            </w:pPr>
            <w:r>
              <w:rPr>
                <w:rFonts w:hint="eastAsia" w:ascii="仿宋" w:hAnsi="仿宋" w:eastAsia="仿宋"/>
                <w:color w:val="000000"/>
                <w:kern w:val="0"/>
                <w:sz w:val="24"/>
                <w:lang w:val="en-GB" w:eastAsia="zh-CN"/>
              </w:rPr>
              <w:t>100838T002</w:t>
            </w:r>
          </w:p>
        </w:tc>
        <w:tc>
          <w:tcPr>
            <w:tcW w:w="1446" w:type="dxa"/>
            <w:vAlign w:val="center"/>
          </w:tcPr>
          <w:p>
            <w:pPr>
              <w:jc w:val="center"/>
              <w:rPr>
                <w:rFonts w:hint="eastAsia" w:ascii="仿宋" w:hAnsi="仿宋" w:eastAsia="仿宋"/>
                <w:color w:val="000000"/>
                <w:kern w:val="0"/>
                <w:sz w:val="24"/>
                <w:lang w:val="en-GB" w:eastAsia="zh-CN"/>
              </w:rPr>
            </w:pPr>
            <w:r>
              <w:rPr>
                <w:rFonts w:hint="eastAsia" w:ascii="仿宋" w:hAnsi="仿宋" w:eastAsia="仿宋"/>
                <w:color w:val="000000"/>
                <w:kern w:val="0"/>
                <w:sz w:val="24"/>
                <w:lang w:val="en-GB" w:eastAsia="zh-CN"/>
              </w:rPr>
              <w:t>开课单位</w:t>
            </w:r>
          </w:p>
        </w:tc>
        <w:tc>
          <w:tcPr>
            <w:tcW w:w="2314" w:type="dxa"/>
            <w:gridSpan w:val="2"/>
            <w:vAlign w:val="center"/>
          </w:tcPr>
          <w:p>
            <w:pPr>
              <w:jc w:val="center"/>
              <w:rPr>
                <w:rFonts w:hint="eastAsia" w:ascii="仿宋" w:hAnsi="仿宋" w:eastAsia="仿宋"/>
                <w:color w:val="000000"/>
                <w:kern w:val="0"/>
                <w:sz w:val="24"/>
                <w:lang w:val="en-GB" w:eastAsia="zh-CN"/>
              </w:rPr>
            </w:pPr>
            <w:r>
              <w:rPr>
                <w:rFonts w:hint="eastAsia" w:ascii="仿宋" w:hAnsi="仿宋" w:eastAsia="仿宋"/>
                <w:color w:val="000000"/>
                <w:kern w:val="0"/>
                <w:sz w:val="24"/>
                <w:lang w:val="en-GB" w:eastAsia="zh-CN"/>
              </w:rPr>
              <w:t>工商管理学院/马克思主义学院</w:t>
            </w:r>
          </w:p>
        </w:tc>
      </w:tr>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pPr>
              <w:jc w:val="center"/>
              <w:rPr>
                <w:rFonts w:hint="eastAsia" w:ascii="仿宋" w:hAnsi="仿宋" w:eastAsia="仿宋"/>
                <w:color w:val="000000"/>
                <w:kern w:val="0"/>
                <w:sz w:val="24"/>
                <w:lang w:val="en-GB" w:eastAsia="zh-CN"/>
              </w:rPr>
            </w:pPr>
            <w:r>
              <w:rPr>
                <w:rFonts w:hint="eastAsia" w:ascii="仿宋" w:hAnsi="仿宋" w:eastAsia="仿宋"/>
                <w:color w:val="000000"/>
                <w:kern w:val="0"/>
                <w:sz w:val="24"/>
                <w:lang w:val="en-US" w:eastAsia="zh-CN"/>
              </w:rPr>
              <w:t>马克思主义哲学原理</w:t>
            </w:r>
          </w:p>
        </w:tc>
      </w:tr>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pPr>
              <w:jc w:val="center"/>
              <w:rPr>
                <w:rFonts w:hint="eastAsia" w:ascii="仿宋" w:hAnsi="仿宋" w:eastAsia="仿宋"/>
                <w:color w:val="000000"/>
                <w:kern w:val="0"/>
                <w:sz w:val="24"/>
                <w:lang w:val="en-GB" w:eastAsia="zh-CN"/>
              </w:rPr>
            </w:pPr>
            <w:r>
              <w:rPr>
                <w:rFonts w:hint="eastAsia" w:ascii="仿宋" w:hAnsi="仿宋" w:eastAsia="仿宋"/>
                <w:color w:val="000000"/>
                <w:kern w:val="0"/>
                <w:sz w:val="24"/>
                <w:lang w:val="en-GB" w:eastAsia="zh-CN"/>
              </w:rPr>
              <w:t>Principles of Marxist philosophy</w:t>
            </w:r>
          </w:p>
        </w:tc>
      </w:tr>
      <w:tr>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pPr>
              <w:jc w:val="center"/>
              <w:rPr>
                <w:rFonts w:hint="eastAsia" w:ascii="仿宋" w:hAnsi="仿宋" w:eastAsia="仿宋"/>
                <w:color w:val="000000"/>
                <w:kern w:val="0"/>
                <w:sz w:val="24"/>
                <w:lang w:val="en-GB" w:eastAsia="zh-CN"/>
              </w:rPr>
            </w:pPr>
            <w:r>
              <w:rPr>
                <w:rFonts w:hint="eastAsia" w:ascii="仿宋" w:hAnsi="仿宋" w:eastAsia="仿宋"/>
                <w:color w:val="000000"/>
                <w:kern w:val="0"/>
                <w:sz w:val="24"/>
                <w:lang w:val="en-US" w:eastAsia="zh-CN"/>
              </w:rPr>
              <w:t>专业</w:t>
            </w:r>
            <w:r>
              <w:rPr>
                <w:rFonts w:hint="eastAsia" w:ascii="仿宋" w:hAnsi="仿宋" w:eastAsia="仿宋"/>
                <w:color w:val="000000"/>
                <w:kern w:val="0"/>
                <w:sz w:val="24"/>
                <w:lang w:val="en-GB" w:eastAsia="zh-CN"/>
              </w:rPr>
              <w:t>必修课课</w:t>
            </w:r>
          </w:p>
        </w:tc>
      </w:tr>
      <w:tr>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pPr>
              <w:jc w:val="center"/>
              <w:rPr>
                <w:rFonts w:hint="default" w:ascii="仿宋" w:hAnsi="仿宋" w:eastAsia="仿宋"/>
                <w:color w:val="000000"/>
                <w:kern w:val="0"/>
                <w:sz w:val="24"/>
                <w:lang w:val="en-US" w:eastAsia="zh-CN"/>
              </w:rPr>
            </w:pPr>
            <w:r>
              <w:rPr>
                <w:rFonts w:hint="eastAsia" w:ascii="仿宋" w:hAnsi="仿宋" w:eastAsia="仿宋"/>
                <w:color w:val="000000"/>
                <w:kern w:val="0"/>
                <w:sz w:val="24"/>
                <w:lang w:val="en-US" w:eastAsia="zh-CN"/>
              </w:rPr>
              <w:t>思想政治教育专业</w:t>
            </w:r>
          </w:p>
        </w:tc>
      </w:tr>
      <w:tr>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pPr>
              <w:jc w:val="center"/>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3</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pPr>
              <w:jc w:val="center"/>
              <w:rPr>
                <w:rFonts w:hint="default" w:ascii="仿宋" w:hAnsi="仿宋" w:eastAsia="仿宋"/>
                <w:color w:val="000000"/>
                <w:kern w:val="0"/>
                <w:sz w:val="24"/>
                <w:lang w:val="en-US" w:eastAsia="zh-CN"/>
              </w:rPr>
            </w:pPr>
            <w:r>
              <w:rPr>
                <w:rFonts w:hint="eastAsia" w:ascii="仿宋" w:hAnsi="仿宋" w:eastAsia="仿宋"/>
                <w:color w:val="000000"/>
                <w:kern w:val="0"/>
                <w:sz w:val="24"/>
                <w:lang w:val="en-US" w:eastAsia="zh-CN"/>
              </w:rPr>
              <w:t>48</w:t>
            </w:r>
          </w:p>
        </w:tc>
      </w:tr>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pPr>
              <w:jc w:val="center"/>
              <w:rPr>
                <w:rFonts w:hint="default" w:ascii="仿宋" w:hAnsi="仿宋" w:eastAsia="仿宋"/>
                <w:color w:val="000000"/>
                <w:kern w:val="0"/>
                <w:sz w:val="24"/>
                <w:lang w:val="en-US" w:eastAsia="zh-CN"/>
              </w:rPr>
            </w:pPr>
            <w:r>
              <w:rPr>
                <w:rFonts w:hint="eastAsia" w:ascii="仿宋" w:hAnsi="仿宋" w:eastAsia="仿宋"/>
                <w:color w:val="000000"/>
                <w:kern w:val="0"/>
                <w:sz w:val="24"/>
                <w:lang w:val="en-US" w:eastAsia="zh-CN"/>
              </w:rPr>
              <w:t>48</w:t>
            </w:r>
          </w:p>
        </w:tc>
        <w:tc>
          <w:tcPr>
            <w:tcW w:w="1693" w:type="dxa"/>
            <w:gridSpan w:val="2"/>
            <w:vAlign w:val="center"/>
          </w:tcPr>
          <w:p>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pPr>
              <w:jc w:val="center"/>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0</w:t>
            </w:r>
          </w:p>
        </w:tc>
      </w:tr>
      <w:tr>
        <w:trPr>
          <w:trHeight w:val="454" w:hRule="atLeast"/>
          <w:jc w:val="center"/>
        </w:trPr>
        <w:tc>
          <w:tcPr>
            <w:tcW w:w="1951" w:type="dxa"/>
            <w:vAlign w:val="center"/>
          </w:tcPr>
          <w:p>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pPr>
              <w:jc w:val="center"/>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0</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pPr>
              <w:jc w:val="center"/>
              <w:rPr>
                <w:rFonts w:hint="default" w:ascii="仿宋" w:hAnsi="仿宋" w:eastAsia="仿宋"/>
                <w:color w:val="000000"/>
                <w:kern w:val="0"/>
                <w:sz w:val="24"/>
                <w:lang w:val="en-US" w:eastAsia="zh-CN"/>
              </w:rPr>
            </w:pPr>
            <w:r>
              <w:rPr>
                <w:rFonts w:hint="eastAsia" w:ascii="仿宋" w:hAnsi="仿宋" w:eastAsia="仿宋"/>
                <w:color w:val="000000"/>
                <w:kern w:val="0"/>
                <w:sz w:val="24"/>
                <w:lang w:val="en-US" w:eastAsia="zh-CN"/>
              </w:rPr>
              <w:t>0</w:t>
            </w:r>
          </w:p>
        </w:tc>
      </w:tr>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pPr>
              <w:jc w:val="center"/>
              <w:rPr>
                <w:rFonts w:hint="eastAsia" w:ascii="仿宋" w:hAnsi="仿宋" w:eastAsia="仿宋"/>
                <w:color w:val="000000"/>
                <w:sz w:val="24"/>
                <w:lang w:val="en-US" w:eastAsia="zh-CN"/>
              </w:rPr>
            </w:pPr>
            <w:r>
              <w:rPr>
                <w:rFonts w:hint="eastAsia" w:ascii="仿宋" w:hAnsi="仿宋" w:eastAsia="仿宋"/>
                <w:color w:val="000000"/>
                <w:kern w:val="0"/>
                <w:sz w:val="24"/>
                <w:lang w:val="en-US" w:eastAsia="zh-CN"/>
              </w:rPr>
              <w:t>哲学导论、马克思主义发展史、习近平新时代中国特色社会主义思想概论</w:t>
            </w:r>
          </w:p>
        </w:tc>
      </w:tr>
    </w:tbl>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pPr>
        <w:snapToGrid w:val="0"/>
        <w:spacing w:line="300" w:lineRule="auto"/>
        <w:ind w:firstLine="480" w:firstLineChars="200"/>
        <w:rPr>
          <w:rFonts w:hint="eastAsia" w:ascii="仿宋" w:hAnsi="仿宋" w:eastAsia="仿宋"/>
          <w:bCs/>
          <w:color w:val="000000"/>
          <w:sz w:val="24"/>
          <w:lang w:val="en-GB"/>
        </w:rPr>
      </w:pPr>
      <w:r>
        <w:rPr>
          <w:rFonts w:hint="eastAsia" w:ascii="仿宋" w:hAnsi="仿宋" w:eastAsia="仿宋"/>
          <w:bCs/>
          <w:color w:val="000000"/>
          <w:sz w:val="24"/>
          <w:lang w:val="en-GB" w:eastAsia="zh-CN"/>
        </w:rPr>
        <w:t>《</w:t>
      </w:r>
      <w:r>
        <w:rPr>
          <w:rFonts w:hint="eastAsia" w:ascii="仿宋" w:hAnsi="仿宋" w:eastAsia="仿宋"/>
          <w:bCs/>
          <w:color w:val="000000"/>
          <w:sz w:val="24"/>
          <w:lang w:val="en-GB"/>
        </w:rPr>
        <w:t>马克思主义哲学原理</w:t>
      </w:r>
      <w:r>
        <w:rPr>
          <w:rFonts w:hint="eastAsia" w:ascii="仿宋" w:hAnsi="仿宋" w:eastAsia="仿宋"/>
          <w:bCs/>
          <w:color w:val="000000"/>
          <w:sz w:val="24"/>
          <w:lang w:val="en-GB" w:eastAsia="zh-CN"/>
        </w:rPr>
        <w:t>》</w:t>
      </w:r>
      <w:r>
        <w:rPr>
          <w:rFonts w:hint="eastAsia" w:ascii="仿宋" w:hAnsi="仿宋" w:eastAsia="仿宋"/>
          <w:bCs/>
          <w:color w:val="000000"/>
          <w:sz w:val="24"/>
          <w:lang w:val="en-GB"/>
        </w:rPr>
        <w:t>是</w:t>
      </w:r>
      <w:r>
        <w:rPr>
          <w:rFonts w:hint="eastAsia" w:ascii="仿宋" w:hAnsi="仿宋" w:eastAsia="仿宋"/>
          <w:bCs/>
          <w:color w:val="000000"/>
          <w:sz w:val="24"/>
          <w:lang w:val="en-US" w:eastAsia="zh-CN"/>
        </w:rPr>
        <w:t>思想</w:t>
      </w:r>
      <w:r>
        <w:rPr>
          <w:rFonts w:hint="eastAsia" w:ascii="仿宋" w:hAnsi="仿宋" w:eastAsia="仿宋"/>
          <w:bCs/>
          <w:color w:val="000000"/>
          <w:sz w:val="24"/>
          <w:lang w:val="en-GB"/>
        </w:rPr>
        <w:t>政治教育专业学生的必修课程，是</w:t>
      </w:r>
      <w:r>
        <w:rPr>
          <w:rFonts w:hint="eastAsia" w:ascii="仿宋" w:hAnsi="仿宋" w:eastAsia="仿宋"/>
          <w:bCs/>
          <w:color w:val="000000"/>
          <w:sz w:val="24"/>
          <w:lang w:val="en-US" w:eastAsia="zh-CN"/>
        </w:rPr>
        <w:t>思想</w:t>
      </w:r>
      <w:r>
        <w:rPr>
          <w:rFonts w:hint="eastAsia" w:ascii="仿宋" w:hAnsi="仿宋" w:eastAsia="仿宋"/>
          <w:bCs/>
          <w:color w:val="000000"/>
          <w:sz w:val="24"/>
          <w:lang w:val="en-GB"/>
        </w:rPr>
        <w:t>政治教育专业学生必须掌握的马克思主义基础理论知识中的一个重要组成部分。</w:t>
      </w:r>
    </w:p>
    <w:p>
      <w:pPr>
        <w:snapToGrid w:val="0"/>
        <w:spacing w:line="300" w:lineRule="auto"/>
        <w:ind w:firstLine="480" w:firstLineChars="200"/>
        <w:rPr>
          <w:rFonts w:hint="eastAsia" w:ascii="仿宋" w:hAnsi="仿宋" w:eastAsia="仿宋"/>
          <w:bCs/>
          <w:color w:val="000000"/>
          <w:sz w:val="24"/>
        </w:rPr>
      </w:pPr>
      <w:r>
        <w:rPr>
          <w:rFonts w:hint="eastAsia" w:ascii="仿宋" w:hAnsi="仿宋" w:eastAsia="仿宋"/>
          <w:bCs/>
          <w:color w:val="000000"/>
          <w:sz w:val="24"/>
          <w:lang w:val="en-GB"/>
        </w:rPr>
        <w:t>马克思主义哲学是以科学实践观为基础，以辩证法和唯物主义的统一、辩证唯物主义自然观和历史观的统一为内容的科学体系</w:t>
      </w:r>
      <w:r>
        <w:rPr>
          <w:rFonts w:hint="eastAsia" w:ascii="仿宋" w:hAnsi="仿宋" w:eastAsia="仿宋"/>
          <w:bCs/>
          <w:color w:val="000000"/>
          <w:sz w:val="24"/>
          <w:lang w:val="en-GB" w:eastAsia="zh-CN"/>
        </w:rPr>
        <w:t>，</w:t>
      </w:r>
      <w:r>
        <w:rPr>
          <w:rFonts w:hint="eastAsia" w:ascii="仿宋" w:hAnsi="仿宋" w:eastAsia="仿宋"/>
          <w:bCs/>
          <w:color w:val="000000"/>
          <w:sz w:val="24"/>
          <w:lang w:val="en-GB"/>
        </w:rPr>
        <w:t>是马克思主义学说的理论基础</w:t>
      </w:r>
      <w:r>
        <w:rPr>
          <w:rFonts w:hint="eastAsia" w:ascii="仿宋" w:hAnsi="仿宋" w:eastAsia="仿宋"/>
          <w:bCs/>
          <w:color w:val="000000"/>
          <w:sz w:val="24"/>
          <w:lang w:val="en-GB" w:eastAsia="zh-CN"/>
        </w:rPr>
        <w:t>，</w:t>
      </w:r>
      <w:r>
        <w:rPr>
          <w:rFonts w:hint="eastAsia" w:ascii="仿宋" w:hAnsi="仿宋" w:eastAsia="仿宋"/>
          <w:bCs/>
          <w:color w:val="000000"/>
          <w:sz w:val="24"/>
          <w:lang w:val="en-GB"/>
        </w:rPr>
        <w:t>是科学世界观和方法论的统一，是以实践性为基础的科学性和革命性完整统一的理论体系。</w:t>
      </w:r>
      <w:r>
        <w:rPr>
          <w:rFonts w:hint="eastAsia" w:ascii="仿宋" w:hAnsi="仿宋" w:eastAsia="仿宋"/>
          <w:bCs/>
          <w:color w:val="000000"/>
          <w:sz w:val="24"/>
          <w:lang w:val="en-US" w:eastAsia="zh-CN"/>
        </w:rPr>
        <w:t>本课程将</w:t>
      </w:r>
      <w:r>
        <w:rPr>
          <w:rFonts w:hint="eastAsia" w:ascii="仿宋" w:hAnsi="仿宋" w:eastAsia="仿宋"/>
          <w:bCs/>
          <w:color w:val="000000"/>
          <w:sz w:val="24"/>
          <w:lang w:val="en-GB"/>
        </w:rPr>
        <w:t>帮助学生树立正确的世界观和人生观，形成科学的思维方式，提高认识问题和解决问题的能力，提高学生的人文素质</w:t>
      </w:r>
      <w:r>
        <w:rPr>
          <w:rFonts w:hint="eastAsia" w:ascii="仿宋" w:hAnsi="仿宋" w:eastAsia="仿宋"/>
          <w:bCs/>
          <w:color w:val="000000"/>
          <w:sz w:val="24"/>
          <w:lang w:val="en-GB" w:eastAsia="zh-CN"/>
        </w:rPr>
        <w:t>，</w:t>
      </w:r>
      <w:r>
        <w:rPr>
          <w:rFonts w:hint="eastAsia" w:ascii="仿宋" w:hAnsi="仿宋" w:eastAsia="仿宋"/>
          <w:bCs/>
          <w:color w:val="000000"/>
          <w:sz w:val="24"/>
          <w:lang w:val="en-US" w:eastAsia="zh-CN"/>
        </w:rPr>
        <w:t>提升学生</w:t>
      </w:r>
      <w:r>
        <w:rPr>
          <w:rFonts w:hint="eastAsia" w:ascii="仿宋" w:hAnsi="仿宋" w:eastAsia="仿宋"/>
          <w:bCs/>
          <w:color w:val="000000"/>
          <w:sz w:val="24"/>
          <w:lang w:val="en-GB"/>
        </w:rPr>
        <w:t>运用马克思主义哲学分析问题和解决问题。</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pPr>
        <w:snapToGrid w:val="0"/>
        <w:spacing w:line="360" w:lineRule="auto"/>
        <w:ind w:firstLine="482" w:firstLineChars="200"/>
        <w:rPr>
          <w:rFonts w:hint="eastAsia" w:ascii="仿宋" w:hAnsi="仿宋" w:eastAsia="仿宋" w:cs="Times New Roman"/>
          <w:b/>
          <w:bCs/>
          <w:sz w:val="24"/>
        </w:rPr>
      </w:pPr>
      <w:r>
        <w:rPr>
          <w:rFonts w:hint="eastAsia" w:ascii="仿宋" w:hAnsi="仿宋" w:eastAsia="仿宋" w:cs="Times New Roman"/>
          <w:b/>
          <w:bCs/>
          <w:sz w:val="24"/>
        </w:rPr>
        <w:t>（一）课程目标</w:t>
      </w:r>
    </w:p>
    <w:p>
      <w:pPr>
        <w:pStyle w:val="2"/>
        <w:spacing w:before="313" w:line="217" w:lineRule="auto"/>
        <w:ind w:left="621"/>
        <w:outlineLvl w:val="2"/>
        <w:rPr>
          <w:rFonts w:hint="eastAsia" w:ascii="仿宋" w:hAnsi="仿宋" w:eastAsia="仿宋" w:cs="Times New Roman"/>
          <w:b/>
          <w:color w:val="000000"/>
          <w:kern w:val="2"/>
          <w:sz w:val="24"/>
          <w:szCs w:val="24"/>
          <w:lang w:val="en-US" w:eastAsia="zh-CN" w:bidi="ar-SA"/>
        </w:rPr>
      </w:pPr>
      <w:r>
        <w:rPr>
          <w:rFonts w:hint="eastAsia" w:ascii="仿宋" w:hAnsi="仿宋" w:eastAsia="仿宋" w:cs="Times New Roman"/>
          <w:b/>
          <w:color w:val="000000"/>
          <w:kern w:val="2"/>
          <w:sz w:val="24"/>
          <w:szCs w:val="24"/>
          <w:lang w:val="en-US" w:eastAsia="zh-CN" w:bidi="ar-SA"/>
        </w:rPr>
        <w:t>1.素养与价值目标</w:t>
      </w:r>
    </w:p>
    <w:p>
      <w:pPr>
        <w:pStyle w:val="2"/>
        <w:spacing w:before="185" w:line="233" w:lineRule="auto"/>
        <w:ind w:left="130" w:right="113" w:firstLine="479"/>
        <w:jc w:val="both"/>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GB" w:eastAsia="zh-CN" w:bidi="ar-SA"/>
        </w:rPr>
        <w:t>在系统掌握马克思主义哲学原理的基础上，培养学生具有坚定的马克思主义 立场，具备人民至上的政治品格，确立中国特色社会主义和共产主义必然胜利的 理论自信。</w:t>
      </w:r>
    </w:p>
    <w:p>
      <w:pPr>
        <w:pStyle w:val="2"/>
        <w:spacing w:before="186" w:line="217" w:lineRule="auto"/>
        <w:ind w:left="606"/>
        <w:outlineLvl w:val="2"/>
        <w:rPr>
          <w:rFonts w:hint="eastAsia" w:ascii="仿宋" w:hAnsi="仿宋" w:eastAsia="仿宋" w:cs="Times New Roman"/>
          <w:b/>
          <w:color w:val="000000"/>
          <w:kern w:val="2"/>
          <w:sz w:val="24"/>
          <w:szCs w:val="24"/>
          <w:lang w:val="en-US" w:eastAsia="zh-CN" w:bidi="ar-SA"/>
        </w:rPr>
      </w:pPr>
      <w:r>
        <w:rPr>
          <w:rFonts w:hint="eastAsia" w:ascii="仿宋" w:hAnsi="仿宋" w:eastAsia="仿宋" w:cs="Times New Roman"/>
          <w:b/>
          <w:color w:val="000000"/>
          <w:kern w:val="2"/>
          <w:sz w:val="24"/>
          <w:szCs w:val="24"/>
          <w:lang w:val="en-US" w:eastAsia="zh-CN" w:bidi="ar-SA"/>
        </w:rPr>
        <w:t>2.知识与能力目标</w:t>
      </w:r>
    </w:p>
    <w:p>
      <w:pPr>
        <w:spacing w:line="71" w:lineRule="exact"/>
      </w:pPr>
    </w:p>
    <w:p>
      <w:pPr>
        <w:rPr>
          <w:rFonts w:ascii="Arial"/>
          <w:sz w:val="21"/>
        </w:rPr>
      </w:pPr>
    </w:p>
    <w:p>
      <w:pPr>
        <w:rPr>
          <w:rFonts w:ascii="Arial" w:hAnsi="Arial" w:eastAsia="Arial" w:cs="Arial"/>
          <w:sz w:val="21"/>
          <w:szCs w:val="21"/>
        </w:rPr>
        <w:sectPr>
          <w:pgSz w:w="11907" w:h="16839"/>
          <w:pgMar w:top="1431" w:right="1684" w:bottom="0" w:left="1687" w:header="0" w:footer="0" w:gutter="0"/>
          <w:cols w:space="720" w:num="1"/>
        </w:sectPr>
      </w:pPr>
    </w:p>
    <w:p>
      <w:pPr>
        <w:pStyle w:val="2"/>
        <w:spacing w:before="49" w:line="234" w:lineRule="auto"/>
        <w:ind w:left="134" w:right="42" w:firstLine="516"/>
        <w:jc w:val="both"/>
      </w:pPr>
      <w:r>
        <w:rPr>
          <w:spacing w:val="-1"/>
        </w:rPr>
        <w:t>目标1</w:t>
      </w:r>
      <w:r>
        <w:rPr>
          <w:rFonts w:hint="eastAsia"/>
          <w:spacing w:val="-1"/>
          <w:lang w:eastAsia="zh-CN"/>
        </w:rPr>
        <w:t>：</w:t>
      </w:r>
      <w:r>
        <w:rPr>
          <w:spacing w:val="-1"/>
        </w:rPr>
        <w:t>通过学习马克思主义哲学原理，使学生系统掌握马克思主义哲学的</w:t>
      </w:r>
      <w:r>
        <w:rPr>
          <w:spacing w:val="-8"/>
        </w:rPr>
        <w:t>立场、观点、方法，坚定理论自信和文化自信，</w:t>
      </w:r>
      <w:r>
        <w:rPr>
          <w:spacing w:val="-3"/>
        </w:rPr>
        <w:t>为学生自觉践行社会主义核心价值观、牢固树立共产主义</w:t>
      </w:r>
      <w:r>
        <w:rPr>
          <w:spacing w:val="-4"/>
        </w:rPr>
        <w:t>远大理想和中国特色社会主义共同理想提供理论支撑。</w:t>
      </w:r>
    </w:p>
    <w:p>
      <w:pPr>
        <w:pStyle w:val="2"/>
        <w:spacing w:before="23" w:line="233" w:lineRule="auto"/>
        <w:ind w:left="141" w:right="112" w:firstLine="508"/>
        <w:jc w:val="both"/>
      </w:pPr>
      <w:r>
        <w:rPr>
          <w:spacing w:val="-1"/>
        </w:rPr>
        <w:t>目标2</w:t>
      </w:r>
      <w:r>
        <w:rPr>
          <w:rFonts w:hint="eastAsia"/>
          <w:spacing w:val="-1"/>
          <w:lang w:eastAsia="zh-CN"/>
        </w:rPr>
        <w:t>：</w:t>
      </w:r>
      <w:r>
        <w:rPr>
          <w:spacing w:val="-1"/>
        </w:rPr>
        <w:t>通过学习马克思主义哲学原理，使学生具备基本的马克思主义哲学</w:t>
      </w:r>
      <w:r>
        <w:rPr>
          <w:spacing w:val="-4"/>
        </w:rPr>
        <w:t>素养，能够运用马克思主义哲学观点分析、阐释与思想政治教育专业相关的理论</w:t>
      </w:r>
      <w:r>
        <w:rPr>
          <w:spacing w:val="-14"/>
        </w:rPr>
        <w:t>问题。</w:t>
      </w:r>
    </w:p>
    <w:p>
      <w:pPr>
        <w:pStyle w:val="2"/>
        <w:spacing w:before="28" w:line="234" w:lineRule="auto"/>
        <w:ind w:left="128" w:right="113" w:firstLine="522"/>
        <w:jc w:val="both"/>
      </w:pPr>
      <w:r>
        <w:rPr>
          <w:spacing w:val="-1"/>
        </w:rPr>
        <w:t>目标3</w:t>
      </w:r>
      <w:r>
        <w:rPr>
          <w:rFonts w:hint="eastAsia"/>
          <w:spacing w:val="-1"/>
          <w:lang w:eastAsia="zh-CN"/>
        </w:rPr>
        <w:t>：</w:t>
      </w:r>
      <w:r>
        <w:rPr>
          <w:spacing w:val="-1"/>
        </w:rPr>
        <w:t>通过学习马克思主义哲学原理，使学生理解马克思主义哲学的批判</w:t>
      </w:r>
      <w:r>
        <w:rPr>
          <w:spacing w:val="-3"/>
        </w:rPr>
        <w:t>精神，掌握辩证思维的方法，为学生能够综合运用马克思主义哲学</w:t>
      </w:r>
      <w:r>
        <w:rPr>
          <w:spacing w:val="-4"/>
        </w:rPr>
        <w:t>的观点和方法</w:t>
      </w:r>
      <w:r>
        <w:rPr>
          <w:spacing w:val="-3"/>
        </w:rPr>
        <w:t>分析、评价、辨别不同性质的社会思潮和社会热点，为学生在思想政治</w:t>
      </w:r>
      <w:r>
        <w:rPr>
          <w:spacing w:val="-4"/>
        </w:rPr>
        <w:t>教育教学</w:t>
      </w:r>
      <w:r>
        <w:rPr>
          <w:spacing w:val="-3"/>
        </w:rPr>
        <w:t>中培育社会主义建设者和接班人提供学理支撑。</w:t>
      </w:r>
    </w:p>
    <w:p>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（二）课程目标对毕业要求的支撑</w:t>
      </w:r>
    </w:p>
    <w:tbl>
      <w:tblPr>
        <w:tblStyle w:val="4"/>
        <w:tblW w:w="5000" w:type="pct"/>
        <w:jc w:val="center"/>
        <w:tblLayout w:type="autofit"/>
        <w:tblCellMar>
          <w:top w:w="0" w:type="dxa"/>
          <w:left w:w="108" w:type="dxa"/>
          <w:bottom w:w="0" w:type="dxa"/>
          <w:right w:w="108" w:type="dxa"/>
        </w:tblCellMar>
      </w:tblPr>
      <w:tblGrid>
        <w:gridCol w:w="2788"/>
        <w:gridCol w:w="2800"/>
        <w:gridCol w:w="1468"/>
        <w:gridCol w:w="1466"/>
      </w:tblGrid>
      <w:tr>
        <w:trPr>
          <w:trHeight w:val="510" w:hRule="atLeast"/>
          <w:jc w:val="center"/>
        </w:trPr>
        <w:tc>
          <w:tcPr>
            <w:tcW w:w="16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642" w:type="pct"/>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861"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trPr>
          <w:trHeight w:val="1425" w:hRule="atLeast"/>
          <w:jc w:val="center"/>
        </w:trPr>
        <w:tc>
          <w:tcPr>
            <w:tcW w:w="1635" w:type="pct"/>
            <w:tcBorders>
              <w:top w:val="single" w:color="auto" w:sz="4" w:space="0"/>
              <w:left w:val="single" w:color="auto" w:sz="4" w:space="0"/>
              <w:bottom w:val="single" w:color="auto" w:sz="4" w:space="0"/>
              <w:right w:val="single" w:color="auto" w:sz="4" w:space="0"/>
            </w:tcBorders>
          </w:tcPr>
          <w:p>
            <w:pPr>
              <w:snapToGrid w:val="0"/>
              <w:spacing w:line="300" w:lineRule="auto"/>
              <w:ind w:firstLine="464" w:firstLineChars="200"/>
              <w:rPr>
                <w:rFonts w:hint="eastAsia" w:ascii="仿宋" w:hAnsi="仿宋" w:eastAsia="仿宋" w:cs="仿宋"/>
                <w:spacing w:val="-4"/>
                <w:kern w:val="2"/>
                <w:sz w:val="24"/>
                <w:szCs w:val="24"/>
                <w:lang w:val="en-US" w:eastAsia="zh-CN" w:bidi="ar-SA"/>
              </w:rPr>
            </w:pPr>
            <w:r>
              <w:rPr>
                <w:rFonts w:ascii="仿宋" w:hAnsi="仿宋" w:eastAsia="仿宋" w:cs="仿宋"/>
                <w:spacing w:val="-4"/>
                <w:kern w:val="2"/>
                <w:sz w:val="24"/>
                <w:szCs w:val="24"/>
                <w:lang w:val="en-US" w:eastAsia="en-US" w:bidi="ar-SA"/>
              </w:rPr>
              <w:t>2.</w:t>
            </w:r>
            <w:r>
              <w:rPr>
                <w:rFonts w:hint="eastAsia" w:ascii="仿宋" w:hAnsi="仿宋" w:eastAsia="仿宋" w:cs="仿宋"/>
                <w:spacing w:val="-4"/>
                <w:kern w:val="2"/>
                <w:sz w:val="24"/>
                <w:szCs w:val="24"/>
                <w:lang w:val="en-US" w:eastAsia="en-US" w:bidi="ar-SA"/>
              </w:rPr>
              <w:t>知识整合：具备扎实的思想政治学科知识，充分理解思想政治学科核心素养内涵，习得思想政治学科核心素养的学习指导方法和策略，能够围绕中学思想政治学科核心素养整合马克思主义理论、政治学、经济学、文化学等相关学科知识和哲学、文学、历史、伦理学、逻辑学、美学等跨学科知识，掌握教育学和心理学相关知识。</w:t>
            </w:r>
          </w:p>
        </w:tc>
        <w:tc>
          <w:tcPr>
            <w:tcW w:w="1642" w:type="pct"/>
            <w:tcBorders>
              <w:top w:val="single" w:color="auto" w:sz="4" w:space="0"/>
              <w:left w:val="nil"/>
              <w:bottom w:val="single" w:color="auto" w:sz="4" w:space="0"/>
              <w:right w:val="single" w:color="auto" w:sz="4" w:space="0"/>
            </w:tcBorders>
          </w:tcPr>
          <w:p>
            <w:pPr>
              <w:snapToGrid w:val="0"/>
              <w:spacing w:line="300" w:lineRule="auto"/>
              <w:ind w:firstLine="464" w:firstLineChars="200"/>
              <w:rPr>
                <w:rFonts w:hint="eastAsia" w:ascii="仿宋" w:hAnsi="仿宋" w:eastAsia="仿宋" w:cs="仿宋"/>
                <w:spacing w:val="-4"/>
                <w:kern w:val="2"/>
                <w:sz w:val="24"/>
                <w:szCs w:val="24"/>
                <w:lang w:val="en-US" w:eastAsia="en-US" w:bidi="ar-SA"/>
              </w:rPr>
            </w:pPr>
            <w:r>
              <w:rPr>
                <w:rFonts w:ascii="仿宋" w:hAnsi="仿宋" w:eastAsia="仿宋" w:cs="仿宋"/>
                <w:spacing w:val="-4"/>
                <w:kern w:val="2"/>
                <w:sz w:val="24"/>
                <w:szCs w:val="24"/>
                <w:lang w:val="en-US" w:eastAsia="en-US" w:bidi="ar-SA"/>
              </w:rPr>
              <w:t>2.1</w:t>
            </w:r>
            <w:r>
              <w:rPr>
                <w:rFonts w:hint="eastAsia" w:ascii="仿宋" w:hAnsi="仿宋" w:eastAsia="仿宋" w:cs="仿宋"/>
                <w:spacing w:val="-4"/>
                <w:kern w:val="2"/>
                <w:sz w:val="24"/>
                <w:szCs w:val="24"/>
                <w:lang w:val="en-US" w:eastAsia="en-US" w:bidi="ar-SA"/>
              </w:rPr>
              <w:t>具备扎实的思想政治教育所必备的学科背景类基础知识，并具有将基础知识运用于专业的学习、更新和发展的能力，充分理解思想政治教育学科的核心内涵；</w:t>
            </w:r>
          </w:p>
        </w:tc>
        <w:tc>
          <w:tcPr>
            <w:tcW w:w="861" w:type="pct"/>
            <w:tcBorders>
              <w:top w:val="single" w:color="auto" w:sz="4" w:space="0"/>
              <w:left w:val="nil"/>
              <w:bottom w:val="single" w:color="auto" w:sz="4" w:space="0"/>
              <w:right w:val="single" w:color="auto" w:sz="4" w:space="0"/>
            </w:tcBorders>
            <w:vAlign w:val="center"/>
          </w:tcPr>
          <w:p>
            <w:pPr>
              <w:snapToGrid w:val="0"/>
              <w:spacing w:line="300" w:lineRule="auto"/>
              <w:rPr>
                <w:rFonts w:hint="default" w:ascii="仿宋" w:hAnsi="仿宋" w:eastAsia="仿宋" w:cs="仿宋"/>
                <w:spacing w:val="-4"/>
                <w:kern w:val="2"/>
                <w:sz w:val="24"/>
                <w:szCs w:val="24"/>
                <w:lang w:val="en-US" w:eastAsia="zh-CN" w:bidi="ar-SA"/>
              </w:rPr>
            </w:pPr>
            <w:r>
              <w:rPr>
                <w:rFonts w:hint="eastAsia" w:ascii="仿宋" w:hAnsi="仿宋" w:eastAsia="仿宋" w:cs="仿宋"/>
                <w:spacing w:val="-4"/>
                <w:kern w:val="2"/>
                <w:sz w:val="24"/>
                <w:szCs w:val="24"/>
                <w:lang w:val="en-US" w:eastAsia="en-US" w:bidi="ar-SA"/>
              </w:rPr>
              <w:t>课程目标1</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H</w:t>
            </w:r>
          </w:p>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M</w:t>
            </w:r>
          </w:p>
          <w:p>
            <w:pPr>
              <w:numPr>
                <w:ilvl w:val="0"/>
                <w:numId w:val="0"/>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L</w:t>
            </w:r>
          </w:p>
        </w:tc>
      </w:tr>
      <w:tr>
        <w:trPr>
          <w:trHeight w:val="1425" w:hRule="atLeast"/>
          <w:jc w:val="center"/>
        </w:trPr>
        <w:tc>
          <w:tcPr>
            <w:tcW w:w="1635" w:type="pct"/>
            <w:tcBorders>
              <w:top w:val="single" w:color="auto" w:sz="4" w:space="0"/>
              <w:left w:val="single" w:color="auto" w:sz="4" w:space="0"/>
              <w:bottom w:val="single" w:color="auto" w:sz="4" w:space="0"/>
              <w:right w:val="single" w:color="auto" w:sz="4" w:space="0"/>
            </w:tcBorders>
          </w:tcPr>
          <w:p>
            <w:pPr>
              <w:snapToGrid w:val="0"/>
              <w:spacing w:line="300" w:lineRule="auto"/>
              <w:ind w:firstLine="464" w:firstLineChars="200"/>
              <w:rPr>
                <w:rFonts w:hint="eastAsia" w:ascii="仿宋" w:hAnsi="仿宋" w:eastAsia="仿宋" w:cs="仿宋"/>
                <w:spacing w:val="-4"/>
                <w:kern w:val="2"/>
                <w:sz w:val="24"/>
                <w:szCs w:val="24"/>
                <w:lang w:val="en-US" w:eastAsia="en-US" w:bidi="ar-SA"/>
              </w:rPr>
            </w:pPr>
            <w:r>
              <w:rPr>
                <w:rFonts w:ascii="仿宋" w:hAnsi="仿宋" w:eastAsia="仿宋" w:cs="仿宋"/>
                <w:spacing w:val="-4"/>
                <w:kern w:val="2"/>
                <w:sz w:val="24"/>
                <w:szCs w:val="24"/>
                <w:lang w:val="en-US" w:eastAsia="en-US" w:bidi="ar-SA"/>
              </w:rPr>
              <w:t>6.</w:t>
            </w:r>
            <w:r>
              <w:rPr>
                <w:rFonts w:hint="eastAsia" w:ascii="仿宋" w:hAnsi="仿宋" w:eastAsia="仿宋" w:cs="仿宋"/>
                <w:spacing w:val="-4"/>
                <w:kern w:val="2"/>
                <w:sz w:val="24"/>
                <w:szCs w:val="24"/>
                <w:lang w:val="en-US" w:eastAsia="en-US" w:bidi="ar-SA"/>
              </w:rPr>
              <w:t>反思研究：理解反思对教育教学的意义，能运用批判性思维从学生学习、课程教学和学科理解等角度反思教育教学问题，基本掌握教育研究方法，能够创造性地对教育教学问题进行研究，掌握指导学生开展研究的基本方法。</w:t>
            </w:r>
          </w:p>
        </w:tc>
        <w:tc>
          <w:tcPr>
            <w:tcW w:w="1642" w:type="pct"/>
            <w:tcBorders>
              <w:top w:val="single" w:color="auto" w:sz="4" w:space="0"/>
              <w:left w:val="nil"/>
              <w:bottom w:val="single" w:color="auto" w:sz="4" w:space="0"/>
              <w:right w:val="single" w:color="auto" w:sz="4" w:space="0"/>
            </w:tcBorders>
          </w:tcPr>
          <w:p>
            <w:pPr>
              <w:snapToGrid w:val="0"/>
              <w:spacing w:line="300" w:lineRule="auto"/>
              <w:ind w:firstLine="464" w:firstLineChars="200"/>
              <w:rPr>
                <w:rFonts w:hint="eastAsia" w:ascii="仿宋" w:hAnsi="仿宋" w:eastAsia="仿宋" w:cs="仿宋"/>
                <w:spacing w:val="-4"/>
                <w:kern w:val="2"/>
                <w:sz w:val="24"/>
                <w:szCs w:val="24"/>
                <w:lang w:val="en-US" w:eastAsia="en-US" w:bidi="ar-SA"/>
              </w:rPr>
            </w:pPr>
            <w:r>
              <w:rPr>
                <w:rFonts w:ascii="仿宋" w:hAnsi="仿宋" w:eastAsia="仿宋" w:cs="仿宋"/>
                <w:spacing w:val="-4"/>
                <w:kern w:val="2"/>
                <w:sz w:val="24"/>
                <w:szCs w:val="24"/>
                <w:lang w:val="en-US" w:eastAsia="en-US" w:bidi="ar-SA"/>
              </w:rPr>
              <w:t>6.1</w:t>
            </w:r>
            <w:r>
              <w:rPr>
                <w:rFonts w:hint="eastAsia" w:ascii="仿宋" w:hAnsi="仿宋" w:eastAsia="仿宋" w:cs="仿宋"/>
                <w:spacing w:val="-4"/>
                <w:kern w:val="2"/>
                <w:sz w:val="24"/>
                <w:szCs w:val="24"/>
                <w:lang w:val="en-US" w:eastAsia="en-US" w:bidi="ar-SA"/>
              </w:rPr>
              <w:t>能够认识并了解思想政治教育专业及相关专业中的批判性思维，提高自我标准和自我要求，熟悉并掌握思想政治教育专业的研究方法；</w:t>
            </w:r>
          </w:p>
        </w:tc>
        <w:tc>
          <w:tcPr>
            <w:tcW w:w="861" w:type="pct"/>
            <w:tcBorders>
              <w:top w:val="single" w:color="auto" w:sz="4" w:space="0"/>
              <w:left w:val="nil"/>
              <w:bottom w:val="single" w:color="auto" w:sz="4" w:space="0"/>
              <w:right w:val="single" w:color="auto" w:sz="4" w:space="0"/>
            </w:tcBorders>
            <w:vAlign w:val="center"/>
          </w:tcPr>
          <w:p>
            <w:pPr>
              <w:snapToGrid w:val="0"/>
              <w:spacing w:line="300" w:lineRule="auto"/>
              <w:rPr>
                <w:rFonts w:hint="eastAsia" w:ascii="仿宋" w:hAnsi="仿宋" w:eastAsia="仿宋" w:cs="仿宋"/>
                <w:spacing w:val="-4"/>
                <w:kern w:val="2"/>
                <w:sz w:val="24"/>
                <w:szCs w:val="24"/>
                <w:lang w:val="en-US" w:eastAsia="zh-CN" w:bidi="ar-SA"/>
              </w:rPr>
            </w:pPr>
            <w:r>
              <w:rPr>
                <w:rFonts w:hint="eastAsia" w:ascii="仿宋" w:hAnsi="仿宋" w:eastAsia="仿宋" w:cs="仿宋"/>
                <w:spacing w:val="-4"/>
                <w:kern w:val="2"/>
                <w:sz w:val="24"/>
                <w:szCs w:val="24"/>
                <w:lang w:val="en-US" w:eastAsia="en-US" w:bidi="ar-SA"/>
              </w:rPr>
              <w:t>课程目标</w:t>
            </w:r>
            <w:r>
              <w:rPr>
                <w:rFonts w:hint="eastAsia" w:ascii="仿宋" w:hAnsi="仿宋" w:eastAsia="仿宋" w:cs="仿宋"/>
                <w:spacing w:val="-4"/>
                <w:kern w:val="2"/>
                <w:sz w:val="24"/>
                <w:szCs w:val="24"/>
                <w:lang w:val="en-US" w:eastAsia="zh-CN" w:bidi="ar-SA"/>
              </w:rPr>
              <w:t>2</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H</w:t>
            </w:r>
          </w:p>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M</w:t>
            </w:r>
          </w:p>
          <w:p>
            <w:pPr>
              <w:numPr>
                <w:ilvl w:val="0"/>
                <w:numId w:val="0"/>
              </w:numPr>
              <w:spacing w:line="276" w:lineRule="auto"/>
              <w:ind w:left="360" w:leftChars="0" w:hanging="360" w:firstLineChars="0"/>
              <w:jc w:val="center"/>
              <w:rPr>
                <w:rFonts w:hint="eastAsia" w:ascii="仿宋" w:hAnsi="仿宋" w:eastAsia="仿宋" w:cs="Times New Roman"/>
                <w:color w:val="000000"/>
                <w:kern w:val="2"/>
                <w:sz w:val="24"/>
                <w:szCs w:val="24"/>
                <w:lang w:val="en-US" w:eastAsia="zh-CN" w:bidi="ar-SA"/>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L</w:t>
            </w:r>
          </w:p>
        </w:tc>
      </w:tr>
    </w:tbl>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4"/>
        <w:tblW w:w="44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
        <w:gridCol w:w="707"/>
        <w:gridCol w:w="1624"/>
        <w:gridCol w:w="550"/>
        <w:gridCol w:w="1728"/>
        <w:gridCol w:w="873"/>
        <w:gridCol w:w="844"/>
        <w:gridCol w:w="844"/>
      </w:tblGrid>
      <w:tr>
        <w:trPr>
          <w:jc w:val="center"/>
        </w:trPr>
        <w:tc>
          <w:tcPr>
            <w:tcW w:w="302" w:type="pct"/>
            <w:shd w:val="clear" w:color="auto" w:fill="auto"/>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463"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章节/教学单元</w:t>
            </w:r>
          </w:p>
        </w:tc>
        <w:tc>
          <w:tcPr>
            <w:tcW w:w="1064"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教学内容</w:t>
            </w:r>
          </w:p>
        </w:tc>
        <w:tc>
          <w:tcPr>
            <w:tcW w:w="360"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学时</w:t>
            </w:r>
          </w:p>
        </w:tc>
        <w:tc>
          <w:tcPr>
            <w:tcW w:w="1132" w:type="pct"/>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1"/>
                <w:szCs w:val="21"/>
                <w:lang w:val="en-GB"/>
              </w:rPr>
              <w:t>（重点、难点、课程思政元素等）</w:t>
            </w:r>
          </w:p>
        </w:tc>
        <w:tc>
          <w:tcPr>
            <w:tcW w:w="571"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教学方法</w:t>
            </w:r>
          </w:p>
        </w:tc>
        <w:tc>
          <w:tcPr>
            <w:tcW w:w="553"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考核形式</w:t>
            </w:r>
          </w:p>
        </w:tc>
        <w:tc>
          <w:tcPr>
            <w:tcW w:w="553"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课程目标</w:t>
            </w:r>
          </w:p>
        </w:tc>
      </w:tr>
      <w:tr>
        <w:trPr>
          <w:jc w:val="center"/>
        </w:trPr>
        <w:tc>
          <w:tcPr>
            <w:tcW w:w="302"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GB" w:eastAsia="zh-CN" w:bidi="ar-SA"/>
              </w:rPr>
              <w:t>1</w:t>
            </w:r>
          </w:p>
        </w:tc>
        <w:tc>
          <w:tcPr>
            <w:tcW w:w="463"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导论</w:t>
            </w:r>
          </w:p>
        </w:tc>
        <w:tc>
          <w:tcPr>
            <w:tcW w:w="1064" w:type="pct"/>
            <w:shd w:val="clear" w:color="auto" w:fill="auto"/>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GB" w:eastAsia="zh-CN" w:bidi="ar-SA"/>
              </w:rPr>
              <w:t>介绍课程总体安排、</w:t>
            </w:r>
            <w:r>
              <w:rPr>
                <w:rFonts w:hint="eastAsia" w:ascii="仿宋" w:hAnsi="仿宋" w:eastAsia="仿宋" w:cs="Times New Roman"/>
                <w:bCs/>
                <w:color w:val="000000"/>
                <w:kern w:val="2"/>
                <w:sz w:val="21"/>
                <w:szCs w:val="21"/>
                <w:lang w:val="en-US" w:eastAsia="zh-CN" w:bidi="ar-SA"/>
              </w:rPr>
              <w:t>课程简介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讲解：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GB" w:eastAsia="zh-CN" w:bidi="ar-SA"/>
              </w:rPr>
              <w:t>一、</w:t>
            </w:r>
            <w:r>
              <w:rPr>
                <w:rFonts w:hint="eastAsia" w:ascii="仿宋" w:hAnsi="仿宋" w:eastAsia="仿宋" w:cs="Times New Roman"/>
                <w:bCs/>
                <w:color w:val="000000"/>
                <w:kern w:val="2"/>
                <w:sz w:val="21"/>
                <w:szCs w:val="21"/>
                <w:lang w:val="en-US" w:eastAsia="zh-CN" w:bidi="ar-SA"/>
              </w:rPr>
              <w:t>什么是马克思主义、马克思主义哲学包括什么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二、马克思的青少年时代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三</w:t>
            </w:r>
            <w:r>
              <w:rPr>
                <w:rFonts w:hint="eastAsia" w:ascii="仿宋" w:hAnsi="仿宋" w:eastAsia="仿宋" w:cs="Times New Roman"/>
                <w:bCs/>
                <w:color w:val="000000"/>
                <w:kern w:val="2"/>
                <w:sz w:val="21"/>
                <w:szCs w:val="21"/>
                <w:lang w:val="en-GB" w:eastAsia="zh-CN" w:bidi="ar-SA"/>
              </w:rPr>
              <w:t>、</w:t>
            </w:r>
            <w:r>
              <w:rPr>
                <w:rFonts w:hint="eastAsia" w:ascii="仿宋" w:hAnsi="仿宋" w:eastAsia="仿宋" w:cs="Times New Roman"/>
                <w:bCs/>
                <w:color w:val="000000"/>
                <w:kern w:val="2"/>
                <w:sz w:val="21"/>
                <w:szCs w:val="21"/>
                <w:lang w:val="en-US" w:eastAsia="zh-CN" w:bidi="ar-SA"/>
              </w:rPr>
              <w:t>马克思主义哲学的当代意义</w:t>
            </w:r>
          </w:p>
        </w:tc>
        <w:tc>
          <w:tcPr>
            <w:tcW w:w="360"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4</w:t>
            </w:r>
          </w:p>
        </w:tc>
        <w:tc>
          <w:tcPr>
            <w:tcW w:w="1132"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1.了解：马克思主义产生的历史过程和发展阶段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2.理解：为什么要学习马克思主义哲学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3.掌握：什么是马克思主义、马克思主义哲学的当代价值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p>
        </w:tc>
        <w:tc>
          <w:tcPr>
            <w:tcW w:w="571" w:type="pct"/>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案例教学、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专题报告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课堂表现、小组讨论</w:t>
            </w: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1、2、3</w:t>
            </w:r>
          </w:p>
        </w:tc>
      </w:tr>
      <w:tr>
        <w:trPr>
          <w:trHeight w:val="3372" w:hRule="atLeast"/>
          <w:jc w:val="center"/>
        </w:trPr>
        <w:tc>
          <w:tcPr>
            <w:tcW w:w="302"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2</w:t>
            </w:r>
          </w:p>
        </w:tc>
        <w:tc>
          <w:tcPr>
            <w:tcW w:w="463"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1"/>
                <w:szCs w:val="21"/>
                <w:lang w:val="en-US" w:eastAsia="zh-CN" w:bidi="ar-SA"/>
              </w:rPr>
              <w:t>第一章马克思主义的哲学观</w:t>
            </w:r>
          </w:p>
        </w:tc>
        <w:tc>
          <w:tcPr>
            <w:tcW w:w="1064" w:type="pct"/>
            <w:shd w:val="clear" w:color="auto" w:fill="auto"/>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第一节哲学是理论形态的世界观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第二节哲学的基本问题和基本派别</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第三节哲学的历史演进和发展规律</w:t>
            </w:r>
          </w:p>
        </w:tc>
        <w:tc>
          <w:tcPr>
            <w:tcW w:w="360" w:type="pct"/>
            <w:shd w:val="clear" w:color="auto" w:fill="auto"/>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2</w:t>
            </w:r>
          </w:p>
        </w:tc>
        <w:tc>
          <w:tcPr>
            <w:tcW w:w="1132" w:type="pct"/>
            <w:shd w:val="clear" w:color="auto" w:fill="auto"/>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教学重点：世界观与人生观、价值观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教学难点：哲学的基本问题、哲学的基本派别</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p>
        </w:tc>
        <w:tc>
          <w:tcPr>
            <w:tcW w:w="571" w:type="pct"/>
            <w:shd w:val="clear" w:color="auto" w:fill="auto"/>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案例教学、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专题报告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p>
        </w:tc>
        <w:tc>
          <w:tcPr>
            <w:tcW w:w="553" w:type="pct"/>
            <w:shd w:val="clear" w:color="auto" w:fill="auto"/>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课堂表现、小组讨论</w:t>
            </w:r>
          </w:p>
        </w:tc>
        <w:tc>
          <w:tcPr>
            <w:tcW w:w="553" w:type="pct"/>
            <w:shd w:val="clear" w:color="auto" w:fill="auto"/>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1、2、3</w:t>
            </w:r>
          </w:p>
        </w:tc>
      </w:tr>
      <w:tr>
        <w:trPr>
          <w:jc w:val="center"/>
        </w:trPr>
        <w:tc>
          <w:tcPr>
            <w:tcW w:w="302"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3</w:t>
            </w:r>
          </w:p>
        </w:tc>
        <w:tc>
          <w:tcPr>
            <w:tcW w:w="463"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第二章马克思主义哲学的创立与发展</w:t>
            </w:r>
          </w:p>
        </w:tc>
        <w:tc>
          <w:tcPr>
            <w:tcW w:w="1064" w:type="pct"/>
            <w:shd w:val="clear" w:color="auto" w:fill="auto"/>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第一节马克思主义哲学的创立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第二节马克思主义哲学在哲学史上的革命性变革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第三节马克思主义哲学在世界的传播和影响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第四节马克思主义中国化历程及其哲学贡献</w:t>
            </w:r>
          </w:p>
        </w:tc>
        <w:tc>
          <w:tcPr>
            <w:tcW w:w="360"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3</w:t>
            </w:r>
          </w:p>
        </w:tc>
        <w:tc>
          <w:tcPr>
            <w:tcW w:w="1132"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教学重点：实践观点是马克思主义哲学的核心观点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教学难点：辩证唯物主义和历史唯物主义是马克思主义哲学的基本内容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p>
        </w:tc>
        <w:tc>
          <w:tcPr>
            <w:tcW w:w="571" w:type="pct"/>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案例教学、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专题报告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课堂表现、考勤</w:t>
            </w: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1、2、3</w:t>
            </w:r>
          </w:p>
        </w:tc>
      </w:tr>
      <w:tr>
        <w:trPr>
          <w:jc w:val="center"/>
        </w:trPr>
        <w:tc>
          <w:tcPr>
            <w:tcW w:w="302"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4</w:t>
            </w:r>
          </w:p>
        </w:tc>
        <w:tc>
          <w:tcPr>
            <w:tcW w:w="463"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第三章世界的物质性</w:t>
            </w:r>
          </w:p>
        </w:tc>
        <w:tc>
          <w:tcPr>
            <w:tcW w:w="1064" w:type="pct"/>
            <w:shd w:val="clear" w:color="auto" w:fill="auto"/>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第一节物质及其存在形态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第二节意识及其本质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第三节世界的物质统一性</w:t>
            </w:r>
          </w:p>
        </w:tc>
        <w:tc>
          <w:tcPr>
            <w:tcW w:w="360"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4</w:t>
            </w:r>
          </w:p>
        </w:tc>
        <w:tc>
          <w:tcPr>
            <w:tcW w:w="1132"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教学重点：物质与意识的物质统一性、教学难点：物质与意识的物质统一性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、自然界与人类社会的物质统一性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p>
        </w:tc>
        <w:tc>
          <w:tcPr>
            <w:tcW w:w="571" w:type="pct"/>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案例教学、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专题报告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课堂表现、考勤</w:t>
            </w: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1、2、3</w:t>
            </w:r>
          </w:p>
        </w:tc>
      </w:tr>
      <w:tr>
        <w:trPr>
          <w:jc w:val="center"/>
        </w:trPr>
        <w:tc>
          <w:tcPr>
            <w:tcW w:w="302"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5</w:t>
            </w:r>
          </w:p>
        </w:tc>
        <w:tc>
          <w:tcPr>
            <w:tcW w:w="463"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第四章实践与世界</w:t>
            </w:r>
          </w:p>
        </w:tc>
        <w:tc>
          <w:tcPr>
            <w:tcW w:w="1064" w:type="pct"/>
            <w:shd w:val="clear" w:color="auto" w:fill="auto"/>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第一节实践的本质与类型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第二节实践的结构与过程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第三节实践与世界的二重化</w:t>
            </w:r>
          </w:p>
        </w:tc>
        <w:tc>
          <w:tcPr>
            <w:tcW w:w="360"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3</w:t>
            </w:r>
          </w:p>
        </w:tc>
        <w:tc>
          <w:tcPr>
            <w:tcW w:w="1132"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教学重点：实践的本质、实践的基本类型、实践的基本结构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教学难点：</w:t>
            </w:r>
            <w:r>
              <w:rPr>
                <w:rFonts w:hint="eastAsia" w:ascii="仿宋" w:hAnsi="仿宋" w:eastAsia="仿宋" w:cs="Times New Roman"/>
                <w:bCs/>
                <w:color w:val="000000"/>
                <w:kern w:val="2"/>
                <w:sz w:val="21"/>
                <w:szCs w:val="21"/>
                <w:lang w:val="zh-CN" w:eastAsia="zh-CN" w:bidi="ar-SA"/>
              </w:rPr>
              <w:t>客观世界与主观世界、自在世界与属人世界</w:t>
            </w:r>
          </w:p>
        </w:tc>
        <w:tc>
          <w:tcPr>
            <w:tcW w:w="571" w:type="pct"/>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案例教学、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专题报告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课堂表现、课堂讨论</w:t>
            </w: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1、2、3</w:t>
            </w:r>
          </w:p>
        </w:tc>
      </w:tr>
      <w:tr>
        <w:trPr>
          <w:jc w:val="center"/>
        </w:trPr>
        <w:tc>
          <w:tcPr>
            <w:tcW w:w="302"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6</w:t>
            </w:r>
          </w:p>
        </w:tc>
        <w:tc>
          <w:tcPr>
            <w:tcW w:w="463"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zh-CN" w:eastAsia="zh-CN" w:bidi="ar-SA"/>
              </w:rPr>
              <w:t>第五章世界的联系与发展</w:t>
            </w:r>
          </w:p>
        </w:tc>
        <w:tc>
          <w:tcPr>
            <w:tcW w:w="1064" w:type="pct"/>
            <w:shd w:val="clear" w:color="auto" w:fill="auto"/>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第一节普遍联系与发展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zh-CN" w:eastAsia="zh-CN" w:bidi="ar-SA"/>
              </w:rPr>
              <w:t>第二节联系与发展的基本环节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zh-CN"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zh-CN" w:eastAsia="zh-CN" w:bidi="ar-SA"/>
              </w:rPr>
              <w:t>第三节联系与发展的规律性</w:t>
            </w:r>
          </w:p>
        </w:tc>
        <w:tc>
          <w:tcPr>
            <w:tcW w:w="360"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4</w:t>
            </w:r>
          </w:p>
        </w:tc>
        <w:tc>
          <w:tcPr>
            <w:tcW w:w="1132"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教学重点：联系的普遍性、普遍联系与系统、发展的方向与过程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教学难点：联系与发展的基本环节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（整体与部分、内容与形式、本质与现象、原因与结果、必然与偶然、现实与可能）、辩证法的实质</w:t>
            </w:r>
          </w:p>
        </w:tc>
        <w:tc>
          <w:tcPr>
            <w:tcW w:w="571" w:type="pct"/>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案例教学、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专题报告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课堂表现、考勤</w:t>
            </w: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1、2、3</w:t>
            </w:r>
          </w:p>
        </w:tc>
      </w:tr>
      <w:tr>
        <w:trPr>
          <w:jc w:val="center"/>
        </w:trPr>
        <w:tc>
          <w:tcPr>
            <w:tcW w:w="302"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7</w:t>
            </w:r>
          </w:p>
        </w:tc>
        <w:tc>
          <w:tcPr>
            <w:tcW w:w="463"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zh-CN" w:eastAsia="zh-CN" w:bidi="ar-SA"/>
              </w:rPr>
              <w:t>第六章联系与发展的基本规律</w:t>
            </w:r>
          </w:p>
        </w:tc>
        <w:tc>
          <w:tcPr>
            <w:tcW w:w="1064" w:type="pct"/>
            <w:shd w:val="clear" w:color="auto" w:fill="auto"/>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第一节对立统一规律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zh-CN" w:eastAsia="zh-CN" w:bidi="ar-SA"/>
              </w:rPr>
              <w:t>第二节量变质变规律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zh-CN" w:eastAsia="zh-CN" w:bidi="ar-SA"/>
              </w:rPr>
              <w:t>第三节否定之否定规律</w:t>
            </w:r>
          </w:p>
        </w:tc>
        <w:tc>
          <w:tcPr>
            <w:tcW w:w="360"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3</w:t>
            </w:r>
          </w:p>
        </w:tc>
        <w:tc>
          <w:tcPr>
            <w:tcW w:w="1132"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教学重点：矛盾的同一性与斗争性、矛盾的普遍性与特殊性、质、量、度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教学难点：量变与质变及其相互转化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zh-CN" w:eastAsia="zh-CN" w:bidi="ar-SA"/>
              </w:rPr>
              <w:t>、肯定与否定、否定之否定</w:t>
            </w:r>
          </w:p>
        </w:tc>
        <w:tc>
          <w:tcPr>
            <w:tcW w:w="571" w:type="pct"/>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案例教学、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专题报告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课堂表现、课堂讨论、作业</w:t>
            </w: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1、2、3</w:t>
            </w:r>
          </w:p>
        </w:tc>
      </w:tr>
      <w:tr>
        <w:trPr>
          <w:jc w:val="center"/>
        </w:trPr>
        <w:tc>
          <w:tcPr>
            <w:tcW w:w="302"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8</w:t>
            </w:r>
          </w:p>
        </w:tc>
        <w:tc>
          <w:tcPr>
            <w:tcW w:w="463"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zh-CN" w:eastAsia="zh-CN" w:bidi="ar-SA"/>
              </w:rPr>
              <w:t>第七章社会历史运动的规律性</w:t>
            </w:r>
          </w:p>
        </w:tc>
        <w:tc>
          <w:tcPr>
            <w:tcW w:w="1064" w:type="pct"/>
            <w:shd w:val="clear" w:color="auto" w:fill="auto"/>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第一节社会历史与人的活动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zh-CN" w:eastAsia="zh-CN" w:bidi="ar-SA"/>
              </w:rPr>
              <w:t>第二节人的活动与社会历史规律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zh-CN" w:eastAsia="zh-CN" w:bidi="ar-SA"/>
              </w:rPr>
              <w:t>第三节社会历史规律的作用方式</w:t>
            </w:r>
          </w:p>
        </w:tc>
        <w:tc>
          <w:tcPr>
            <w:tcW w:w="360"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3</w:t>
            </w:r>
          </w:p>
        </w:tc>
        <w:tc>
          <w:tcPr>
            <w:tcW w:w="1132"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教学重点：现实的人、人的活动的目的与利益、人的历史活动的规律性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教学难点：历史规律的特点、历史过程的必然性与偶然性、历史发展的决定性与选择性</w:t>
            </w:r>
          </w:p>
        </w:tc>
        <w:tc>
          <w:tcPr>
            <w:tcW w:w="571" w:type="pct"/>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案例教学、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专题报告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课堂表现、课堂讨论</w:t>
            </w: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1、2、3</w:t>
            </w:r>
          </w:p>
        </w:tc>
      </w:tr>
      <w:tr>
        <w:trPr>
          <w:jc w:val="center"/>
        </w:trPr>
        <w:tc>
          <w:tcPr>
            <w:tcW w:w="302"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9</w:t>
            </w:r>
          </w:p>
        </w:tc>
        <w:tc>
          <w:tcPr>
            <w:tcW w:w="463"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zh-CN" w:eastAsia="zh-CN" w:bidi="ar-SA"/>
              </w:rPr>
              <w:t>第八章社会基本矛盾运动及其规律</w:t>
            </w:r>
          </w:p>
        </w:tc>
        <w:tc>
          <w:tcPr>
            <w:tcW w:w="1064" w:type="pct"/>
            <w:shd w:val="clear" w:color="auto" w:fill="auto"/>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第一节生产力与生产关系的矛盾运动及其规律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zh-CN" w:eastAsia="zh-CN" w:bidi="ar-SA"/>
              </w:rPr>
              <w:t>第二节经济基础与上层建筑的矛盾运动及其规律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zh-CN" w:eastAsia="zh-CN" w:bidi="ar-SA"/>
              </w:rPr>
              <w:t>第三节社会基本矛盾与阶级斗争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zh-CN" w:eastAsia="zh-CN" w:bidi="ar-SA"/>
              </w:rPr>
              <w:t>第四节社会主义社会基本矛盾与改革</w:t>
            </w:r>
          </w:p>
        </w:tc>
        <w:tc>
          <w:tcPr>
            <w:tcW w:w="360"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4</w:t>
            </w:r>
          </w:p>
        </w:tc>
        <w:tc>
          <w:tcPr>
            <w:tcW w:w="1132"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教学重点：生产力与生产关系的矛盾运动、生产关系一定要适合生产力状况的规律；经济基础与上层建筑的矛盾运动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、上层建筑一定要适合经济基础状况的规律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教学难点：社会形态更替的统一性与多样性、社会发展的动力</w:t>
            </w:r>
          </w:p>
        </w:tc>
        <w:tc>
          <w:tcPr>
            <w:tcW w:w="571" w:type="pct"/>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案例教学、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专题报告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课堂表现、课堂讨论、作业</w:t>
            </w: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1、2、3</w:t>
            </w:r>
          </w:p>
        </w:tc>
      </w:tr>
      <w:tr>
        <w:trPr>
          <w:jc w:val="center"/>
        </w:trPr>
        <w:tc>
          <w:tcPr>
            <w:tcW w:w="302"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10</w:t>
            </w:r>
          </w:p>
        </w:tc>
        <w:tc>
          <w:tcPr>
            <w:tcW w:w="463"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zh-CN" w:eastAsia="zh-CN" w:bidi="ar-SA"/>
              </w:rPr>
              <w:t>第九章生产力在社会发展中的作用</w:t>
            </w:r>
          </w:p>
        </w:tc>
        <w:tc>
          <w:tcPr>
            <w:tcW w:w="1064" w:type="pct"/>
            <w:shd w:val="clear" w:color="auto" w:fill="auto"/>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第一节社会发展的决定性因素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zh-CN" w:eastAsia="zh-CN" w:bidi="ar-SA"/>
              </w:rPr>
              <w:t>第二节科学技术在生产力发展中的作用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zh-CN" w:eastAsia="zh-CN" w:bidi="ar-SA"/>
              </w:rPr>
              <w:t>第三节发展先进生产力</w:t>
            </w:r>
          </w:p>
        </w:tc>
        <w:tc>
          <w:tcPr>
            <w:tcW w:w="360"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2</w:t>
            </w:r>
          </w:p>
        </w:tc>
        <w:tc>
          <w:tcPr>
            <w:tcW w:w="1132"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教学重点：生产力是社会发展的最终决定力量、科学技术的社会功能、科学技术创新与生产力的跨越发展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教学难点：先进生产力的发展与生产关系的调整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三、先进生产力的发展与劳动者素质的提高、与经济社会的全面发展</w:t>
            </w:r>
          </w:p>
        </w:tc>
        <w:tc>
          <w:tcPr>
            <w:tcW w:w="571" w:type="pct"/>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案例教学、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专题报告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课堂表现、考勤</w:t>
            </w: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1、2、3</w:t>
            </w:r>
          </w:p>
        </w:tc>
      </w:tr>
      <w:tr>
        <w:trPr>
          <w:trHeight w:val="798" w:hRule="atLeast"/>
          <w:jc w:val="center"/>
        </w:trPr>
        <w:tc>
          <w:tcPr>
            <w:tcW w:w="302"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11</w:t>
            </w:r>
          </w:p>
        </w:tc>
        <w:tc>
          <w:tcPr>
            <w:tcW w:w="3591" w:type="pct"/>
            <w:gridSpan w:val="5"/>
            <w:shd w:val="clear" w:color="auto" w:fill="auto"/>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随堂测试（2课时）</w:t>
            </w: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测试</w:t>
            </w: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2</w:t>
            </w:r>
          </w:p>
        </w:tc>
      </w:tr>
      <w:tr>
        <w:trPr>
          <w:trHeight w:val="1957" w:hRule="atLeast"/>
          <w:jc w:val="center"/>
        </w:trPr>
        <w:tc>
          <w:tcPr>
            <w:tcW w:w="302"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12</w:t>
            </w:r>
          </w:p>
        </w:tc>
        <w:tc>
          <w:tcPr>
            <w:tcW w:w="463"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zh-CN" w:eastAsia="zh-CN" w:bidi="ar-SA"/>
              </w:rPr>
              <w:t>第十章人民群众在社会发展中的作用</w:t>
            </w:r>
          </w:p>
        </w:tc>
        <w:tc>
          <w:tcPr>
            <w:tcW w:w="1064" w:type="pct"/>
            <w:shd w:val="clear" w:color="auto" w:fill="auto"/>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第一节人民群众的历史地位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第二节个人的历史作用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zh-CN" w:eastAsia="zh-CN" w:bidi="ar-SA"/>
              </w:rPr>
              <w:t>第三节群众的组织与作用的发挥</w:t>
            </w:r>
          </w:p>
        </w:tc>
        <w:tc>
          <w:tcPr>
            <w:tcW w:w="360"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2</w:t>
            </w:r>
          </w:p>
        </w:tc>
        <w:tc>
          <w:tcPr>
            <w:tcW w:w="1132"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教学重点：英雄史观与群众史观的对立、人民群众是历史的创造者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教学难点：群众的组织与作用的发挥、评价历史人物的科学方法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p>
        </w:tc>
        <w:tc>
          <w:tcPr>
            <w:tcW w:w="571" w:type="pct"/>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案例教学、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专题报告</w:t>
            </w: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课堂表现、课堂讨论</w:t>
            </w: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1、2、3</w:t>
            </w:r>
          </w:p>
        </w:tc>
      </w:tr>
      <w:tr>
        <w:trPr>
          <w:trHeight w:val="726" w:hRule="atLeast"/>
          <w:jc w:val="center"/>
        </w:trPr>
        <w:tc>
          <w:tcPr>
            <w:tcW w:w="302"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13</w:t>
            </w:r>
          </w:p>
        </w:tc>
        <w:tc>
          <w:tcPr>
            <w:tcW w:w="3591" w:type="pct"/>
            <w:gridSpan w:val="5"/>
            <w:shd w:val="clear" w:color="auto" w:fill="auto"/>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小组汇报（2课时）汇报内容为</w:t>
            </w:r>
            <w:r>
              <w:rPr>
                <w:rFonts w:hint="eastAsia" w:ascii="仿宋" w:hAnsi="仿宋" w:eastAsia="仿宋" w:cs="Times New Roman"/>
                <w:bCs/>
                <w:color w:val="000000"/>
                <w:kern w:val="2"/>
                <w:sz w:val="21"/>
                <w:szCs w:val="21"/>
                <w:lang w:val="zh-CN" w:eastAsia="zh-CN" w:bidi="ar-SA"/>
              </w:rPr>
              <w:t>第十一章文化在社会发展中的作用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课堂汇报</w:t>
            </w: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2</w:t>
            </w:r>
          </w:p>
        </w:tc>
      </w:tr>
      <w:tr>
        <w:trPr>
          <w:jc w:val="center"/>
        </w:trPr>
        <w:tc>
          <w:tcPr>
            <w:tcW w:w="302"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
                <w:bCs w:val="0"/>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14</w:t>
            </w:r>
          </w:p>
        </w:tc>
        <w:tc>
          <w:tcPr>
            <w:tcW w:w="463"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zh-CN" w:eastAsia="zh-CN" w:bidi="ar-SA"/>
              </w:rPr>
              <w:t>第十二章认识活动及其规律</w:t>
            </w:r>
          </w:p>
        </w:tc>
        <w:tc>
          <w:tcPr>
            <w:tcW w:w="1064" w:type="pct"/>
            <w:shd w:val="clear" w:color="auto" w:fill="auto"/>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第一节认识的基础与本质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zh-CN" w:eastAsia="zh-CN" w:bidi="ar-SA"/>
              </w:rPr>
              <w:t>第二节认识的运动过程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zh-CN" w:eastAsia="zh-CN" w:bidi="ar-SA"/>
              </w:rPr>
              <w:t>第三节认识的思维方法</w:t>
            </w:r>
          </w:p>
        </w:tc>
        <w:tc>
          <w:tcPr>
            <w:tcW w:w="360"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2</w:t>
            </w:r>
          </w:p>
        </w:tc>
        <w:tc>
          <w:tcPr>
            <w:tcW w:w="1132"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教学重点：认识的基础、认识的本质、认识的根本任务、认识的过程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教学难点：认识的思维方法：归纳与演绎、分析与综合、抽象与具体、逻辑与历史</w:t>
            </w:r>
          </w:p>
        </w:tc>
        <w:tc>
          <w:tcPr>
            <w:tcW w:w="571" w:type="pct"/>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案例教学、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专题报告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课堂表现、课堂讨论</w:t>
            </w: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1、2、3</w:t>
            </w:r>
          </w:p>
        </w:tc>
      </w:tr>
      <w:tr>
        <w:trPr>
          <w:jc w:val="center"/>
        </w:trPr>
        <w:tc>
          <w:tcPr>
            <w:tcW w:w="302"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15</w:t>
            </w:r>
          </w:p>
        </w:tc>
        <w:tc>
          <w:tcPr>
            <w:tcW w:w="463"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zh-CN" w:eastAsia="zh-CN" w:bidi="ar-SA"/>
              </w:rPr>
              <w:t>第十三章真理及其检验标准</w:t>
            </w:r>
          </w:p>
        </w:tc>
        <w:tc>
          <w:tcPr>
            <w:tcW w:w="1064" w:type="pct"/>
            <w:shd w:val="clear" w:color="auto" w:fill="auto"/>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第一节真理的本质和特性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zh-CN" w:eastAsia="zh-CN" w:bidi="ar-SA"/>
              </w:rPr>
              <w:t>第二节真理的检验标准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zh-CN" w:eastAsia="zh-CN" w:bidi="ar-SA"/>
              </w:rPr>
              <w:t>第三节真理的发展规律</w:t>
            </w:r>
          </w:p>
        </w:tc>
        <w:tc>
          <w:tcPr>
            <w:tcW w:w="360"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2</w:t>
            </w:r>
          </w:p>
        </w:tc>
        <w:tc>
          <w:tcPr>
            <w:tcW w:w="1132"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教学重点：真理的本质、真理的相对性与绝对性、逻辑证明与实践标准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教学难点：真理的检验标准、实践是检验真理的唯一标准</w:t>
            </w:r>
          </w:p>
        </w:tc>
        <w:tc>
          <w:tcPr>
            <w:tcW w:w="571" w:type="pct"/>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案例教学、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专题报告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课堂表现、课堂讨论</w:t>
            </w: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1、2、3</w:t>
            </w:r>
          </w:p>
        </w:tc>
      </w:tr>
      <w:tr>
        <w:trPr>
          <w:jc w:val="center"/>
        </w:trPr>
        <w:tc>
          <w:tcPr>
            <w:tcW w:w="302"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16</w:t>
            </w:r>
          </w:p>
        </w:tc>
        <w:tc>
          <w:tcPr>
            <w:tcW w:w="463"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zh-CN" w:eastAsia="zh-CN" w:bidi="ar-SA"/>
              </w:rPr>
              <w:t>第十四章价值与价值观</w:t>
            </w:r>
          </w:p>
        </w:tc>
        <w:tc>
          <w:tcPr>
            <w:tcW w:w="1064" w:type="pct"/>
            <w:shd w:val="clear" w:color="auto" w:fill="auto"/>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第一节价值的本质与形态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zh-CN" w:eastAsia="zh-CN" w:bidi="ar-SA"/>
              </w:rPr>
              <w:t>第二节评价及其科学性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zh-CN" w:eastAsia="zh-CN" w:bidi="ar-SA"/>
              </w:rPr>
              <w:t>第三节价值观的形成与选择</w:t>
            </w:r>
          </w:p>
        </w:tc>
        <w:tc>
          <w:tcPr>
            <w:tcW w:w="360"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2</w:t>
            </w:r>
          </w:p>
        </w:tc>
        <w:tc>
          <w:tcPr>
            <w:tcW w:w="1132"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教学重点：价值的本质、基本特性、形态、评价的标准、培育和践行社会主义核心价值观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教学难点：价值观的形成、价值观的功能、价值观的冲突与选择</w:t>
            </w:r>
          </w:p>
        </w:tc>
        <w:tc>
          <w:tcPr>
            <w:tcW w:w="571" w:type="pct"/>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案例教学、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专题报告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课堂表现、课堂讨论</w:t>
            </w: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1、2、3</w:t>
            </w:r>
          </w:p>
        </w:tc>
      </w:tr>
      <w:tr>
        <w:trPr>
          <w:jc w:val="center"/>
        </w:trPr>
        <w:tc>
          <w:tcPr>
            <w:tcW w:w="302"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17</w:t>
            </w:r>
          </w:p>
        </w:tc>
        <w:tc>
          <w:tcPr>
            <w:tcW w:w="463"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期末总复习</w:t>
            </w:r>
          </w:p>
        </w:tc>
        <w:tc>
          <w:tcPr>
            <w:tcW w:w="1064" w:type="pct"/>
            <w:shd w:val="clear" w:color="auto" w:fill="auto"/>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串讲整本书的内容</w:t>
            </w:r>
          </w:p>
        </w:tc>
        <w:tc>
          <w:tcPr>
            <w:tcW w:w="360"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2</w:t>
            </w:r>
          </w:p>
        </w:tc>
        <w:tc>
          <w:tcPr>
            <w:tcW w:w="1132"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掌握书本基本知识</w:t>
            </w:r>
          </w:p>
        </w:tc>
        <w:tc>
          <w:tcPr>
            <w:tcW w:w="571" w:type="pct"/>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课堂表现</w:t>
            </w: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1、2、3</w:t>
            </w:r>
          </w:p>
        </w:tc>
      </w:tr>
      <w:tr>
        <w:trPr>
          <w:jc w:val="center"/>
        </w:trPr>
        <w:tc>
          <w:tcPr>
            <w:tcW w:w="302"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18</w:t>
            </w:r>
          </w:p>
        </w:tc>
        <w:tc>
          <w:tcPr>
            <w:tcW w:w="463" w:type="pct"/>
            <w:shd w:val="clear" w:color="auto" w:fill="auto"/>
            <w:vAlign w:val="center"/>
          </w:tcPr>
          <w:p>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期末考试</w:t>
            </w:r>
          </w:p>
        </w:tc>
        <w:tc>
          <w:tcPr>
            <w:tcW w:w="1064" w:type="pct"/>
            <w:shd w:val="clear" w:color="auto" w:fill="auto"/>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闭卷考试</w:t>
            </w:r>
          </w:p>
        </w:tc>
        <w:tc>
          <w:tcPr>
            <w:tcW w:w="360"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2</w:t>
            </w:r>
          </w:p>
        </w:tc>
        <w:tc>
          <w:tcPr>
            <w:tcW w:w="1132"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对所学知识点进行测验</w:t>
            </w:r>
          </w:p>
        </w:tc>
        <w:tc>
          <w:tcPr>
            <w:tcW w:w="571" w:type="pct"/>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考试</w:t>
            </w:r>
          </w:p>
        </w:tc>
        <w:tc>
          <w:tcPr>
            <w:tcW w:w="553" w:type="pct"/>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1、2、3</w:t>
            </w:r>
          </w:p>
        </w:tc>
      </w:tr>
    </w:tbl>
    <w:p>
      <w:pPr>
        <w:spacing w:after="156" w:afterLines="50" w:line="400" w:lineRule="exact"/>
        <w:rPr>
          <w:rFonts w:hint="eastAsia" w:eastAsia="仿宋"/>
          <w:color w:val="000000"/>
          <w:sz w:val="24"/>
        </w:rPr>
      </w:pP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pPr>
        <w:snapToGrid w:val="0"/>
        <w:spacing w:line="360" w:lineRule="auto"/>
        <w:ind w:firstLine="1200" w:firstLineChars="500"/>
        <w:rPr>
          <w:rFonts w:hint="eastAsia" w:eastAsia="仿宋"/>
          <w:sz w:val="24"/>
        </w:rPr>
      </w:pPr>
      <w:r>
        <w:rPr>
          <w:rFonts w:hint="eastAsia" w:eastAsia="仿宋"/>
          <w:sz w:val="24"/>
        </w:rPr>
        <w:t>百分制</w:t>
      </w:r>
    </w:p>
    <w:p>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hint="eastAsia" w:eastAsia="仿宋"/>
          <w:sz w:val="24"/>
          <w:lang w:val="en-US" w:eastAsia="zh-CN"/>
        </w:rPr>
        <w:t>40</w:t>
      </w:r>
      <w:r>
        <w:rPr>
          <w:rFonts w:eastAsia="仿宋"/>
          <w:sz w:val="24"/>
        </w:rPr>
        <w:t>%</w:t>
      </w:r>
      <w:r>
        <w:rPr>
          <w:rFonts w:hint="eastAsia" w:eastAsia="仿宋"/>
          <w:sz w:val="24"/>
        </w:rPr>
        <w:t>，实验成绩</w:t>
      </w:r>
      <w:r>
        <w:rPr>
          <w:rFonts w:eastAsia="仿宋"/>
          <w:sz w:val="24"/>
        </w:rPr>
        <w:t>*%</w:t>
      </w:r>
      <w:r>
        <w:rPr>
          <w:rFonts w:hint="eastAsia" w:eastAsia="仿宋"/>
          <w:sz w:val="24"/>
        </w:rPr>
        <w:t>，结课考核成绩</w:t>
      </w:r>
      <w:r>
        <w:rPr>
          <w:rFonts w:hint="eastAsia" w:eastAsia="仿宋"/>
          <w:sz w:val="24"/>
          <w:lang w:val="en-US" w:eastAsia="zh-CN"/>
        </w:rPr>
        <w:t>60</w:t>
      </w:r>
      <w:r>
        <w:rPr>
          <w:rFonts w:eastAsia="仿宋"/>
          <w:sz w:val="24"/>
        </w:rPr>
        <w:t>%</w:t>
      </w:r>
    </w:p>
    <w:p>
      <w:pPr>
        <w:snapToGrid w:val="0"/>
        <w:spacing w:line="360" w:lineRule="auto"/>
        <w:ind w:firstLine="482" w:firstLineChars="200"/>
        <w:rPr>
          <w:rFonts w:hint="eastAsia" w:ascii="仿宋" w:hAnsi="仿宋" w:eastAsia="仿宋"/>
          <w:b/>
          <w:color w:val="000000"/>
          <w:sz w:val="24"/>
        </w:rPr>
        <w:sectPr>
          <w:pgSz w:w="11906" w:h="16838"/>
          <w:pgMar w:top="1440" w:right="1800" w:bottom="1440" w:left="1800" w:header="851" w:footer="992" w:gutter="0"/>
          <w:cols w:space="720" w:num="1"/>
          <w:docGrid w:type="lines" w:linePitch="312" w:charSpace="0"/>
        </w:sectPr>
      </w:pPr>
      <w:r>
        <w:rPr>
          <w:rFonts w:hint="eastAsia" w:ascii="仿宋" w:hAnsi="仿宋" w:eastAsia="仿宋"/>
          <w:b/>
          <w:color w:val="000000"/>
          <w:sz w:val="24"/>
        </w:rPr>
        <w:t>（三）考核环节：</w:t>
      </w:r>
    </w:p>
    <w:p>
      <w:pPr>
        <w:snapToGrid w:val="0"/>
        <w:spacing w:line="360" w:lineRule="auto"/>
        <w:ind w:firstLine="482" w:firstLineChars="200"/>
        <w:rPr>
          <w:rFonts w:hint="eastAsia" w:ascii="仿宋" w:hAnsi="仿宋" w:eastAsia="仿宋"/>
          <w:b/>
          <w:color w:val="000000"/>
          <w:sz w:val="24"/>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761"/>
        <w:gridCol w:w="798"/>
        <w:gridCol w:w="2410"/>
        <w:gridCol w:w="2035"/>
      </w:tblGrid>
      <w:tr>
        <w:trPr>
          <w:jc w:val="center"/>
        </w:trPr>
        <w:tc>
          <w:tcPr>
            <w:tcW w:w="1578" w:type="dxa"/>
            <w:gridSpan w:val="2"/>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798"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2410"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2035"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对应的课程目标</w:t>
            </w:r>
          </w:p>
        </w:tc>
      </w:tr>
      <w:tr>
        <w:trPr>
          <w:jc w:val="center"/>
        </w:trPr>
        <w:tc>
          <w:tcPr>
            <w:tcW w:w="817" w:type="dxa"/>
            <w:vMerge w:val="restart"/>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r>
              <w:rPr>
                <w:rFonts w:hint="eastAsia" w:ascii="仿宋" w:hAnsi="仿宋" w:eastAsia="仿宋"/>
                <w:b/>
                <w:color w:val="000000"/>
                <w:sz w:val="24"/>
                <w:lang w:eastAsia="zh-CN"/>
              </w:rPr>
              <w:t>（</w:t>
            </w:r>
            <w:r>
              <w:rPr>
                <w:rFonts w:hint="eastAsia" w:ascii="仿宋" w:hAnsi="仿宋" w:eastAsia="仿宋"/>
                <w:b/>
                <w:color w:val="000000"/>
                <w:sz w:val="24"/>
                <w:lang w:val="en-US" w:eastAsia="zh-CN"/>
              </w:rPr>
              <w:t>满分100分</w:t>
            </w:r>
            <w:r>
              <w:rPr>
                <w:rFonts w:hint="eastAsia" w:ascii="仿宋" w:hAnsi="仿宋" w:eastAsia="仿宋"/>
                <w:b/>
                <w:color w:val="000000"/>
                <w:sz w:val="24"/>
                <w:lang w:eastAsia="zh-CN"/>
              </w:rPr>
              <w:t>）</w:t>
            </w:r>
          </w:p>
        </w:tc>
        <w:tc>
          <w:tcPr>
            <w:tcW w:w="761" w:type="dxa"/>
            <w:shd w:val="clear" w:color="auto" w:fill="auto"/>
            <w:vAlign w:val="center"/>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随堂测试</w:t>
            </w:r>
          </w:p>
        </w:tc>
        <w:tc>
          <w:tcPr>
            <w:tcW w:w="798" w:type="dxa"/>
          </w:tcPr>
          <w:p>
            <w:pPr>
              <w:widowControl/>
              <w:spacing w:line="276" w:lineRule="auto"/>
              <w:jc w:val="center"/>
              <w:rPr>
                <w:rFonts w:hint="eastAsia" w:ascii="仿宋" w:hAnsi="仿宋" w:eastAsia="仿宋" w:cs="Times New Roman"/>
                <w:bCs/>
                <w:color w:val="000000"/>
                <w:kern w:val="2"/>
                <w:sz w:val="24"/>
                <w:szCs w:val="24"/>
                <w:lang w:val="en-US" w:eastAsia="zh-CN" w:bidi="ar-SA"/>
              </w:rPr>
            </w:pPr>
          </w:p>
          <w:p>
            <w:pPr>
              <w:widowControl/>
              <w:spacing w:line="276" w:lineRule="auto"/>
              <w:jc w:val="center"/>
              <w:rPr>
                <w:rFonts w:hint="eastAsia" w:ascii="仿宋" w:hAnsi="仿宋" w:eastAsia="仿宋" w:cs="Times New Roman"/>
                <w:bCs/>
                <w:color w:val="000000"/>
                <w:kern w:val="2"/>
                <w:sz w:val="24"/>
                <w:szCs w:val="24"/>
                <w:lang w:val="en-US" w:eastAsia="zh-CN" w:bidi="ar-SA"/>
              </w:rPr>
            </w:pPr>
          </w:p>
          <w:p>
            <w:pPr>
              <w:widowControl/>
              <w:spacing w:line="276" w:lineRule="auto"/>
              <w:jc w:val="center"/>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30</w:t>
            </w:r>
          </w:p>
        </w:tc>
        <w:tc>
          <w:tcPr>
            <w:tcW w:w="2410" w:type="dxa"/>
          </w:tcPr>
          <w:p>
            <w:pPr>
              <w:widowControl/>
              <w:spacing w:line="276" w:lineRule="auto"/>
              <w:jc w:val="left"/>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任课教师完成一定教学内容之后安排的</w:t>
            </w:r>
            <w:r>
              <w:rPr>
                <w:rFonts w:hint="eastAsia" w:ascii="仿宋" w:hAnsi="仿宋" w:eastAsia="仿宋" w:cs="Times New Roman"/>
                <w:bCs/>
                <w:color w:val="000000"/>
                <w:kern w:val="2"/>
                <w:sz w:val="24"/>
                <w:szCs w:val="24"/>
                <w:lang w:val="en-US" w:eastAsia="zh-CN" w:bidi="ar-SA"/>
              </w:rPr>
              <w:t>随堂测试</w:t>
            </w:r>
            <w:r>
              <w:rPr>
                <w:rFonts w:hint="eastAsia" w:ascii="仿宋" w:hAnsi="仿宋" w:eastAsia="仿宋" w:cs="Times New Roman"/>
                <w:bCs/>
                <w:color w:val="000000"/>
                <w:kern w:val="2"/>
                <w:sz w:val="24"/>
                <w:szCs w:val="24"/>
                <w:lang w:val="zh-CN" w:eastAsia="zh-CN" w:bidi="ar-SA"/>
              </w:rPr>
              <w:t>。帮助学生巩固学习内容。</w:t>
            </w:r>
          </w:p>
        </w:tc>
        <w:tc>
          <w:tcPr>
            <w:tcW w:w="2035" w:type="dxa"/>
          </w:tcPr>
          <w:p>
            <w:pPr>
              <w:snapToGrid w:val="0"/>
              <w:spacing w:line="360" w:lineRule="auto"/>
              <w:jc w:val="center"/>
              <w:rPr>
                <w:rFonts w:hint="eastAsia" w:ascii="仿宋" w:hAnsi="仿宋" w:eastAsia="仿宋" w:cs="Times New Roman"/>
                <w:bCs/>
                <w:color w:val="000000"/>
                <w:kern w:val="2"/>
                <w:sz w:val="24"/>
                <w:szCs w:val="24"/>
                <w:lang w:val="zh-CN" w:eastAsia="zh-CN" w:bidi="ar-SA"/>
              </w:rPr>
            </w:pPr>
          </w:p>
          <w:p>
            <w:pPr>
              <w:snapToGrid w:val="0"/>
              <w:spacing w:line="360" w:lineRule="auto"/>
              <w:jc w:val="center"/>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zh-CN" w:eastAsia="zh-CN" w:bidi="ar-SA"/>
              </w:rPr>
              <w:t>课程目标1、</w:t>
            </w:r>
            <w:r>
              <w:rPr>
                <w:rFonts w:hint="eastAsia" w:ascii="仿宋" w:hAnsi="仿宋" w:eastAsia="仿宋" w:cs="Times New Roman"/>
                <w:bCs/>
                <w:color w:val="000000"/>
                <w:kern w:val="2"/>
                <w:sz w:val="24"/>
                <w:szCs w:val="24"/>
                <w:lang w:val="en-US" w:eastAsia="zh-CN" w:bidi="ar-SA"/>
              </w:rPr>
              <w:t>2、3</w:t>
            </w:r>
          </w:p>
        </w:tc>
      </w:tr>
      <w:tr>
        <w:trPr>
          <w:jc w:val="center"/>
        </w:trPr>
        <w:tc>
          <w:tcPr>
            <w:tcW w:w="817"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课堂表现</w:t>
            </w:r>
          </w:p>
        </w:tc>
        <w:tc>
          <w:tcPr>
            <w:tcW w:w="798" w:type="dxa"/>
          </w:tcPr>
          <w:p>
            <w:pPr>
              <w:widowControl/>
              <w:spacing w:line="276" w:lineRule="auto"/>
              <w:jc w:val="left"/>
              <w:rPr>
                <w:rFonts w:hint="eastAsia" w:ascii="仿宋" w:hAnsi="仿宋" w:eastAsia="仿宋" w:cs="Times New Roman"/>
                <w:bCs/>
                <w:color w:val="000000"/>
                <w:kern w:val="2"/>
                <w:sz w:val="24"/>
                <w:szCs w:val="24"/>
                <w:lang w:val="en-US" w:eastAsia="zh-CN" w:bidi="ar-SA"/>
              </w:rPr>
            </w:pPr>
          </w:p>
          <w:p>
            <w:pPr>
              <w:widowControl/>
              <w:spacing w:line="276" w:lineRule="auto"/>
              <w:jc w:val="left"/>
              <w:rPr>
                <w:rFonts w:hint="eastAsia" w:ascii="仿宋" w:hAnsi="仿宋" w:eastAsia="仿宋" w:cs="Times New Roman"/>
                <w:bCs/>
                <w:color w:val="000000"/>
                <w:kern w:val="2"/>
                <w:sz w:val="24"/>
                <w:szCs w:val="24"/>
                <w:lang w:val="en-US" w:eastAsia="zh-CN" w:bidi="ar-SA"/>
              </w:rPr>
            </w:pPr>
          </w:p>
          <w:p>
            <w:pPr>
              <w:widowControl/>
              <w:spacing w:line="276" w:lineRule="auto"/>
              <w:jc w:val="left"/>
              <w:rPr>
                <w:rFonts w:hint="eastAsia" w:ascii="仿宋" w:hAnsi="仿宋" w:eastAsia="仿宋" w:cs="Times New Roman"/>
                <w:bCs/>
                <w:color w:val="000000"/>
                <w:kern w:val="2"/>
                <w:sz w:val="24"/>
                <w:szCs w:val="24"/>
                <w:lang w:val="en-US" w:eastAsia="zh-CN" w:bidi="ar-SA"/>
              </w:rPr>
            </w:pPr>
          </w:p>
          <w:p>
            <w:pPr>
              <w:widowControl/>
              <w:spacing w:line="276" w:lineRule="auto"/>
              <w:jc w:val="center"/>
              <w:rPr>
                <w:rFonts w:hint="eastAsia" w:ascii="仿宋" w:hAnsi="仿宋" w:eastAsia="仿宋" w:cs="Times New Roman"/>
                <w:bCs/>
                <w:color w:val="000000"/>
                <w:kern w:val="2"/>
                <w:sz w:val="24"/>
                <w:szCs w:val="24"/>
                <w:lang w:val="en-US" w:eastAsia="zh-CN" w:bidi="ar-SA"/>
              </w:rPr>
            </w:pPr>
          </w:p>
          <w:p>
            <w:pPr>
              <w:widowControl/>
              <w:spacing w:line="276" w:lineRule="auto"/>
              <w:jc w:val="center"/>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30</w:t>
            </w:r>
          </w:p>
        </w:tc>
        <w:tc>
          <w:tcPr>
            <w:tcW w:w="2410" w:type="dxa"/>
          </w:tcPr>
          <w:p>
            <w:pPr>
              <w:widowControl/>
              <w:spacing w:line="276" w:lineRule="auto"/>
              <w:jc w:val="left"/>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学生在课堂上的口头参与（课堂讨论、回答或提出问题及其他形式的口头交际情况）、学习态度、与教师和同学交往的情况等。鼓励学生积极参与课堂教学，其评价对象可以包括但不限于学生出勤、参与课堂学习过程如回答问题、课堂讨论等。</w:t>
            </w:r>
          </w:p>
        </w:tc>
        <w:tc>
          <w:tcPr>
            <w:tcW w:w="2035" w:type="dxa"/>
          </w:tcPr>
          <w:p>
            <w:pPr>
              <w:snapToGrid w:val="0"/>
              <w:spacing w:line="360" w:lineRule="auto"/>
              <w:jc w:val="center"/>
              <w:rPr>
                <w:rFonts w:hint="eastAsia" w:ascii="仿宋" w:hAnsi="仿宋" w:eastAsia="仿宋" w:cs="Times New Roman"/>
                <w:bCs/>
                <w:color w:val="000000"/>
                <w:kern w:val="2"/>
                <w:sz w:val="24"/>
                <w:szCs w:val="24"/>
                <w:lang w:val="zh-CN" w:eastAsia="zh-CN" w:bidi="ar-SA"/>
              </w:rPr>
            </w:pPr>
          </w:p>
          <w:p>
            <w:pPr>
              <w:snapToGrid w:val="0"/>
              <w:spacing w:line="360" w:lineRule="auto"/>
              <w:jc w:val="center"/>
              <w:rPr>
                <w:rFonts w:hint="eastAsia" w:ascii="仿宋" w:hAnsi="仿宋" w:eastAsia="仿宋" w:cs="Times New Roman"/>
                <w:bCs/>
                <w:color w:val="000000"/>
                <w:kern w:val="2"/>
                <w:sz w:val="24"/>
                <w:szCs w:val="24"/>
                <w:lang w:val="zh-CN" w:eastAsia="zh-CN" w:bidi="ar-SA"/>
              </w:rPr>
            </w:pPr>
          </w:p>
          <w:p>
            <w:pPr>
              <w:snapToGrid w:val="0"/>
              <w:spacing w:line="360" w:lineRule="auto"/>
              <w:jc w:val="center"/>
              <w:rPr>
                <w:rFonts w:hint="eastAsia" w:ascii="仿宋" w:hAnsi="仿宋" w:eastAsia="仿宋" w:cs="Times New Roman"/>
                <w:bCs/>
                <w:color w:val="000000"/>
                <w:kern w:val="2"/>
                <w:sz w:val="24"/>
                <w:szCs w:val="24"/>
                <w:lang w:val="zh-CN" w:eastAsia="zh-CN" w:bidi="ar-SA"/>
              </w:rPr>
            </w:pPr>
          </w:p>
          <w:p>
            <w:pPr>
              <w:snapToGrid w:val="0"/>
              <w:spacing w:line="360" w:lineRule="auto"/>
              <w:jc w:val="center"/>
              <w:rPr>
                <w:rFonts w:hint="eastAsia" w:ascii="仿宋" w:hAnsi="仿宋" w:eastAsia="仿宋" w:cs="Times New Roman"/>
                <w:bCs/>
                <w:color w:val="000000"/>
                <w:kern w:val="2"/>
                <w:sz w:val="24"/>
                <w:szCs w:val="24"/>
                <w:lang w:val="zh-CN" w:eastAsia="zh-CN" w:bidi="ar-SA"/>
              </w:rPr>
            </w:pPr>
          </w:p>
          <w:p>
            <w:pPr>
              <w:snapToGrid w:val="0"/>
              <w:spacing w:line="360" w:lineRule="auto"/>
              <w:jc w:val="center"/>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zh-CN" w:eastAsia="zh-CN" w:bidi="ar-SA"/>
              </w:rPr>
              <w:t>课程目标1、</w:t>
            </w:r>
            <w:r>
              <w:rPr>
                <w:rFonts w:hint="eastAsia" w:ascii="仿宋" w:hAnsi="仿宋" w:eastAsia="仿宋" w:cs="Times New Roman"/>
                <w:bCs/>
                <w:color w:val="000000"/>
                <w:kern w:val="2"/>
                <w:sz w:val="24"/>
                <w:szCs w:val="24"/>
                <w:lang w:val="en-US" w:eastAsia="zh-CN" w:bidi="ar-SA"/>
              </w:rPr>
              <w:t>2、3</w:t>
            </w:r>
          </w:p>
        </w:tc>
      </w:tr>
      <w:tr>
        <w:trPr>
          <w:jc w:val="center"/>
        </w:trPr>
        <w:tc>
          <w:tcPr>
            <w:tcW w:w="817"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考勤</w:t>
            </w:r>
          </w:p>
        </w:tc>
        <w:tc>
          <w:tcPr>
            <w:tcW w:w="798" w:type="dxa"/>
          </w:tcPr>
          <w:p>
            <w:pPr>
              <w:widowControl/>
              <w:spacing w:line="276" w:lineRule="auto"/>
              <w:jc w:val="center"/>
              <w:rPr>
                <w:rFonts w:hint="eastAsia" w:ascii="仿宋" w:hAnsi="仿宋" w:eastAsia="仿宋" w:cs="Times New Roman"/>
                <w:bCs/>
                <w:color w:val="000000"/>
                <w:kern w:val="2"/>
                <w:sz w:val="24"/>
                <w:szCs w:val="24"/>
                <w:lang w:val="en-US" w:eastAsia="zh-CN" w:bidi="ar-SA"/>
              </w:rPr>
            </w:pPr>
          </w:p>
          <w:p>
            <w:pPr>
              <w:widowControl/>
              <w:spacing w:line="276" w:lineRule="auto"/>
              <w:jc w:val="center"/>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20</w:t>
            </w:r>
          </w:p>
        </w:tc>
        <w:tc>
          <w:tcPr>
            <w:tcW w:w="2410" w:type="dxa"/>
          </w:tcPr>
          <w:p>
            <w:pPr>
              <w:widowControl/>
              <w:spacing w:line="276" w:lineRule="auto"/>
              <w:jc w:val="left"/>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任课教师根据教学计划进行点名、考勤，掌握学生的到课率。</w:t>
            </w:r>
          </w:p>
        </w:tc>
        <w:tc>
          <w:tcPr>
            <w:tcW w:w="2035" w:type="dxa"/>
          </w:tcPr>
          <w:p>
            <w:pPr>
              <w:snapToGrid w:val="0"/>
              <w:spacing w:line="360" w:lineRule="auto"/>
              <w:jc w:val="center"/>
              <w:rPr>
                <w:rFonts w:hint="eastAsia" w:ascii="仿宋" w:hAnsi="仿宋" w:eastAsia="仿宋" w:cs="Times New Roman"/>
                <w:bCs/>
                <w:color w:val="000000"/>
                <w:kern w:val="2"/>
                <w:sz w:val="24"/>
                <w:szCs w:val="24"/>
                <w:lang w:val="zh-CN" w:eastAsia="zh-CN" w:bidi="ar-SA"/>
              </w:rPr>
            </w:pPr>
          </w:p>
          <w:p>
            <w:pPr>
              <w:snapToGrid w:val="0"/>
              <w:spacing w:line="360" w:lineRule="auto"/>
              <w:jc w:val="center"/>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课程目标</w:t>
            </w:r>
            <w:r>
              <w:rPr>
                <w:rFonts w:hint="eastAsia" w:ascii="仿宋" w:hAnsi="仿宋" w:eastAsia="仿宋" w:cs="Times New Roman"/>
                <w:bCs/>
                <w:color w:val="000000"/>
                <w:kern w:val="2"/>
                <w:sz w:val="24"/>
                <w:szCs w:val="24"/>
                <w:lang w:val="en-US" w:eastAsia="zh-CN" w:bidi="ar-SA"/>
              </w:rPr>
              <w:t>2</w:t>
            </w:r>
          </w:p>
        </w:tc>
      </w:tr>
      <w:tr>
        <w:trPr>
          <w:jc w:val="center"/>
        </w:trPr>
        <w:tc>
          <w:tcPr>
            <w:tcW w:w="817"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pPr>
              <w:snapToGrid w:val="0"/>
              <w:spacing w:line="360" w:lineRule="auto"/>
              <w:jc w:val="both"/>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课堂汇报</w:t>
            </w:r>
          </w:p>
        </w:tc>
        <w:tc>
          <w:tcPr>
            <w:tcW w:w="798" w:type="dxa"/>
          </w:tcPr>
          <w:p>
            <w:pPr>
              <w:widowControl/>
              <w:spacing w:line="276" w:lineRule="auto"/>
              <w:jc w:val="center"/>
              <w:rPr>
                <w:rFonts w:hint="eastAsia" w:ascii="仿宋" w:hAnsi="仿宋" w:eastAsia="仿宋" w:cs="Times New Roman"/>
                <w:bCs/>
                <w:color w:val="000000"/>
                <w:kern w:val="2"/>
                <w:sz w:val="24"/>
                <w:szCs w:val="24"/>
                <w:lang w:val="en-US" w:eastAsia="zh-CN" w:bidi="ar-SA"/>
              </w:rPr>
            </w:pPr>
          </w:p>
          <w:p>
            <w:pPr>
              <w:widowControl/>
              <w:spacing w:line="276" w:lineRule="auto"/>
              <w:jc w:val="center"/>
              <w:rPr>
                <w:rFonts w:hint="eastAsia" w:ascii="仿宋" w:hAnsi="仿宋" w:eastAsia="仿宋" w:cs="Times New Roman"/>
                <w:bCs/>
                <w:color w:val="000000"/>
                <w:kern w:val="2"/>
                <w:sz w:val="24"/>
                <w:szCs w:val="24"/>
                <w:lang w:val="en-US" w:eastAsia="zh-CN" w:bidi="ar-SA"/>
              </w:rPr>
            </w:pPr>
          </w:p>
          <w:p>
            <w:pPr>
              <w:widowControl/>
              <w:spacing w:line="276" w:lineRule="auto"/>
              <w:jc w:val="center"/>
              <w:rPr>
                <w:rFonts w:hint="eastAsia" w:ascii="仿宋" w:hAnsi="仿宋" w:eastAsia="仿宋" w:cs="Times New Roman"/>
                <w:bCs/>
                <w:color w:val="000000"/>
                <w:kern w:val="2"/>
                <w:sz w:val="24"/>
                <w:szCs w:val="24"/>
                <w:lang w:val="en-US" w:eastAsia="zh-CN" w:bidi="ar-SA"/>
              </w:rPr>
            </w:pPr>
          </w:p>
          <w:p>
            <w:pPr>
              <w:widowControl/>
              <w:spacing w:line="276" w:lineRule="auto"/>
              <w:jc w:val="center"/>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20</w:t>
            </w:r>
          </w:p>
        </w:tc>
        <w:tc>
          <w:tcPr>
            <w:tcW w:w="2410" w:type="dxa"/>
          </w:tcPr>
          <w:p>
            <w:pPr>
              <w:widowControl/>
              <w:spacing w:line="276" w:lineRule="auto"/>
              <w:jc w:val="left"/>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学生通过查找资料、准备ppt，在课上进行报告并就相关问题进行讨论。培养学生的口头表达能力、分析解决问题能力、准备ppt文档能力等。</w:t>
            </w:r>
          </w:p>
        </w:tc>
        <w:tc>
          <w:tcPr>
            <w:tcW w:w="2035" w:type="dxa"/>
          </w:tcPr>
          <w:p>
            <w:pPr>
              <w:snapToGrid w:val="0"/>
              <w:spacing w:line="360" w:lineRule="auto"/>
              <w:jc w:val="center"/>
              <w:rPr>
                <w:rFonts w:hint="eastAsia" w:ascii="仿宋" w:hAnsi="仿宋" w:eastAsia="仿宋" w:cs="Times New Roman"/>
                <w:bCs/>
                <w:color w:val="000000"/>
                <w:kern w:val="2"/>
                <w:sz w:val="24"/>
                <w:szCs w:val="24"/>
                <w:lang w:val="zh-CN" w:eastAsia="zh-CN" w:bidi="ar-SA"/>
              </w:rPr>
            </w:pPr>
          </w:p>
          <w:p>
            <w:pPr>
              <w:snapToGrid w:val="0"/>
              <w:spacing w:line="360" w:lineRule="auto"/>
              <w:jc w:val="center"/>
              <w:rPr>
                <w:rFonts w:hint="eastAsia" w:ascii="仿宋" w:hAnsi="仿宋" w:eastAsia="仿宋" w:cs="Times New Roman"/>
                <w:bCs/>
                <w:color w:val="000000"/>
                <w:kern w:val="2"/>
                <w:sz w:val="24"/>
                <w:szCs w:val="24"/>
                <w:lang w:val="zh-CN" w:eastAsia="zh-CN" w:bidi="ar-SA"/>
              </w:rPr>
            </w:pPr>
          </w:p>
          <w:p>
            <w:pPr>
              <w:snapToGrid w:val="0"/>
              <w:spacing w:line="360" w:lineRule="auto"/>
              <w:jc w:val="center"/>
              <w:rPr>
                <w:rFonts w:hint="eastAsia" w:ascii="仿宋" w:hAnsi="仿宋" w:eastAsia="仿宋" w:cs="Times New Roman"/>
                <w:bCs/>
                <w:color w:val="000000"/>
                <w:kern w:val="2"/>
                <w:sz w:val="24"/>
                <w:szCs w:val="24"/>
                <w:lang w:val="zh-CN" w:eastAsia="zh-CN" w:bidi="ar-SA"/>
              </w:rPr>
            </w:pPr>
          </w:p>
          <w:p>
            <w:pPr>
              <w:snapToGrid w:val="0"/>
              <w:spacing w:line="360" w:lineRule="auto"/>
              <w:jc w:val="center"/>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zh-CN" w:eastAsia="zh-CN" w:bidi="ar-SA"/>
              </w:rPr>
              <w:t>课程目标1、</w:t>
            </w:r>
            <w:r>
              <w:rPr>
                <w:rFonts w:hint="eastAsia" w:ascii="仿宋" w:hAnsi="仿宋" w:eastAsia="仿宋" w:cs="Times New Roman"/>
                <w:bCs/>
                <w:color w:val="000000"/>
                <w:kern w:val="2"/>
                <w:sz w:val="24"/>
                <w:szCs w:val="24"/>
                <w:lang w:val="en-US" w:eastAsia="zh-CN" w:bidi="ar-SA"/>
              </w:rPr>
              <w:t>2、3</w:t>
            </w:r>
          </w:p>
        </w:tc>
      </w:tr>
      <w:tr>
        <w:trPr>
          <w:trHeight w:val="1846" w:hRule="atLeast"/>
          <w:jc w:val="center"/>
        </w:trPr>
        <w:tc>
          <w:tcPr>
            <w:tcW w:w="817"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761"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798" w:type="dxa"/>
          </w:tcPr>
          <w:p>
            <w:pPr>
              <w:snapToGrid w:val="0"/>
              <w:spacing w:line="360" w:lineRule="auto"/>
              <w:jc w:val="center"/>
              <w:rPr>
                <w:rFonts w:hint="eastAsia" w:ascii="仿宋" w:hAnsi="仿宋" w:eastAsia="仿宋" w:cs="Times New Roman"/>
                <w:bCs/>
                <w:color w:val="000000"/>
                <w:kern w:val="2"/>
                <w:sz w:val="24"/>
                <w:szCs w:val="24"/>
                <w:lang w:val="en-US" w:eastAsia="zh-CN" w:bidi="ar-SA"/>
              </w:rPr>
            </w:pPr>
          </w:p>
          <w:p>
            <w:pPr>
              <w:snapToGrid w:val="0"/>
              <w:spacing w:line="360" w:lineRule="auto"/>
              <w:jc w:val="center"/>
              <w:rPr>
                <w:rFonts w:hint="eastAsia" w:ascii="仿宋" w:hAnsi="仿宋" w:eastAsia="仿宋" w:cs="Times New Roman"/>
                <w:bCs/>
                <w:color w:val="000000"/>
                <w:kern w:val="2"/>
                <w:sz w:val="24"/>
                <w:szCs w:val="24"/>
                <w:lang w:val="en-US" w:eastAsia="zh-CN" w:bidi="ar-SA"/>
              </w:rPr>
            </w:pPr>
          </w:p>
          <w:p>
            <w:pPr>
              <w:snapToGrid w:val="0"/>
              <w:spacing w:line="360" w:lineRule="auto"/>
              <w:jc w:val="center"/>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100</w:t>
            </w:r>
          </w:p>
        </w:tc>
        <w:tc>
          <w:tcPr>
            <w:tcW w:w="2410" w:type="dxa"/>
          </w:tcPr>
          <w:p>
            <w:pPr>
              <w:snapToGrid w:val="0"/>
              <w:spacing w:line="360" w:lineRule="auto"/>
              <w:jc w:val="left"/>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包括期末考试、补考等。对学生学习情况进行较为全面的检查。</w:t>
            </w:r>
          </w:p>
        </w:tc>
        <w:tc>
          <w:tcPr>
            <w:tcW w:w="2035" w:type="dxa"/>
          </w:tcPr>
          <w:p>
            <w:pPr>
              <w:snapToGrid w:val="0"/>
              <w:spacing w:line="360" w:lineRule="auto"/>
              <w:jc w:val="center"/>
              <w:rPr>
                <w:rFonts w:hint="eastAsia" w:ascii="仿宋" w:hAnsi="仿宋" w:eastAsia="仿宋" w:cs="Times New Roman"/>
                <w:bCs/>
                <w:color w:val="000000"/>
                <w:kern w:val="2"/>
                <w:sz w:val="24"/>
                <w:szCs w:val="24"/>
                <w:lang w:val="zh-CN" w:eastAsia="zh-CN" w:bidi="ar-SA"/>
              </w:rPr>
            </w:pPr>
          </w:p>
          <w:p>
            <w:pPr>
              <w:snapToGrid w:val="0"/>
              <w:spacing w:line="360" w:lineRule="auto"/>
              <w:jc w:val="center"/>
              <w:rPr>
                <w:rFonts w:hint="eastAsia" w:ascii="仿宋" w:hAnsi="仿宋" w:eastAsia="仿宋" w:cs="Times New Roman"/>
                <w:bCs/>
                <w:color w:val="000000"/>
                <w:kern w:val="2"/>
                <w:sz w:val="24"/>
                <w:szCs w:val="24"/>
                <w:lang w:val="zh-CN" w:eastAsia="zh-CN" w:bidi="ar-SA"/>
              </w:rPr>
            </w:pPr>
          </w:p>
          <w:p>
            <w:pPr>
              <w:snapToGrid w:val="0"/>
              <w:spacing w:line="360" w:lineRule="auto"/>
              <w:jc w:val="center"/>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课程目标1、</w:t>
            </w:r>
            <w:r>
              <w:rPr>
                <w:rFonts w:hint="eastAsia" w:ascii="仿宋" w:hAnsi="仿宋" w:eastAsia="仿宋" w:cs="Times New Roman"/>
                <w:bCs/>
                <w:color w:val="000000"/>
                <w:kern w:val="2"/>
                <w:sz w:val="24"/>
                <w:szCs w:val="24"/>
                <w:lang w:val="en-US" w:eastAsia="zh-CN" w:bidi="ar-SA"/>
              </w:rPr>
              <w:t>2</w:t>
            </w:r>
          </w:p>
        </w:tc>
      </w:tr>
    </w:tbl>
    <w:p>
      <w:pPr>
        <w:snapToGrid w:val="0"/>
        <w:spacing w:line="360" w:lineRule="auto"/>
        <w:ind w:firstLine="480" w:firstLineChars="200"/>
        <w:rPr>
          <w:rFonts w:hint="eastAsia" w:ascii="仿宋" w:hAnsi="仿宋" w:eastAsia="仿宋"/>
          <w:bCs/>
          <w:color w:val="0070C0"/>
          <w:sz w:val="24"/>
        </w:rPr>
      </w:pPr>
    </w:p>
    <w:p>
      <w:pPr>
        <w:numPr>
          <w:ilvl w:val="0"/>
          <w:numId w:val="1"/>
        </w:num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课程考核环节与课程目标的对应关系：</w:t>
      </w:r>
    </w:p>
    <w:p>
      <w:pPr>
        <w:numPr>
          <w:ilvl w:val="0"/>
          <w:numId w:val="0"/>
        </w:numPr>
        <w:snapToGrid w:val="0"/>
        <w:spacing w:line="360" w:lineRule="auto"/>
        <w:rPr>
          <w:rFonts w:hint="eastAsia" w:ascii="仿宋" w:hAnsi="仿宋" w:eastAsia="仿宋"/>
          <w:b/>
          <w:color w:val="000000"/>
          <w:sz w:val="24"/>
        </w:rPr>
      </w:pPr>
    </w:p>
    <w:tbl>
      <w:tblPr>
        <w:tblStyle w:val="4"/>
        <w:tblW w:w="8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1377"/>
        <w:gridCol w:w="640"/>
        <w:gridCol w:w="1454"/>
        <w:gridCol w:w="1813"/>
        <w:gridCol w:w="2357"/>
      </w:tblGrid>
      <w:tr>
        <w:trPr>
          <w:trHeight w:val="963" w:hRule="atLeast"/>
        </w:trPr>
        <w:tc>
          <w:tcPr>
            <w:tcW w:w="2214" w:type="dxa"/>
            <w:gridSpan w:val="2"/>
            <w:vMerge w:val="restart"/>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640" w:type="dxa"/>
            <w:vMerge w:val="restart"/>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5624" w:type="dxa"/>
            <w:gridSpan w:val="3"/>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trPr>
          <w:trHeight w:val="465" w:hRule="atLeast"/>
        </w:trPr>
        <w:tc>
          <w:tcPr>
            <w:tcW w:w="2214" w:type="dxa"/>
            <w:gridSpan w:val="2"/>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640" w:type="dxa"/>
            <w:vMerge w:val="continue"/>
          </w:tcPr>
          <w:p>
            <w:pPr>
              <w:snapToGrid w:val="0"/>
              <w:spacing w:line="360" w:lineRule="auto"/>
              <w:jc w:val="center"/>
              <w:rPr>
                <w:rFonts w:hint="eastAsia" w:ascii="仿宋" w:hAnsi="仿宋" w:eastAsia="仿宋"/>
                <w:b/>
                <w:color w:val="000000"/>
                <w:sz w:val="24"/>
              </w:rPr>
            </w:pPr>
          </w:p>
        </w:tc>
        <w:tc>
          <w:tcPr>
            <w:tcW w:w="1454"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1813"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c>
          <w:tcPr>
            <w:tcW w:w="2357" w:type="dxa"/>
          </w:tcPr>
          <w:p>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rPr>
              <w:t>课程目标</w:t>
            </w:r>
            <w:r>
              <w:rPr>
                <w:rFonts w:hint="eastAsia" w:ascii="仿宋" w:hAnsi="仿宋" w:eastAsia="仿宋"/>
                <w:b/>
                <w:color w:val="000000"/>
                <w:sz w:val="24"/>
                <w:lang w:val="en-US" w:eastAsia="zh-CN"/>
              </w:rPr>
              <w:t>3</w:t>
            </w:r>
          </w:p>
        </w:tc>
      </w:tr>
      <w:tr>
        <w:trPr>
          <w:trHeight w:val="465" w:hRule="atLeast"/>
        </w:trPr>
        <w:tc>
          <w:tcPr>
            <w:tcW w:w="837" w:type="dxa"/>
            <w:vMerge w:val="restart"/>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1377" w:type="dxa"/>
            <w:shd w:val="clear" w:color="auto" w:fill="auto"/>
            <w:vAlign w:val="center"/>
          </w:tcPr>
          <w:p>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随堂测试</w:t>
            </w:r>
          </w:p>
        </w:tc>
        <w:tc>
          <w:tcPr>
            <w:tcW w:w="640"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30</w:t>
            </w:r>
          </w:p>
        </w:tc>
        <w:tc>
          <w:tcPr>
            <w:tcW w:w="1454"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1813"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2357"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r>
      <w:tr>
        <w:trPr>
          <w:trHeight w:val="465" w:hRule="atLeast"/>
        </w:trPr>
        <w:tc>
          <w:tcPr>
            <w:tcW w:w="837"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1377"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课堂表现</w:t>
            </w:r>
          </w:p>
        </w:tc>
        <w:tc>
          <w:tcPr>
            <w:tcW w:w="640"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30</w:t>
            </w:r>
          </w:p>
        </w:tc>
        <w:tc>
          <w:tcPr>
            <w:tcW w:w="1454" w:type="dxa"/>
            <w:shd w:val="clear" w:color="auto" w:fill="auto"/>
            <w:vAlign w:val="center"/>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1813" w:type="dxa"/>
            <w:vAlign w:val="top"/>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2357" w:type="dxa"/>
            <w:vAlign w:val="top"/>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r>
      <w:tr>
        <w:trPr>
          <w:trHeight w:val="465" w:hRule="atLeast"/>
        </w:trPr>
        <w:tc>
          <w:tcPr>
            <w:tcW w:w="837"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1377"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考勤</w:t>
            </w:r>
          </w:p>
        </w:tc>
        <w:tc>
          <w:tcPr>
            <w:tcW w:w="640"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1454" w:type="dxa"/>
            <w:shd w:val="clear" w:color="auto" w:fill="auto"/>
            <w:vAlign w:val="center"/>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w:t>
            </w:r>
          </w:p>
        </w:tc>
        <w:tc>
          <w:tcPr>
            <w:tcW w:w="1813"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2357" w:type="dxa"/>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w:t>
            </w:r>
          </w:p>
        </w:tc>
      </w:tr>
      <w:tr>
        <w:trPr>
          <w:trHeight w:val="465" w:hRule="atLeast"/>
        </w:trPr>
        <w:tc>
          <w:tcPr>
            <w:tcW w:w="837"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1377"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课堂汇报</w:t>
            </w:r>
          </w:p>
        </w:tc>
        <w:tc>
          <w:tcPr>
            <w:tcW w:w="640"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1454"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1813" w:type="dxa"/>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5</w:t>
            </w:r>
          </w:p>
        </w:tc>
        <w:tc>
          <w:tcPr>
            <w:tcW w:w="2357"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w:t>
            </w:r>
          </w:p>
        </w:tc>
      </w:tr>
      <w:tr>
        <w:trPr>
          <w:trHeight w:val="465" w:hRule="atLeast"/>
        </w:trPr>
        <w:tc>
          <w:tcPr>
            <w:tcW w:w="837"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1377"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640"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100</w:t>
            </w:r>
          </w:p>
        </w:tc>
        <w:tc>
          <w:tcPr>
            <w:tcW w:w="1454" w:type="dxa"/>
            <w:shd w:val="clear" w:color="auto" w:fill="auto"/>
            <w:vAlign w:val="top"/>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40</w:t>
            </w:r>
          </w:p>
        </w:tc>
        <w:tc>
          <w:tcPr>
            <w:tcW w:w="1813"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30</w:t>
            </w:r>
            <w:bookmarkStart w:id="2" w:name="_GoBack"/>
            <w:bookmarkEnd w:id="2"/>
          </w:p>
        </w:tc>
        <w:tc>
          <w:tcPr>
            <w:tcW w:w="2357"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30</w:t>
            </w:r>
          </w:p>
        </w:tc>
      </w:tr>
      <w:tr>
        <w:trPr>
          <w:trHeight w:val="475" w:hRule="atLeast"/>
        </w:trPr>
        <w:tc>
          <w:tcPr>
            <w:tcW w:w="2854" w:type="dxa"/>
            <w:gridSpan w:val="3"/>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课程目标分值合计</w:t>
            </w:r>
          </w:p>
        </w:tc>
        <w:tc>
          <w:tcPr>
            <w:tcW w:w="5624" w:type="dxa"/>
            <w:gridSpan w:val="3"/>
            <w:shd w:val="clear" w:color="auto" w:fill="auto"/>
            <w:vAlign w:val="center"/>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100</w:t>
            </w:r>
          </w:p>
        </w:tc>
      </w:tr>
    </w:tbl>
    <w:p>
      <w:pPr>
        <w:snapToGrid w:val="0"/>
        <w:spacing w:line="360" w:lineRule="auto"/>
        <w:rPr>
          <w:rFonts w:ascii="仿宋" w:hAnsi="仿宋" w:eastAsia="仿宋"/>
          <w:b/>
          <w:color w:val="000000"/>
          <w:sz w:val="24"/>
        </w:rPr>
      </w:pPr>
    </w:p>
    <w:p>
      <w:pPr>
        <w:rPr>
          <w:rFonts w:hint="eastAsia" w:eastAsia="黑体"/>
          <w:color w:val="000000"/>
          <w:sz w:val="28"/>
          <w:szCs w:val="28"/>
          <w:lang w:val="en-US" w:eastAsia="zh-CN"/>
        </w:rPr>
      </w:pPr>
      <w:bookmarkStart w:id="1" w:name="_Hlk49024753"/>
      <w:r>
        <w:rPr>
          <w:rFonts w:hint="eastAsia" w:eastAsia="黑体"/>
          <w:color w:val="000000"/>
          <w:sz w:val="28"/>
          <w:szCs w:val="28"/>
          <w:lang w:val="en-US" w:eastAsia="zh-CN"/>
        </w:rPr>
        <w:br w:type="page"/>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lang w:val="en-US" w:eastAsia="zh-CN"/>
        </w:rPr>
        <w:t>六</w:t>
      </w:r>
      <w:r>
        <w:rPr>
          <w:rFonts w:eastAsia="黑体"/>
          <w:color w:val="000000"/>
          <w:sz w:val="28"/>
          <w:szCs w:val="28"/>
        </w:rPr>
        <w:t>、课程</w:t>
      </w:r>
      <w:r>
        <w:rPr>
          <w:rFonts w:hint="eastAsia" w:eastAsia="黑体"/>
          <w:color w:val="000000"/>
          <w:sz w:val="28"/>
          <w:szCs w:val="28"/>
        </w:rPr>
        <w:t>目标达成度评价</w:t>
      </w:r>
    </w:p>
    <w:p>
      <w:pPr>
        <w:spacing w:line="276" w:lineRule="auto"/>
        <w:ind w:firstLine="480" w:firstLineChars="200"/>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课程目标达成度评价包括课程分目标达成度评价和课程总目标达成度评价，具体计算方法如下：</w:t>
      </w:r>
    </w:p>
    <w:p>
      <w:pPr>
        <w:spacing w:line="276" w:lineRule="auto"/>
        <w:ind w:firstLine="480" w:firstLineChars="200"/>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（1）课程分目标达成度=总评成绩中支撑该分目标相关考核环节按权重计算的总得分/总评成绩中支撑该分目标相关考核环节总分</w:t>
      </w:r>
    </w:p>
    <w:p>
      <w:pPr>
        <w:spacing w:line="276" w:lineRule="auto"/>
        <w:ind w:firstLine="480" w:firstLineChars="200"/>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（2）课程总目标达成度=该课程总评成绩平均分/100</w:t>
      </w: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lang w:val="en-US" w:eastAsia="zh-CN"/>
        </w:rPr>
        <w:t>七</w:t>
      </w:r>
      <w:r>
        <w:rPr>
          <w:rFonts w:eastAsia="黑体"/>
          <w:color w:val="000000"/>
          <w:sz w:val="28"/>
          <w:szCs w:val="28"/>
        </w:rPr>
        <w:t>、</w:t>
      </w:r>
      <w:r>
        <w:rPr>
          <w:rFonts w:hint="eastAsia" w:eastAsia="黑体"/>
          <w:color w:val="000000"/>
          <w:sz w:val="28"/>
          <w:szCs w:val="28"/>
        </w:rPr>
        <w:t>学习建议</w:t>
      </w:r>
    </w:p>
    <w:bookmarkEnd w:id="1"/>
    <w:p>
      <w:pPr>
        <w:spacing w:line="276" w:lineRule="auto"/>
        <w:ind w:firstLine="480" w:firstLineChars="200"/>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1.自主学习：建议学生根据任务单，</w:t>
      </w:r>
      <w:r>
        <w:rPr>
          <w:rFonts w:hint="default" w:ascii="仿宋" w:hAnsi="仿宋" w:eastAsia="仿宋"/>
          <w:color w:val="000000"/>
          <w:kern w:val="0"/>
          <w:sz w:val="24"/>
          <w:lang w:val="en-US" w:eastAsia="zh-CN"/>
        </w:rPr>
        <w:t>借助网络教学平台</w:t>
      </w:r>
      <w:r>
        <w:rPr>
          <w:rFonts w:hint="eastAsia" w:ascii="仿宋" w:hAnsi="仿宋" w:eastAsia="仿宋"/>
          <w:color w:val="000000"/>
          <w:kern w:val="0"/>
          <w:sz w:val="24"/>
          <w:lang w:val="en-US" w:eastAsia="zh-CN"/>
        </w:rPr>
        <w:t>，课前预习、上课认真听讲、课后复习巩固，结合作业、案例分析及相关政策性报告提高理论水平和实践能力。积极利用线上线下资源，扩宽知识面。</w:t>
      </w:r>
    </w:p>
    <w:p>
      <w:pPr>
        <w:spacing w:line="276" w:lineRule="auto"/>
        <w:ind w:firstLine="480" w:firstLineChars="200"/>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2.研究性学习：鼓励学生以个体或小组学习的方式，根据教学安排搜集资料，探究马克思主义哲学基本原理以及不同的哲学流派的相关观点，能够正确地运用历史唯物主义观点、系统思维、问题导向等理论，进行单项和综合性案例分析和研讨，提出合理的解决方案和对策建议，形成研究性学习作业或报告。</w:t>
      </w:r>
    </w:p>
    <w:p>
      <w:pPr>
        <w:spacing w:line="276" w:lineRule="auto"/>
        <w:ind w:firstLine="480" w:firstLineChars="200"/>
        <w:rPr>
          <w:rFonts w:hint="default" w:ascii="仿宋" w:hAnsi="仿宋" w:eastAsia="仿宋"/>
          <w:color w:val="000000"/>
          <w:kern w:val="0"/>
          <w:sz w:val="24"/>
          <w:lang w:val="en-US" w:eastAsia="zh-CN"/>
        </w:rPr>
      </w:pPr>
      <w:r>
        <w:rPr>
          <w:rFonts w:hint="eastAsia" w:ascii="仿宋" w:hAnsi="仿宋" w:eastAsia="仿宋"/>
          <w:color w:val="000000"/>
          <w:kern w:val="0"/>
          <w:sz w:val="24"/>
          <w:lang w:val="en-US" w:eastAsia="zh-CN"/>
        </w:rPr>
        <w:t>3.</w:t>
      </w:r>
      <w:r>
        <w:rPr>
          <w:rFonts w:hint="default" w:ascii="仿宋" w:hAnsi="仿宋" w:eastAsia="仿宋"/>
          <w:color w:val="000000"/>
          <w:kern w:val="0"/>
          <w:sz w:val="24"/>
          <w:lang w:val="en-US" w:eastAsia="zh-CN"/>
        </w:rPr>
        <w:t>积极参与课堂内的学习活动，如课堂讨论，小组探究等。通过相互帮助、相互启发、密切配合，培养合作交流能力。</w:t>
      </w:r>
    </w:p>
    <w:p>
      <w:pPr>
        <w:rPr>
          <w:rFonts w:hint="eastAsia" w:eastAsia="黑体"/>
          <w:color w:val="000000"/>
          <w:sz w:val="28"/>
          <w:szCs w:val="28"/>
          <w:lang w:val="en-US" w:eastAsia="zh-CN"/>
        </w:rPr>
      </w:pPr>
      <w:r>
        <w:rPr>
          <w:rFonts w:hint="eastAsia" w:eastAsia="黑体"/>
          <w:color w:val="000000"/>
          <w:sz w:val="28"/>
          <w:szCs w:val="28"/>
          <w:lang w:val="en-US" w:eastAsia="zh-CN"/>
        </w:rPr>
        <w:br w:type="page"/>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lang w:val="en-US" w:eastAsia="zh-CN"/>
        </w:rPr>
        <w:t>八</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pPr>
        <w:spacing w:line="360" w:lineRule="auto"/>
        <w:ind w:firstLine="482" w:firstLineChars="200"/>
        <w:rPr>
          <w:rFonts w:eastAsia="仿宋"/>
          <w:b/>
          <w:color w:val="000000"/>
          <w:sz w:val="24"/>
        </w:rPr>
      </w:pPr>
      <w:r>
        <w:rPr>
          <w:rFonts w:eastAsia="仿宋"/>
          <w:b/>
          <w:color w:val="000000"/>
          <w:sz w:val="24"/>
        </w:rPr>
        <w:t>1．教材</w:t>
      </w:r>
    </w:p>
    <w:p>
      <w:pPr>
        <w:spacing w:line="360" w:lineRule="auto"/>
        <w:ind w:firstLine="482" w:firstLineChars="200"/>
        <w:rPr>
          <w:rFonts w:hint="eastAsia" w:eastAsia="仿宋"/>
          <w:b/>
          <w:color w:val="000000"/>
          <w:sz w:val="24"/>
        </w:rPr>
      </w:pPr>
    </w:p>
    <w:tbl>
      <w:tblPr>
        <w:tblStyle w:val="4"/>
        <w:tblW w:w="0" w:type="auto"/>
        <w:tblInd w:w="0" w:type="dxa"/>
        <w:tblLayout w:type="autofit"/>
        <w:tblCellMar>
          <w:top w:w="0" w:type="dxa"/>
          <w:left w:w="108" w:type="dxa"/>
          <w:bottom w:w="0" w:type="dxa"/>
          <w:right w:w="108" w:type="dxa"/>
        </w:tblCellMar>
      </w:tblPr>
      <w:tblGrid>
        <w:gridCol w:w="1425"/>
        <w:gridCol w:w="1065"/>
        <w:gridCol w:w="1215"/>
        <w:gridCol w:w="699"/>
        <w:gridCol w:w="840"/>
        <w:gridCol w:w="1789"/>
        <w:gridCol w:w="1489"/>
      </w:tblGrid>
      <w:tr>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1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13"/>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13"/>
                <w:rFonts w:hint="default"/>
                <w:lang w:bidi="ar"/>
              </w:rPr>
              <w:t>教材级别</w:t>
            </w:r>
          </w:p>
        </w:tc>
      </w:tr>
      <w:tr>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olor w:val="000000"/>
                <w:kern w:val="0"/>
                <w:sz w:val="24"/>
                <w:lang w:val="en-US" w:eastAsia="zh-CN"/>
              </w:rPr>
            </w:pPr>
            <w:r>
              <w:rPr>
                <w:rFonts w:hint="eastAsia" w:ascii="仿宋" w:hAnsi="仿宋" w:eastAsia="仿宋"/>
                <w:color w:val="000000"/>
                <w:kern w:val="0"/>
                <w:sz w:val="24"/>
                <w:lang w:val="en-GB" w:eastAsia="zh-CN"/>
              </w:rPr>
              <w:t>《</w:t>
            </w:r>
            <w:r>
              <w:rPr>
                <w:rFonts w:hint="eastAsia" w:ascii="仿宋" w:hAnsi="仿宋" w:eastAsia="仿宋"/>
                <w:color w:val="000000"/>
                <w:kern w:val="0"/>
                <w:sz w:val="24"/>
                <w:lang w:val="en-US" w:eastAsia="zh-CN"/>
              </w:rPr>
              <w:t>马克思主义哲学</w:t>
            </w:r>
            <w:r>
              <w:rPr>
                <w:rFonts w:hint="eastAsia" w:ascii="仿宋" w:hAnsi="仿宋" w:eastAsia="仿宋"/>
                <w:color w:val="000000"/>
                <w:kern w:val="0"/>
                <w:sz w:val="24"/>
                <w:lang w:val="en-GB" w:eastAsia="zh-CN"/>
              </w:rPr>
              <w:t>》（</w:t>
            </w:r>
            <w:r>
              <w:rPr>
                <w:rFonts w:hint="eastAsia" w:ascii="仿宋" w:hAnsi="仿宋" w:eastAsia="仿宋"/>
                <w:color w:val="000000"/>
                <w:kern w:val="0"/>
                <w:sz w:val="24"/>
                <w:lang w:val="en-US" w:eastAsia="zh-CN"/>
              </w:rPr>
              <w:t>第二版</w:t>
            </w:r>
            <w:r>
              <w:rPr>
                <w:rFonts w:hint="eastAsia" w:ascii="仿宋" w:hAnsi="仿宋" w:eastAsia="仿宋"/>
                <w:color w:val="000000"/>
                <w:kern w:val="0"/>
                <w:sz w:val="24"/>
                <w:lang w:val="en-GB" w:eastAsia="zh-CN"/>
              </w:rPr>
              <w:t>）</w:t>
            </w:r>
          </w:p>
          <w:p>
            <w:pPr>
              <w:spacing w:line="276" w:lineRule="auto"/>
              <w:rPr>
                <w:rFonts w:hint="eastAsia" w:ascii="仿宋" w:hAnsi="仿宋" w:eastAsia="仿宋"/>
                <w:color w:val="000000"/>
                <w:kern w:val="0"/>
                <w:sz w:val="24"/>
                <w:lang w:val="en-GB"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olor w:val="000000"/>
                <w:kern w:val="0"/>
                <w:sz w:val="24"/>
                <w:lang w:val="en-GB" w:eastAsia="zh-CN"/>
              </w:rPr>
            </w:pPr>
            <w:r>
              <w:rPr>
                <w:rFonts w:hint="eastAsia" w:ascii="仿宋" w:hAnsi="仿宋" w:eastAsia="仿宋"/>
                <w:color w:val="000000"/>
                <w:kern w:val="0"/>
                <w:sz w:val="24"/>
                <w:lang w:val="en-GB" w:eastAsia="zh-CN"/>
              </w:rPr>
              <w:t>20</w:t>
            </w:r>
            <w:r>
              <w:rPr>
                <w:rFonts w:hint="eastAsia" w:ascii="仿宋" w:hAnsi="仿宋" w:eastAsia="仿宋"/>
                <w:color w:val="000000"/>
                <w:kern w:val="0"/>
                <w:sz w:val="24"/>
                <w:lang w:val="en-US" w:eastAsia="zh-CN"/>
              </w:rPr>
              <w:t>20</w:t>
            </w:r>
            <w:r>
              <w:rPr>
                <w:rFonts w:hint="eastAsia" w:ascii="仿宋" w:hAnsi="仿宋" w:eastAsia="仿宋"/>
                <w:color w:val="000000"/>
                <w:kern w:val="0"/>
                <w:sz w:val="24"/>
                <w:lang w:val="en-GB" w:eastAsia="zh-CN"/>
              </w:rPr>
              <w:t>年</w:t>
            </w:r>
            <w:r>
              <w:rPr>
                <w:rFonts w:hint="eastAsia" w:ascii="仿宋" w:hAnsi="仿宋" w:eastAsia="仿宋"/>
                <w:color w:val="000000"/>
                <w:kern w:val="0"/>
                <w:sz w:val="24"/>
                <w:lang w:val="en-US" w:eastAsia="zh-CN"/>
              </w:rPr>
              <w:t>9</w:t>
            </w:r>
            <w:r>
              <w:rPr>
                <w:rFonts w:hint="eastAsia" w:ascii="仿宋" w:hAnsi="仿宋" w:eastAsia="仿宋"/>
                <w:color w:val="000000"/>
                <w:kern w:val="0"/>
                <w:sz w:val="24"/>
                <w:lang w:val="en-GB" w:eastAsia="zh-CN"/>
              </w:rPr>
              <w:t>月第</w:t>
            </w:r>
            <w:r>
              <w:rPr>
                <w:rFonts w:hint="eastAsia" w:ascii="仿宋" w:hAnsi="仿宋" w:eastAsia="仿宋"/>
                <w:color w:val="000000"/>
                <w:kern w:val="0"/>
                <w:sz w:val="24"/>
                <w:lang w:val="en-US" w:eastAsia="zh-CN"/>
              </w:rPr>
              <w:t>2</w:t>
            </w:r>
            <w:r>
              <w:rPr>
                <w:rFonts w:hint="eastAsia" w:ascii="仿宋" w:hAnsi="仿宋" w:eastAsia="仿宋"/>
                <w:color w:val="000000"/>
                <w:kern w:val="0"/>
                <w:sz w:val="24"/>
                <w:lang w:val="en-GB" w:eastAsia="zh-CN"/>
              </w:rPr>
              <w:t>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olor w:val="000000"/>
                <w:kern w:val="0"/>
                <w:sz w:val="24"/>
                <w:lang w:val="en-GB" w:eastAsia="zh-CN"/>
              </w:rPr>
            </w:pPr>
            <w:r>
              <w:rPr>
                <w:rFonts w:hint="eastAsia" w:ascii="仿宋" w:hAnsi="仿宋" w:eastAsia="仿宋"/>
                <w:color w:val="000000"/>
                <w:kern w:val="0"/>
                <w:sz w:val="24"/>
                <w:lang w:val="en-GB" w:eastAsia="zh-CN"/>
              </w:rPr>
              <w:t>20</w:t>
            </w:r>
            <w:r>
              <w:rPr>
                <w:rFonts w:hint="eastAsia" w:ascii="仿宋" w:hAnsi="仿宋" w:eastAsia="仿宋"/>
                <w:color w:val="000000"/>
                <w:kern w:val="0"/>
                <w:sz w:val="24"/>
                <w:lang w:val="en-US" w:eastAsia="zh-CN"/>
              </w:rPr>
              <w:t>21</w:t>
            </w:r>
            <w:r>
              <w:rPr>
                <w:rFonts w:hint="eastAsia" w:ascii="仿宋" w:hAnsi="仿宋" w:eastAsia="仿宋"/>
                <w:color w:val="000000"/>
                <w:kern w:val="0"/>
                <w:sz w:val="24"/>
                <w:lang w:val="en-GB" w:eastAsia="zh-CN"/>
              </w:rPr>
              <w:t>年</w:t>
            </w:r>
            <w:r>
              <w:rPr>
                <w:rFonts w:hint="eastAsia" w:ascii="仿宋" w:hAnsi="仿宋" w:eastAsia="仿宋"/>
                <w:color w:val="000000"/>
                <w:kern w:val="0"/>
                <w:sz w:val="24"/>
                <w:lang w:val="en-US" w:eastAsia="zh-CN"/>
              </w:rPr>
              <w:t>11</w:t>
            </w:r>
            <w:r>
              <w:rPr>
                <w:rFonts w:hint="eastAsia" w:ascii="仿宋" w:hAnsi="仿宋" w:eastAsia="仿宋"/>
                <w:color w:val="000000"/>
                <w:kern w:val="0"/>
                <w:sz w:val="24"/>
                <w:lang w:val="en-GB" w:eastAsia="zh-CN"/>
              </w:rPr>
              <w:t>月第</w:t>
            </w:r>
            <w:r>
              <w:rPr>
                <w:rFonts w:hint="eastAsia" w:ascii="仿宋" w:hAnsi="仿宋" w:eastAsia="仿宋"/>
                <w:color w:val="000000"/>
                <w:kern w:val="0"/>
                <w:sz w:val="24"/>
                <w:lang w:val="en-US" w:eastAsia="zh-CN"/>
              </w:rPr>
              <w:t>6</w:t>
            </w:r>
            <w:r>
              <w:rPr>
                <w:rFonts w:hint="eastAsia" w:ascii="仿宋" w:hAnsi="仿宋" w:eastAsia="仿宋"/>
                <w:color w:val="000000"/>
                <w:kern w:val="0"/>
                <w:sz w:val="24"/>
                <w:lang w:val="en-GB" w:eastAsia="zh-CN"/>
              </w:rPr>
              <w:t>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olor w:val="000000"/>
                <w:kern w:val="0"/>
                <w:sz w:val="24"/>
                <w:lang w:val="en-GB" w:eastAsia="zh-CN"/>
              </w:rPr>
            </w:pPr>
            <w:r>
              <w:rPr>
                <w:rFonts w:hint="eastAsia" w:ascii="仿宋" w:hAnsi="仿宋" w:eastAsia="仿宋"/>
                <w:color w:val="000000"/>
                <w:kern w:val="0"/>
                <w:sz w:val="24"/>
                <w:lang w:val="en-US" w:eastAsia="zh-CN"/>
              </w:rPr>
              <w:t>本书编写组</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olor w:val="000000"/>
                <w:kern w:val="0"/>
                <w:sz w:val="24"/>
                <w:lang w:val="en-US" w:eastAsia="zh-CN"/>
              </w:rPr>
            </w:pPr>
            <w:r>
              <w:rPr>
                <w:rFonts w:hint="eastAsia" w:ascii="仿宋" w:hAnsi="仿宋" w:eastAsia="仿宋"/>
                <w:color w:val="000000"/>
                <w:kern w:val="0"/>
                <w:sz w:val="24"/>
                <w:lang w:val="en-GB" w:eastAsia="zh-CN"/>
              </w:rPr>
              <w:t>高等教育出版社</w:t>
            </w:r>
            <w:r>
              <w:rPr>
                <w:rFonts w:hint="eastAsia" w:ascii="仿宋" w:hAnsi="仿宋" w:eastAsia="仿宋"/>
                <w:color w:val="000000"/>
                <w:kern w:val="0"/>
                <w:sz w:val="24"/>
                <w:lang w:val="en-US" w:eastAsia="zh-CN"/>
              </w:rPr>
              <w:t>/人民出版社</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olor w:val="000000"/>
                <w:kern w:val="0"/>
                <w:sz w:val="24"/>
                <w:lang w:val="en-GB" w:eastAsia="zh-CN"/>
              </w:rPr>
            </w:pPr>
            <w:r>
              <w:rPr>
                <w:rFonts w:hint="eastAsia" w:ascii="仿宋" w:hAnsi="仿宋" w:eastAsia="仿宋"/>
                <w:color w:val="000000"/>
                <w:kern w:val="0"/>
                <w:sz w:val="24"/>
                <w:lang w:val="en-US" w:eastAsia="zh-CN"/>
              </w:rPr>
              <w:t>9787040540420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olor w:val="000000"/>
                <w:kern w:val="0"/>
                <w:sz w:val="24"/>
                <w:lang w:val="en-US" w:eastAsia="zh-CN"/>
              </w:rPr>
            </w:pPr>
            <w:r>
              <w:rPr>
                <w:rFonts w:hint="eastAsia" w:ascii="仿宋" w:hAnsi="仿宋" w:eastAsia="仿宋"/>
                <w:color w:val="000000"/>
                <w:kern w:val="0"/>
                <w:sz w:val="24"/>
                <w:lang w:val="en-US" w:eastAsia="zh-CN"/>
              </w:rPr>
              <w:t>马克思主义理论研究和建设工程重点教材</w:t>
            </w:r>
          </w:p>
        </w:tc>
      </w:tr>
    </w:tbl>
    <w:p>
      <w:pPr>
        <w:spacing w:line="360" w:lineRule="auto"/>
        <w:ind w:firstLine="482" w:firstLineChars="200"/>
        <w:rPr>
          <w:rFonts w:eastAsia="仿宋"/>
          <w:b/>
          <w:color w:val="000000"/>
          <w:sz w:val="24"/>
        </w:rPr>
      </w:pPr>
    </w:p>
    <w:p>
      <w:pPr>
        <w:numPr>
          <w:ilvl w:val="0"/>
          <w:numId w:val="2"/>
        </w:numPr>
        <w:spacing w:line="360" w:lineRule="auto"/>
        <w:ind w:firstLine="482" w:firstLineChars="200"/>
        <w:rPr>
          <w:rFonts w:hint="eastAsia" w:eastAsia="仿宋"/>
          <w:b/>
          <w:color w:val="000000"/>
          <w:sz w:val="24"/>
        </w:rPr>
      </w:pPr>
      <w:r>
        <w:rPr>
          <w:rFonts w:eastAsia="仿宋"/>
          <w:b/>
          <w:color w:val="000000"/>
          <w:sz w:val="24"/>
        </w:rPr>
        <w:t>主要参考</w:t>
      </w:r>
      <w:r>
        <w:rPr>
          <w:rFonts w:hint="eastAsia" w:eastAsia="仿宋"/>
          <w:b/>
          <w:color w:val="000000"/>
          <w:sz w:val="24"/>
        </w:rPr>
        <w:t>书目</w:t>
      </w:r>
    </w:p>
    <w:p>
      <w:pPr>
        <w:pStyle w:val="2"/>
        <w:spacing w:before="184" w:line="313" w:lineRule="auto"/>
        <w:ind w:left="428" w:right="415" w:firstLine="479"/>
      </w:pPr>
      <w:r>
        <w:rPr>
          <w:spacing w:val="-7"/>
        </w:rPr>
        <w:t>（1）《辩证唯物主义和历史唯物主义原理》(第五版)，李秀林、王于、李淮</w:t>
      </w:r>
      <w:r>
        <w:rPr>
          <w:spacing w:val="14"/>
        </w:rPr>
        <w:t xml:space="preserve"> </w:t>
      </w:r>
      <w:r>
        <w:rPr>
          <w:spacing w:val="-1"/>
        </w:rPr>
        <w:t>春主编，李淮春、杨耕、陈志良、郭湛、王霁修订，中国人民大学出版社</w:t>
      </w:r>
      <w:r>
        <w:rPr>
          <w:spacing w:val="-39"/>
        </w:rPr>
        <w:t xml:space="preserve"> </w:t>
      </w:r>
      <w:r>
        <w:rPr>
          <w:spacing w:val="-1"/>
        </w:rPr>
        <w:t>2004</w:t>
      </w:r>
      <w:r>
        <w:t xml:space="preserve"> </w:t>
      </w:r>
      <w:r>
        <w:rPr>
          <w:spacing w:val="-11"/>
        </w:rPr>
        <w:t>年版。</w:t>
      </w:r>
    </w:p>
    <w:p>
      <w:pPr>
        <w:pStyle w:val="2"/>
        <w:spacing w:before="185" w:line="218" w:lineRule="auto"/>
        <w:ind w:left="908"/>
      </w:pPr>
      <w:r>
        <w:rPr>
          <w:spacing w:val="-14"/>
        </w:rPr>
        <w:t>（2）《马克思主义哲学原理》，陈先达主编，中国人</w:t>
      </w:r>
      <w:r>
        <w:rPr>
          <w:spacing w:val="-15"/>
        </w:rPr>
        <w:t>民大学出版社</w:t>
      </w:r>
      <w:r>
        <w:rPr>
          <w:spacing w:val="-33"/>
        </w:rPr>
        <w:t xml:space="preserve"> </w:t>
      </w:r>
      <w:r>
        <w:rPr>
          <w:spacing w:val="-15"/>
        </w:rPr>
        <w:t>1999</w:t>
      </w:r>
      <w:r>
        <w:rPr>
          <w:spacing w:val="-40"/>
        </w:rPr>
        <w:t xml:space="preserve"> </w:t>
      </w:r>
      <w:r>
        <w:rPr>
          <w:spacing w:val="-15"/>
        </w:rPr>
        <w:t>年版。</w:t>
      </w:r>
    </w:p>
    <w:p>
      <w:pPr>
        <w:pStyle w:val="2"/>
        <w:spacing w:before="185" w:line="289" w:lineRule="auto"/>
        <w:ind w:left="427" w:right="413" w:firstLine="480"/>
      </w:pPr>
      <w:r>
        <w:rPr>
          <w:spacing w:val="-10"/>
        </w:rPr>
        <w:t>（3）《马克思主义哲学史》（第二版</w:t>
      </w:r>
      <w:r>
        <w:rPr>
          <w:spacing w:val="-65"/>
        </w:rPr>
        <w:t>），</w:t>
      </w:r>
      <w:r>
        <w:rPr>
          <w:spacing w:val="-10"/>
        </w:rPr>
        <w:t>马克思主义理论</w:t>
      </w:r>
      <w:r>
        <w:rPr>
          <w:spacing w:val="-11"/>
        </w:rPr>
        <w:t>研究和建设工程重点</w:t>
      </w:r>
      <w:r>
        <w:t xml:space="preserve"> </w:t>
      </w:r>
      <w:r>
        <w:rPr>
          <w:spacing w:val="-3"/>
        </w:rPr>
        <w:t>教材，本书编写组，高等教育出版社、人民出版社</w:t>
      </w:r>
      <w:r>
        <w:rPr>
          <w:spacing w:val="-31"/>
        </w:rPr>
        <w:t xml:space="preserve"> </w:t>
      </w:r>
      <w:r>
        <w:rPr>
          <w:spacing w:val="-3"/>
        </w:rPr>
        <w:t>202</w:t>
      </w:r>
      <w:r>
        <w:rPr>
          <w:spacing w:val="-4"/>
        </w:rPr>
        <w:t>0</w:t>
      </w:r>
      <w:r>
        <w:rPr>
          <w:spacing w:val="-38"/>
        </w:rPr>
        <w:t xml:space="preserve"> </w:t>
      </w:r>
      <w:r>
        <w:rPr>
          <w:spacing w:val="-4"/>
        </w:rPr>
        <w:t>年第</w:t>
      </w:r>
      <w:r>
        <w:rPr>
          <w:spacing w:val="-49"/>
        </w:rPr>
        <w:t xml:space="preserve"> </w:t>
      </w:r>
      <w:r>
        <w:rPr>
          <w:spacing w:val="-4"/>
        </w:rPr>
        <w:t>2</w:t>
      </w:r>
      <w:r>
        <w:rPr>
          <w:spacing w:val="-48"/>
        </w:rPr>
        <w:t xml:space="preserve"> </w:t>
      </w:r>
      <w:r>
        <w:rPr>
          <w:spacing w:val="-4"/>
        </w:rPr>
        <w:t>版。</w:t>
      </w:r>
    </w:p>
    <w:p>
      <w:pPr>
        <w:spacing w:line="360" w:lineRule="auto"/>
        <w:jc w:val="left"/>
        <w:rPr>
          <w:rFonts w:hint="eastAsia" w:eastAsia="仿宋"/>
          <w:color w:val="000000"/>
          <w:sz w:val="24"/>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微软雅黑">
    <w:altName w:val="汉仪旗黑"/>
    <w:panose1 w:val="020B0503020204020204"/>
    <w:charset w:val="86"/>
    <w:family w:val="auto"/>
    <w:pitch w:val="default"/>
    <w:sig w:usb0="00000000" w:usb1="00000000" w:usb2="00000016" w:usb3="00000000" w:csb0="0004001F" w:csb1="00000000"/>
  </w:font>
  <w:font w:name="仿宋_GB2312">
    <w:altName w:val="方正仿宋_GBK"/>
    <w:panose1 w:val="02010609030101010101"/>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296C06"/>
    <w:multiLevelType w:val="singleLevel"/>
    <w:tmpl w:val="C3296C06"/>
    <w:lvl w:ilvl="0" w:tentative="0">
      <w:start w:val="2"/>
      <w:numFmt w:val="decimal"/>
      <w:suff w:val="nothing"/>
      <w:lvlText w:val="%1．"/>
      <w:lvlJc w:val="left"/>
    </w:lvl>
  </w:abstractNum>
  <w:abstractNum w:abstractNumId="1">
    <w:nsid w:val="19098803"/>
    <w:multiLevelType w:val="singleLevel"/>
    <w:tmpl w:val="19098803"/>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0OTM1ZDE4NmJjYmRiYTgzY2QzYWI0Mjk4OWYzOTMifQ=="/>
  </w:docVars>
  <w:rsids>
    <w:rsidRoot w:val="609318DA"/>
    <w:rsid w:val="06554B82"/>
    <w:rsid w:val="1F425EDD"/>
    <w:rsid w:val="29E549DD"/>
    <w:rsid w:val="2FFE25EE"/>
    <w:rsid w:val="33F04C20"/>
    <w:rsid w:val="38FFBCB5"/>
    <w:rsid w:val="3FBE7D50"/>
    <w:rsid w:val="4F6B1294"/>
    <w:rsid w:val="609318DA"/>
    <w:rsid w:val="697B649A"/>
    <w:rsid w:val="73D4148F"/>
    <w:rsid w:val="77A04DA9"/>
    <w:rsid w:val="7A5FB8E7"/>
    <w:rsid w:val="AFD35D1B"/>
    <w:rsid w:val="DFDD3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4"/>
      <w:szCs w:val="24"/>
      <w:lang w:val="en-US" w:eastAsia="en-US" w:bidi="ar-SA"/>
    </w:rPr>
  </w:style>
  <w:style w:type="paragraph" w:styleId="3">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FollowedHyperlink"/>
    <w:basedOn w:val="6"/>
    <w:qFormat/>
    <w:uiPriority w:val="0"/>
    <w:rPr>
      <w:rFonts w:hint="eastAsia" w:ascii="微软雅黑" w:hAnsi="微软雅黑" w:eastAsia="微软雅黑" w:cs="微软雅黑"/>
      <w:color w:val="000000"/>
      <w:sz w:val="18"/>
      <w:szCs w:val="18"/>
      <w:u w:val="none"/>
      <w:bdr w:val="single" w:color="3079ED" w:sz="6" w:space="0"/>
      <w:shd w:val="clear" w:fill="4A8CF7"/>
    </w:rPr>
  </w:style>
  <w:style w:type="character" w:styleId="8">
    <w:name w:val="Hyperlink"/>
    <w:basedOn w:val="6"/>
    <w:qFormat/>
    <w:uiPriority w:val="0"/>
    <w:rPr>
      <w:rFonts w:hint="eastAsia" w:ascii="微软雅黑" w:hAnsi="微软雅黑" w:eastAsia="微软雅黑" w:cs="微软雅黑"/>
      <w:color w:val="000000"/>
      <w:sz w:val="18"/>
      <w:szCs w:val="18"/>
      <w:u w:val="none"/>
    </w:rPr>
  </w:style>
  <w:style w:type="paragraph" w:customStyle="1" w:styleId="9">
    <w:name w:val="Body text|1"/>
    <w:basedOn w:val="1"/>
    <w:qFormat/>
    <w:uiPriority w:val="0"/>
    <w:pPr>
      <w:spacing w:line="422" w:lineRule="auto"/>
      <w:ind w:firstLine="400"/>
    </w:pPr>
    <w:rPr>
      <w:rFonts w:ascii="宋体" w:hAnsi="宋体" w:eastAsia="宋体" w:cs="宋体"/>
      <w:sz w:val="20"/>
      <w:szCs w:val="20"/>
      <w:lang w:val="zh-TW" w:eastAsia="zh-TW" w:bidi="zh-TW"/>
    </w:rPr>
  </w:style>
  <w:style w:type="paragraph" w:customStyle="1" w:styleId="10">
    <w:name w:val="Heading #1|1"/>
    <w:basedOn w:val="1"/>
    <w:qFormat/>
    <w:uiPriority w:val="0"/>
    <w:pPr>
      <w:spacing w:before="1320" w:after="1300"/>
      <w:outlineLvl w:val="0"/>
    </w:pPr>
    <w:rPr>
      <w:rFonts w:ascii="宋体" w:hAnsi="宋体" w:eastAsia="宋体" w:cs="宋体"/>
      <w:color w:val="DF9E91"/>
      <w:sz w:val="34"/>
      <w:szCs w:val="34"/>
      <w:lang w:val="zh-TW" w:eastAsia="zh-TW" w:bidi="zh-TW"/>
    </w:rPr>
  </w:style>
  <w:style w:type="paragraph" w:customStyle="1" w:styleId="11">
    <w:name w:val="Heading #2|1"/>
    <w:basedOn w:val="1"/>
    <w:qFormat/>
    <w:uiPriority w:val="0"/>
    <w:pPr>
      <w:spacing w:after="340"/>
      <w:jc w:val="center"/>
      <w:outlineLvl w:val="1"/>
    </w:pPr>
    <w:rPr>
      <w:rFonts w:ascii="宋体" w:hAnsi="宋体" w:eastAsia="宋体" w:cs="宋体"/>
      <w:color w:val="DF9E91"/>
      <w:sz w:val="28"/>
      <w:szCs w:val="28"/>
      <w:lang w:val="zh-TW" w:eastAsia="zh-TW" w:bidi="zh-TW"/>
    </w:rPr>
  </w:style>
  <w:style w:type="character" w:customStyle="1" w:styleId="12">
    <w:name w:val="font31"/>
    <w:qFormat/>
    <w:uiPriority w:val="0"/>
    <w:rPr>
      <w:rFonts w:hint="eastAsia" w:ascii="宋体" w:hAnsi="宋体" w:eastAsia="宋体" w:cs="宋体"/>
      <w:b/>
      <w:bCs/>
      <w:color w:val="000000"/>
      <w:sz w:val="20"/>
      <w:szCs w:val="20"/>
      <w:u w:val="none"/>
    </w:rPr>
  </w:style>
  <w:style w:type="character" w:customStyle="1" w:styleId="13">
    <w:name w:val="font11"/>
    <w:qFormat/>
    <w:uiPriority w:val="0"/>
    <w:rPr>
      <w:rFonts w:hint="eastAsia" w:ascii="宋体" w:hAnsi="宋体" w:eastAsia="宋体" w:cs="宋体"/>
      <w:b/>
      <w:bCs/>
      <w:color w:val="000000"/>
      <w:sz w:val="20"/>
      <w:szCs w:val="20"/>
      <w:u w:val="none"/>
    </w:rPr>
  </w:style>
  <w:style w:type="character" w:customStyle="1" w:styleId="14">
    <w:name w:val="right-side"/>
    <w:basedOn w:val="6"/>
    <w:qFormat/>
    <w:uiPriority w:val="0"/>
  </w:style>
  <w:style w:type="character" w:customStyle="1" w:styleId="15">
    <w:name w:val="picview"/>
    <w:basedOn w:val="6"/>
    <w:qFormat/>
    <w:uiPriority w:val="0"/>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4634</Words>
  <Characters>4761</Characters>
  <Lines>0</Lines>
  <Paragraphs>0</Paragraphs>
  <TotalTime>15</TotalTime>
  <ScaleCrop>false</ScaleCrop>
  <LinksUpToDate>false</LinksUpToDate>
  <CharactersWithSpaces>4778</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2024-06-01T02:32:00Z</dcterms:created>
  <dc:creator>怕稳奈招胁</dc:creator>
  <cp:lastModifiedBy>Lcy</cp:lastModifiedBy>
  <dcterms:modified xsi:type="dcterms:W3CDTF">2024-09-02T17:27:27Z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A6F0B10BE951461A8D5D5376CE78D86C_13</vt:lpwstr>
  </property>
</Properties>
</file>