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77D4C">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12846A7">
      <w:pPr>
        <w:spacing w:line="480" w:lineRule="auto"/>
        <w:rPr>
          <w:rFonts w:ascii="宋体" w:hAnsi="宋体"/>
          <w:color w:val="000000"/>
          <w:sz w:val="44"/>
          <w:szCs w:val="20"/>
        </w:rPr>
      </w:pPr>
    </w:p>
    <w:p w14:paraId="4CDE136A">
      <w:pPr>
        <w:tabs>
          <w:tab w:val="left" w:pos="880"/>
        </w:tabs>
        <w:spacing w:line="480" w:lineRule="auto"/>
        <w:rPr>
          <w:rFonts w:ascii="宋体" w:hAnsi="宋体"/>
          <w:color w:val="000000"/>
          <w:sz w:val="44"/>
          <w:szCs w:val="20"/>
        </w:rPr>
      </w:pPr>
      <w:r>
        <w:rPr>
          <w:rFonts w:ascii="宋体" w:hAnsi="宋体"/>
          <w:color w:val="000000"/>
          <w:sz w:val="44"/>
          <w:szCs w:val="20"/>
        </w:rPr>
        <w:tab/>
      </w:r>
    </w:p>
    <w:p w14:paraId="03D66BBC">
      <w:pPr>
        <w:tabs>
          <w:tab w:val="left" w:pos="880"/>
        </w:tabs>
        <w:spacing w:line="480" w:lineRule="auto"/>
        <w:rPr>
          <w:rFonts w:ascii="宋体" w:hAnsi="宋体"/>
          <w:color w:val="000000"/>
          <w:sz w:val="44"/>
          <w:szCs w:val="20"/>
        </w:rPr>
      </w:pPr>
    </w:p>
    <w:p w14:paraId="5720107F">
      <w:pPr>
        <w:spacing w:line="480" w:lineRule="auto"/>
        <w:rPr>
          <w:rFonts w:ascii="宋体" w:hAnsi="宋体"/>
          <w:color w:val="000000"/>
          <w:sz w:val="44"/>
          <w:szCs w:val="20"/>
        </w:rPr>
      </w:pPr>
    </w:p>
    <w:p w14:paraId="7D2638FF">
      <w:pPr>
        <w:spacing w:line="480" w:lineRule="auto"/>
        <w:jc w:val="center"/>
        <w:rPr>
          <w:rFonts w:eastAsia="黑体"/>
          <w:color w:val="000000"/>
          <w:sz w:val="48"/>
          <w:szCs w:val="28"/>
        </w:rPr>
      </w:pPr>
      <w:r>
        <w:rPr>
          <w:rFonts w:hint="eastAsia" w:eastAsia="黑体"/>
          <w:color w:val="000000" w:themeColor="text1"/>
          <w:sz w:val="48"/>
          <w:szCs w:val="28"/>
          <w14:textFill>
            <w14:solidFill>
              <w14:schemeClr w14:val="tx1"/>
            </w14:solidFill>
          </w14:textFill>
        </w:rPr>
        <w:t>《形势与政策》</w:t>
      </w:r>
      <w:r>
        <w:rPr>
          <w:rFonts w:hint="eastAsia" w:eastAsia="黑体"/>
          <w:color w:val="000000"/>
          <w:sz w:val="48"/>
          <w:szCs w:val="28"/>
        </w:rPr>
        <w:t>教学大纲</w:t>
      </w:r>
    </w:p>
    <w:p w14:paraId="261E63B5">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eastAsia="zh-CN"/>
        </w:rPr>
        <w:t>一</w:t>
      </w:r>
      <w:r>
        <w:rPr>
          <w:rFonts w:hint="eastAsia" w:ascii="仿宋" w:hAnsi="仿宋" w:eastAsia="仿宋"/>
          <w:color w:val="000000"/>
          <w:sz w:val="28"/>
          <w:u w:val="single"/>
        </w:rPr>
        <w:t>版）</w:t>
      </w:r>
    </w:p>
    <w:p w14:paraId="241BECC4">
      <w:pPr>
        <w:spacing w:line="480" w:lineRule="auto"/>
        <w:rPr>
          <w:color w:val="000000"/>
          <w:sz w:val="32"/>
          <w:szCs w:val="20"/>
        </w:rPr>
      </w:pPr>
    </w:p>
    <w:p w14:paraId="4E869D2B">
      <w:pPr>
        <w:spacing w:line="480" w:lineRule="auto"/>
        <w:rPr>
          <w:color w:val="000000"/>
          <w:sz w:val="32"/>
          <w:szCs w:val="20"/>
        </w:rPr>
      </w:pPr>
    </w:p>
    <w:p w14:paraId="7A561D1A">
      <w:pPr>
        <w:spacing w:line="480" w:lineRule="auto"/>
        <w:rPr>
          <w:color w:val="000000"/>
          <w:sz w:val="32"/>
          <w:szCs w:val="20"/>
        </w:rPr>
      </w:pPr>
    </w:p>
    <w:p w14:paraId="56481408">
      <w:pPr>
        <w:spacing w:line="480" w:lineRule="auto"/>
        <w:rPr>
          <w:color w:val="000000"/>
          <w:sz w:val="32"/>
          <w:szCs w:val="20"/>
        </w:rPr>
      </w:pPr>
    </w:p>
    <w:p w14:paraId="4C3AE297">
      <w:pPr>
        <w:spacing w:line="480" w:lineRule="auto"/>
        <w:rPr>
          <w:color w:val="000000"/>
          <w:sz w:val="32"/>
          <w:szCs w:val="20"/>
        </w:rPr>
      </w:pPr>
    </w:p>
    <w:p w14:paraId="75525E8A">
      <w:pPr>
        <w:spacing w:line="480" w:lineRule="auto"/>
        <w:rPr>
          <w:rFonts w:hint="eastAsia"/>
          <w:color w:val="000000"/>
          <w:sz w:val="32"/>
          <w:szCs w:val="20"/>
        </w:rPr>
      </w:pPr>
    </w:p>
    <w:p w14:paraId="55EC4CBE">
      <w:pPr>
        <w:spacing w:line="480" w:lineRule="auto"/>
        <w:rPr>
          <w:color w:val="000000"/>
          <w:sz w:val="32"/>
          <w:szCs w:val="20"/>
        </w:rPr>
      </w:pPr>
    </w:p>
    <w:p w14:paraId="64E76807">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1C247B8C">
        <w:tblPrEx>
          <w:tblCellMar>
            <w:top w:w="0" w:type="dxa"/>
            <w:left w:w="108" w:type="dxa"/>
            <w:bottom w:w="0" w:type="dxa"/>
            <w:right w:w="108" w:type="dxa"/>
          </w:tblCellMar>
        </w:tblPrEx>
        <w:trPr>
          <w:jc w:val="center"/>
        </w:trPr>
        <w:tc>
          <w:tcPr>
            <w:tcW w:w="2376" w:type="dxa"/>
            <w:shd w:val="clear" w:color="auto" w:fill="auto"/>
            <w:vAlign w:val="bottom"/>
          </w:tcPr>
          <w:p w14:paraId="5621749B">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49775B50">
            <w:pPr>
              <w:spacing w:line="480" w:lineRule="auto"/>
              <w:jc w:val="center"/>
              <w:rPr>
                <w:rFonts w:hint="eastAsia" w:eastAsia="宋体"/>
                <w:color w:val="000000"/>
                <w:sz w:val="28"/>
                <w:lang w:eastAsia="zh-CN"/>
              </w:rPr>
            </w:pPr>
            <w:r>
              <w:rPr>
                <w:rFonts w:hint="eastAsia"/>
                <w:color w:val="000000"/>
                <w:sz w:val="28"/>
                <w:lang w:val="en-US" w:eastAsia="zh-CN"/>
              </w:rPr>
              <w:t>王珂珂</w:t>
            </w:r>
          </w:p>
        </w:tc>
      </w:tr>
      <w:tr w14:paraId="5620132C">
        <w:tblPrEx>
          <w:tblCellMar>
            <w:top w:w="0" w:type="dxa"/>
            <w:left w:w="108" w:type="dxa"/>
            <w:bottom w:w="0" w:type="dxa"/>
            <w:right w:w="108" w:type="dxa"/>
          </w:tblCellMar>
        </w:tblPrEx>
        <w:trPr>
          <w:jc w:val="center"/>
        </w:trPr>
        <w:tc>
          <w:tcPr>
            <w:tcW w:w="2376" w:type="dxa"/>
            <w:shd w:val="clear" w:color="auto" w:fill="auto"/>
            <w:vAlign w:val="bottom"/>
          </w:tcPr>
          <w:p w14:paraId="2E81A577">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6E4BB762">
            <w:pPr>
              <w:spacing w:line="480" w:lineRule="auto"/>
              <w:jc w:val="center"/>
              <w:rPr>
                <w:rFonts w:hint="eastAsia" w:eastAsia="宋体"/>
                <w:color w:val="000000"/>
                <w:sz w:val="28"/>
                <w:lang w:eastAsia="zh-CN"/>
              </w:rPr>
            </w:pPr>
            <w:r>
              <w:rPr>
                <w:rFonts w:hint="eastAsia"/>
                <w:color w:val="000000"/>
                <w:sz w:val="28"/>
                <w:lang w:eastAsia="zh-CN"/>
              </w:rPr>
              <w:t>晁娜娜</w:t>
            </w:r>
          </w:p>
        </w:tc>
      </w:tr>
    </w:tbl>
    <w:p w14:paraId="7D68535F">
      <w:pPr>
        <w:jc w:val="center"/>
        <w:rPr>
          <w:rFonts w:ascii="仿宋" w:hAnsi="仿宋" w:eastAsia="仿宋"/>
          <w:color w:val="000000"/>
          <w:sz w:val="28"/>
          <w:u w:val="single"/>
        </w:rPr>
      </w:pPr>
    </w:p>
    <w:p w14:paraId="58E3F425">
      <w:pPr>
        <w:jc w:val="center"/>
        <w:rPr>
          <w:rFonts w:ascii="仿宋" w:hAnsi="仿宋" w:eastAsia="仿宋"/>
          <w:color w:val="000000"/>
          <w:sz w:val="28"/>
          <w:u w:val="single"/>
        </w:rPr>
      </w:pPr>
    </w:p>
    <w:p w14:paraId="4BE610D9">
      <w:pPr>
        <w:jc w:val="center"/>
        <w:rPr>
          <w:rFonts w:hint="eastAsia" w:ascii="仿宋" w:hAnsi="仿宋" w:eastAsia="仿宋"/>
          <w:color w:val="000000"/>
          <w:sz w:val="28"/>
          <w:u w:val="single"/>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8</w:t>
      </w:r>
      <w:r>
        <w:rPr>
          <w:rFonts w:hint="eastAsia" w:ascii="仿宋" w:hAnsi="仿宋" w:eastAsia="仿宋"/>
          <w:color w:val="000000"/>
          <w:sz w:val="28"/>
          <w:u w:val="single"/>
        </w:rPr>
        <w:t>月制定</w:t>
      </w:r>
      <w:bookmarkStart w:id="0" w:name="_Toc231228604"/>
    </w:p>
    <w:p w14:paraId="0150F442">
      <w:pPr>
        <w:jc w:val="center"/>
        <w:rPr>
          <w:rFonts w:hint="eastAsia" w:ascii="仿宋" w:hAnsi="仿宋" w:eastAsia="仿宋"/>
          <w:color w:val="000000"/>
          <w:sz w:val="28"/>
          <w:u w:val="single"/>
        </w:rPr>
      </w:pPr>
    </w:p>
    <w:p w14:paraId="70CAE740">
      <w:pPr>
        <w:jc w:val="center"/>
        <w:rPr>
          <w:rFonts w:hint="eastAsia" w:ascii="仿宋" w:hAnsi="仿宋" w:eastAsia="仿宋"/>
          <w:color w:val="000000"/>
          <w:sz w:val="28"/>
          <w:u w:val="single"/>
        </w:rPr>
      </w:pPr>
    </w:p>
    <w:p w14:paraId="0F2A6615">
      <w:pPr>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75A4D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A05C2F0">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70EF888B">
            <w:pPr>
              <w:jc w:val="center"/>
              <w:rPr>
                <w:rFonts w:ascii="仿宋" w:hAnsi="仿宋" w:eastAsia="仿宋"/>
                <w:color w:val="000000"/>
                <w:sz w:val="24"/>
              </w:rPr>
            </w:pPr>
            <w:r>
              <w:rPr>
                <w:rFonts w:hint="eastAsia" w:ascii="仿宋" w:hAnsi="仿宋" w:eastAsia="仿宋"/>
                <w:color w:val="000000"/>
                <w:sz w:val="24"/>
              </w:rPr>
              <w:t>100844X015</w:t>
            </w:r>
          </w:p>
        </w:tc>
        <w:tc>
          <w:tcPr>
            <w:tcW w:w="1446" w:type="dxa"/>
            <w:vAlign w:val="center"/>
          </w:tcPr>
          <w:p w14:paraId="3A7B4BC7">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2A454A0D">
            <w:pPr>
              <w:jc w:val="center"/>
              <w:rPr>
                <w:rFonts w:ascii="仿宋" w:hAnsi="仿宋" w:eastAsia="仿宋"/>
                <w:color w:val="000000"/>
                <w:sz w:val="24"/>
              </w:rPr>
            </w:pPr>
            <w:r>
              <w:rPr>
                <w:rFonts w:hint="eastAsia" w:ascii="仿宋" w:hAnsi="仿宋" w:eastAsia="仿宋"/>
                <w:color w:val="000000"/>
                <w:sz w:val="24"/>
              </w:rPr>
              <w:t>工商管理学院/马克思主义学院</w:t>
            </w:r>
          </w:p>
        </w:tc>
      </w:tr>
      <w:tr w14:paraId="44738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432EFDB">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0926F4CB">
            <w:pPr>
              <w:jc w:val="center"/>
              <w:rPr>
                <w:rFonts w:ascii="仿宋" w:hAnsi="仿宋" w:eastAsia="仿宋"/>
                <w:color w:val="000000"/>
                <w:sz w:val="24"/>
              </w:rPr>
            </w:pPr>
            <w:r>
              <w:rPr>
                <w:rFonts w:hint="eastAsia" w:ascii="仿宋" w:hAnsi="仿宋" w:eastAsia="仿宋"/>
                <w:color w:val="000000"/>
                <w:sz w:val="24"/>
              </w:rPr>
              <w:t>形势与政策</w:t>
            </w:r>
          </w:p>
        </w:tc>
      </w:tr>
      <w:tr w14:paraId="0B38D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C5BD38B">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0A3E83DE">
            <w:pPr>
              <w:jc w:val="center"/>
              <w:rPr>
                <w:rFonts w:ascii="仿宋" w:hAnsi="仿宋" w:eastAsia="仿宋"/>
                <w:color w:val="000000"/>
                <w:sz w:val="24"/>
              </w:rPr>
            </w:pPr>
            <w:r>
              <w:rPr>
                <w:rFonts w:hint="eastAsia" w:ascii="仿宋" w:hAnsi="仿宋" w:eastAsia="仿宋"/>
                <w:color w:val="000000"/>
                <w:sz w:val="24"/>
              </w:rPr>
              <w:t>Situation and Policy</w:t>
            </w:r>
          </w:p>
        </w:tc>
      </w:tr>
      <w:tr w14:paraId="4A52D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F3472A4">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03F64CD7">
            <w:pPr>
              <w:jc w:val="center"/>
              <w:rPr>
                <w:rFonts w:hint="eastAsia" w:ascii="仿宋" w:hAnsi="仿宋" w:eastAsia="仿宋"/>
                <w:color w:val="FF0000"/>
                <w:sz w:val="24"/>
                <w:lang w:eastAsia="zh-CN"/>
              </w:rPr>
            </w:pPr>
            <w:r>
              <w:rPr>
                <w:rFonts w:hint="eastAsia" w:ascii="仿宋" w:hAnsi="仿宋" w:eastAsia="仿宋"/>
                <w:color w:val="000000" w:themeColor="text1"/>
                <w:sz w:val="24"/>
                <w:lang w:eastAsia="zh-CN"/>
                <w14:textFill>
                  <w14:solidFill>
                    <w14:schemeClr w14:val="tx1"/>
                  </w14:solidFill>
                </w14:textFill>
              </w:rPr>
              <w:t>公共必修课：思政类必修课</w:t>
            </w:r>
          </w:p>
        </w:tc>
      </w:tr>
      <w:tr w14:paraId="3707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4F36E10">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3AA28753">
            <w:pPr>
              <w:jc w:val="center"/>
              <w:rPr>
                <w:rFonts w:ascii="仿宋" w:hAnsi="仿宋" w:eastAsia="仿宋"/>
                <w:color w:val="0070C0"/>
                <w:sz w:val="24"/>
              </w:rPr>
            </w:pPr>
            <w:r>
              <w:rPr>
                <w:rFonts w:hint="eastAsia" w:ascii="仿宋" w:hAnsi="仿宋" w:eastAsia="仿宋"/>
                <w:color w:val="000000" w:themeColor="text1"/>
                <w:sz w:val="24"/>
                <w14:textFill>
                  <w14:solidFill>
                    <w14:schemeClr w14:val="tx1"/>
                  </w14:solidFill>
                </w14:textFill>
              </w:rPr>
              <w:t>全校所有本科专业</w:t>
            </w:r>
          </w:p>
        </w:tc>
      </w:tr>
      <w:tr w14:paraId="1DC8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3B9B4AF">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49ACB2BA">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2</w:t>
            </w:r>
          </w:p>
        </w:tc>
        <w:tc>
          <w:tcPr>
            <w:tcW w:w="1693" w:type="dxa"/>
            <w:gridSpan w:val="2"/>
            <w:vAlign w:val="center"/>
          </w:tcPr>
          <w:p w14:paraId="3491CDB0">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1981DCB0">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64</w:t>
            </w:r>
          </w:p>
        </w:tc>
      </w:tr>
      <w:tr w14:paraId="32570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F311C4B">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44AC59D0">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64</w:t>
            </w:r>
          </w:p>
        </w:tc>
        <w:tc>
          <w:tcPr>
            <w:tcW w:w="1693" w:type="dxa"/>
            <w:gridSpan w:val="2"/>
            <w:vAlign w:val="center"/>
          </w:tcPr>
          <w:p w14:paraId="28D8108D">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7A46C472">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4FDC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F317F75">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60E8AD24">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14:paraId="3D4A21F7">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1E892CCE">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41CD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3C4401C">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2FAFE03F">
            <w:pPr>
              <w:jc w:val="center"/>
              <w:rPr>
                <w:rFonts w:hint="eastAsia" w:ascii="仿宋" w:hAnsi="仿宋" w:eastAsia="仿宋"/>
                <w:color w:val="000000"/>
                <w:sz w:val="24"/>
                <w:lang w:eastAsia="zh-CN"/>
              </w:rPr>
            </w:pPr>
            <w:r>
              <w:rPr>
                <w:rFonts w:hint="eastAsia" w:ascii="仿宋" w:hAnsi="仿宋" w:eastAsia="仿宋"/>
                <w:color w:val="000000"/>
                <w:sz w:val="24"/>
                <w:lang w:eastAsia="zh-CN"/>
              </w:rPr>
              <w:t>无</w:t>
            </w:r>
          </w:p>
        </w:tc>
      </w:tr>
    </w:tbl>
    <w:p w14:paraId="18E5B69B">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07EFA621">
      <w:pPr>
        <w:snapToGrid w:val="0"/>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形势与政策”课是高校思想政治理论课的重要组成部分，是理论武装时效性、释疑解惑针对性、教育引导综合性都很强的一门高校思想政治理论课。具体而言，本课程通过精选时事专题，适时地进行形势政策教育，帮助大学生正确认识新时代国内外形势，深刻领会党的十八大以来党和国家事业发生的历史性变革、取得的历史性成就、面临的历史性机遇和挑战。引导学生正确认识世情、国情、区情、校情，使学生在新时代改革开放的环境下具有坚定的立场，学会用正确的观点和方法观察分析形势，掌握时代脉搏，珍惜和维护国家稳定的大局，激发爱国主义热情，增强民族自信心和社会责任感，具有坚定走有中国特色社会主义道路的信心。</w:t>
      </w:r>
    </w:p>
    <w:p w14:paraId="15575E2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5863D8F6">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7ED2DEE7">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026E157E">
      <w:pPr>
        <w:spacing w:line="360" w:lineRule="auto"/>
        <w:ind w:firstLine="480" w:firstLineChars="200"/>
        <w:rPr>
          <w:rFonts w:hint="eastAsia" w:ascii="仿宋" w:hAnsi="仿宋" w:eastAsia="仿宋"/>
          <w:bCs/>
          <w:color w:val="000000" w:themeColor="text1"/>
          <w:sz w:val="24"/>
          <w:lang w:eastAsia="zh-CN"/>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通过对大学生进行形势与政策教育，帮助大学生了解和掌握国际、国内形势与国家方针政策，认清时代潮流，把握时代脉搏，正确认识国情、正确理解党的路线、方针和政策</w:t>
      </w:r>
      <w:r>
        <w:rPr>
          <w:rFonts w:hint="eastAsia" w:ascii="仿宋" w:hAnsi="仿宋" w:eastAsia="仿宋"/>
          <w:bCs/>
          <w:color w:val="000000" w:themeColor="text1"/>
          <w:sz w:val="24"/>
          <w:lang w:eastAsia="zh-CN"/>
          <w14:textFill>
            <w14:solidFill>
              <w14:schemeClr w14:val="tx1"/>
            </w14:solidFill>
          </w14:textFill>
        </w:rPr>
        <w:t>。</w:t>
      </w:r>
    </w:p>
    <w:p w14:paraId="01612DDA">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p>
    <w:p w14:paraId="78593DE3">
      <w:pPr>
        <w:spacing w:line="360" w:lineRule="auto"/>
        <w:ind w:firstLine="480" w:firstLineChars="200"/>
        <w:rPr>
          <w:rFonts w:hint="eastAsia" w:ascii="仿宋" w:hAnsi="仿宋" w:eastAsia="仿宋"/>
          <w:bCs/>
          <w:color w:val="000000" w:themeColor="text1"/>
          <w:sz w:val="24"/>
          <w:lang w:eastAsia="zh-CN"/>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通过对国内外经济政治形势、国际关系、国内外热点事件以及党和国家的路线、方针、政策的认识和了解，提高学生分析问题和解决问题的能力</w:t>
      </w:r>
      <w:r>
        <w:rPr>
          <w:rFonts w:hint="eastAsia" w:ascii="仿宋" w:hAnsi="仿宋" w:eastAsia="仿宋"/>
          <w:bCs/>
          <w:color w:val="000000" w:themeColor="text1"/>
          <w:sz w:val="24"/>
          <w:lang w:eastAsia="zh-CN"/>
          <w14:textFill>
            <w14:solidFill>
              <w14:schemeClr w14:val="tx1"/>
            </w14:solidFill>
          </w14:textFill>
        </w:rPr>
        <w:t>。</w:t>
      </w:r>
    </w:p>
    <w:p w14:paraId="27AB3079">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14:paraId="4A69ED99">
      <w:pPr>
        <w:spacing w:line="360" w:lineRule="auto"/>
        <w:ind w:firstLine="480" w:firstLineChars="200"/>
        <w:rPr>
          <w:rFonts w:hint="eastAsia" w:ascii="仿宋" w:hAnsi="仿宋" w:eastAsia="仿宋"/>
          <w:bCs/>
          <w:color w:val="000000" w:themeColor="text1"/>
          <w:sz w:val="24"/>
          <w:szCs w:val="24"/>
          <w14:textFill>
            <w14:solidFill>
              <w14:schemeClr w14:val="tx1"/>
            </w14:solidFill>
          </w14:textFill>
        </w:rPr>
      </w:pPr>
      <w:r>
        <w:rPr>
          <w:rFonts w:hint="eastAsia" w:ascii="仿宋" w:hAnsi="仿宋" w:eastAsia="仿宋"/>
          <w:bCs/>
          <w:color w:val="000000" w:themeColor="text1"/>
          <w:sz w:val="24"/>
          <w:szCs w:val="24"/>
          <w14:textFill>
            <w14:solidFill>
              <w14:schemeClr w14:val="tx1"/>
            </w14:solidFill>
          </w14:textFill>
        </w:rPr>
        <w:t>激发爱国主义精神，增强民族自尊心和社会责任感，提高广大学生的政治敏锐性和政策判别力，提高大学生的综合素质。</w:t>
      </w:r>
    </w:p>
    <w:p w14:paraId="480487F0">
      <w:pPr>
        <w:snapToGrid w:val="0"/>
        <w:spacing w:line="360" w:lineRule="auto"/>
        <w:ind w:firstLine="482" w:firstLineChars="200"/>
        <w:rPr>
          <w:rFonts w:hint="eastAsia" w:ascii="仿宋" w:hAnsi="仿宋" w:eastAsia="仿宋"/>
          <w:b/>
          <w:bCs/>
          <w:sz w:val="24"/>
          <w:szCs w:val="24"/>
        </w:rPr>
      </w:pPr>
      <w:r>
        <w:rPr>
          <w:rFonts w:hint="eastAsia" w:ascii="仿宋" w:hAnsi="仿宋" w:eastAsia="仿宋"/>
          <w:b/>
          <w:bCs/>
          <w:sz w:val="24"/>
          <w:szCs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14:paraId="0A8F4C45">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782FDDE9">
            <w:pPr>
              <w:widowControl/>
              <w:spacing w:line="276" w:lineRule="auto"/>
              <w:jc w:val="center"/>
              <w:rPr>
                <w:rFonts w:ascii="仿宋" w:hAnsi="仿宋" w:eastAsia="仿宋"/>
                <w:b/>
                <w:color w:val="000000"/>
                <w:kern w:val="0"/>
                <w:sz w:val="24"/>
                <w:szCs w:val="24"/>
              </w:rPr>
            </w:pPr>
            <w:r>
              <w:rPr>
                <w:rFonts w:hint="eastAsia" w:ascii="仿宋" w:hAnsi="仿宋" w:eastAsia="仿宋"/>
                <w:b/>
                <w:color w:val="000000"/>
                <w:kern w:val="0"/>
                <w:sz w:val="24"/>
                <w:szCs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6A6CCBF2">
            <w:pPr>
              <w:widowControl/>
              <w:spacing w:line="276" w:lineRule="auto"/>
              <w:jc w:val="center"/>
              <w:rPr>
                <w:rFonts w:ascii="仿宋" w:hAnsi="仿宋" w:eastAsia="仿宋"/>
                <w:b/>
                <w:color w:val="000000"/>
                <w:kern w:val="0"/>
                <w:sz w:val="24"/>
                <w:szCs w:val="24"/>
              </w:rPr>
            </w:pPr>
            <w:r>
              <w:rPr>
                <w:rFonts w:hint="eastAsia" w:ascii="仿宋" w:hAnsi="仿宋" w:eastAsia="仿宋"/>
                <w:b/>
                <w:color w:val="000000"/>
                <w:kern w:val="0"/>
                <w:sz w:val="24"/>
                <w:szCs w:val="24"/>
              </w:rPr>
              <w:t>观测点</w:t>
            </w:r>
          </w:p>
        </w:tc>
        <w:tc>
          <w:tcPr>
            <w:tcW w:w="1249" w:type="pct"/>
            <w:tcBorders>
              <w:top w:val="single" w:color="auto" w:sz="4" w:space="0"/>
              <w:left w:val="nil"/>
              <w:bottom w:val="single" w:color="auto" w:sz="4" w:space="0"/>
              <w:right w:val="single" w:color="auto" w:sz="4" w:space="0"/>
            </w:tcBorders>
          </w:tcPr>
          <w:p w14:paraId="4283C18D">
            <w:pPr>
              <w:widowControl/>
              <w:spacing w:line="276" w:lineRule="auto"/>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课程目标</w:t>
            </w:r>
          </w:p>
        </w:tc>
        <w:tc>
          <w:tcPr>
            <w:tcW w:w="860" w:type="pct"/>
            <w:tcBorders>
              <w:top w:val="single" w:color="auto" w:sz="4" w:space="0"/>
              <w:left w:val="nil"/>
              <w:bottom w:val="single" w:color="auto" w:sz="4" w:space="0"/>
              <w:right w:val="single" w:color="auto" w:sz="4" w:space="0"/>
            </w:tcBorders>
          </w:tcPr>
          <w:p w14:paraId="25FFB26B">
            <w:pPr>
              <w:widowControl/>
              <w:spacing w:line="276" w:lineRule="auto"/>
              <w:jc w:val="center"/>
              <w:rPr>
                <w:rFonts w:ascii="仿宋" w:hAnsi="仿宋" w:eastAsia="仿宋"/>
                <w:b/>
                <w:color w:val="000000"/>
                <w:kern w:val="0"/>
                <w:sz w:val="24"/>
                <w:szCs w:val="24"/>
              </w:rPr>
            </w:pPr>
            <w:r>
              <w:rPr>
                <w:rFonts w:hint="eastAsia" w:ascii="仿宋" w:hAnsi="仿宋" w:eastAsia="仿宋"/>
                <w:b/>
                <w:color w:val="000000"/>
                <w:kern w:val="0"/>
                <w:sz w:val="24"/>
                <w:szCs w:val="24"/>
              </w:rPr>
              <w:t>支撑强度</w:t>
            </w:r>
          </w:p>
        </w:tc>
      </w:tr>
      <w:tr w14:paraId="65EBBBB4">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14:paraId="31D55836">
            <w:pPr>
              <w:widowControl/>
              <w:spacing w:line="276" w:lineRule="auto"/>
              <w:jc w:val="both"/>
              <w:rPr>
                <w:rFonts w:hint="eastAsia" w:ascii="仿宋" w:hAnsi="仿宋" w:eastAsia="仿宋"/>
                <w:color w:val="000000" w:themeColor="text1"/>
                <w:kern w:val="0"/>
                <w:sz w:val="24"/>
                <w:szCs w:val="24"/>
                <w:lang w:eastAsia="zh-CN"/>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毕业要求1：</w:t>
            </w:r>
            <w:r>
              <w:rPr>
                <w:rFonts w:hint="eastAsia" w:ascii="仿宋" w:hAnsi="仿宋" w:eastAsia="仿宋"/>
                <w:color w:val="000000" w:themeColor="text1"/>
                <w:sz w:val="24"/>
                <w:szCs w:val="24"/>
                <w14:textFill>
                  <w14:solidFill>
                    <w14:schemeClr w14:val="tx1"/>
                  </w14:solidFill>
                </w14:textFill>
              </w:rPr>
              <w:t>政治过硬：具备过硬的政治素质，热爱祖国，拥护中国共产党领导，践行社会主义核心价值观，在思想、政治、理论和情感各方面高度认同中国特色社会主义</w:t>
            </w:r>
            <w:r>
              <w:rPr>
                <w:rFonts w:hint="eastAsia" w:ascii="仿宋" w:hAnsi="仿宋" w:eastAsia="仿宋"/>
                <w:color w:val="000000" w:themeColor="text1"/>
                <w:sz w:val="24"/>
                <w:szCs w:val="24"/>
                <w:lang w:eastAsia="zh-CN"/>
                <w14:textFill>
                  <w14:solidFill>
                    <w14:schemeClr w14:val="tx1"/>
                  </w14:solidFill>
                </w14:textFill>
              </w:rPr>
              <w:t>。</w:t>
            </w:r>
          </w:p>
        </w:tc>
        <w:tc>
          <w:tcPr>
            <w:tcW w:w="1413" w:type="pct"/>
            <w:tcBorders>
              <w:top w:val="single" w:color="auto" w:sz="4" w:space="0"/>
              <w:left w:val="nil"/>
              <w:bottom w:val="single" w:color="auto" w:sz="4" w:space="0"/>
              <w:right w:val="single" w:color="auto" w:sz="4" w:space="0"/>
            </w:tcBorders>
          </w:tcPr>
          <w:p w14:paraId="65F0ED44">
            <w:pPr>
              <w:spacing w:line="276" w:lineRule="auto"/>
              <w:jc w:val="both"/>
              <w:rPr>
                <w:rFonts w:ascii="仿宋" w:hAnsi="仿宋" w:eastAsia="仿宋"/>
                <w:color w:val="000000" w:themeColor="text1"/>
                <w:sz w:val="24"/>
                <w:szCs w:val="24"/>
                <w14:textFill>
                  <w14:solidFill>
                    <w14:schemeClr w14:val="tx1"/>
                  </w14:solidFill>
                </w14:textFill>
              </w:rPr>
            </w:pPr>
            <w:r>
              <w:rPr>
                <w:rFonts w:ascii="仿宋" w:hAnsi="仿宋" w:eastAsia="仿宋"/>
                <w:b/>
                <w:bCs/>
                <w:color w:val="000000" w:themeColor="text1"/>
                <w:sz w:val="24"/>
                <w:szCs w:val="24"/>
                <w14:textFill>
                  <w14:solidFill>
                    <w14:schemeClr w14:val="tx1"/>
                  </w14:solidFill>
                </w14:textFill>
              </w:rPr>
              <w:t>观测点1</w:t>
            </w:r>
            <w:r>
              <w:rPr>
                <w:rFonts w:hint="eastAsia" w:ascii="仿宋" w:hAnsi="仿宋" w:eastAsia="仿宋"/>
                <w:b/>
                <w:bCs/>
                <w:color w:val="000000" w:themeColor="text1"/>
                <w:sz w:val="24"/>
                <w:szCs w:val="24"/>
                <w14:textFill>
                  <w14:solidFill>
                    <w14:schemeClr w14:val="tx1"/>
                  </w14:solidFill>
                </w14:textFill>
              </w:rPr>
              <w:t>：</w:t>
            </w:r>
            <w:r>
              <w:rPr>
                <w:rFonts w:hint="eastAsia" w:ascii="仿宋" w:hAnsi="仿宋" w:eastAsia="仿宋"/>
                <w:b w:val="0"/>
                <w:bCs w:val="0"/>
                <w:color w:val="000000" w:themeColor="text1"/>
                <w:sz w:val="24"/>
                <w:szCs w:val="24"/>
                <w:lang w:eastAsia="zh-CN"/>
                <w14:textFill>
                  <w14:solidFill>
                    <w14:schemeClr w14:val="tx1"/>
                  </w14:solidFill>
                </w14:textFill>
              </w:rPr>
              <w:t>通过了解国内外大势，</w:t>
            </w:r>
            <w:r>
              <w:rPr>
                <w:rFonts w:hint="eastAsia" w:ascii="仿宋" w:hAnsi="仿宋" w:eastAsia="仿宋"/>
                <w:b w:val="0"/>
                <w:bCs w:val="0"/>
                <w:color w:val="000000" w:themeColor="text1"/>
                <w:sz w:val="24"/>
                <w:szCs w:val="24"/>
                <w14:textFill>
                  <w14:solidFill>
                    <w14:schemeClr w14:val="tx1"/>
                  </w14:solidFill>
                </w14:textFill>
              </w:rPr>
              <w:t>热</w:t>
            </w:r>
            <w:r>
              <w:rPr>
                <w:rFonts w:hint="eastAsia" w:ascii="仿宋" w:hAnsi="仿宋" w:eastAsia="仿宋"/>
                <w:color w:val="000000" w:themeColor="text1"/>
                <w:sz w:val="24"/>
                <w:szCs w:val="24"/>
                <w14:textFill>
                  <w14:solidFill>
                    <w14:schemeClr w14:val="tx1"/>
                  </w14:solidFill>
                </w14:textFill>
              </w:rPr>
              <w:t>爱祖国和人民，能够将个人梦融入国家梦，将个人理想融入社会理想，与历史同行、与祖国同向，与人民同行，在祖国最需要的地方建功立业。</w:t>
            </w:r>
          </w:p>
        </w:tc>
        <w:tc>
          <w:tcPr>
            <w:tcW w:w="1249" w:type="pct"/>
            <w:tcBorders>
              <w:top w:val="single" w:color="auto" w:sz="4" w:space="0"/>
              <w:left w:val="nil"/>
              <w:bottom w:val="single" w:color="auto" w:sz="4" w:space="0"/>
              <w:right w:val="single" w:color="auto" w:sz="4" w:space="0"/>
            </w:tcBorders>
            <w:vAlign w:val="center"/>
          </w:tcPr>
          <w:p w14:paraId="105E1FD7">
            <w:pPr>
              <w:spacing w:line="276" w:lineRule="auto"/>
              <w:jc w:val="both"/>
              <w:rPr>
                <w:rFonts w:hint="default" w:ascii="仿宋" w:hAnsi="仿宋" w:eastAsia="仿宋"/>
                <w:color w:val="000000"/>
                <w:sz w:val="24"/>
                <w:szCs w:val="24"/>
                <w:lang w:val="en-US" w:eastAsia="zh-CN"/>
              </w:rPr>
            </w:pPr>
            <w:r>
              <w:rPr>
                <w:rFonts w:hint="eastAsia" w:ascii="仿宋" w:hAnsi="仿宋" w:eastAsia="仿宋"/>
                <w:color w:val="000000"/>
                <w:kern w:val="0"/>
                <w:sz w:val="24"/>
                <w:szCs w:val="24"/>
              </w:rPr>
              <w:t>课程目标1</w:t>
            </w:r>
            <w:r>
              <w:rPr>
                <w:rFonts w:hint="eastAsia" w:ascii="仿宋" w:hAnsi="仿宋" w:eastAsia="仿宋"/>
                <w:color w:val="000000"/>
                <w:kern w:val="0"/>
                <w:sz w:val="24"/>
                <w:szCs w:val="24"/>
                <w:lang w:eastAsia="zh-CN"/>
              </w:rPr>
              <w:t>、</w:t>
            </w:r>
            <w:r>
              <w:rPr>
                <w:rFonts w:hint="eastAsia" w:ascii="仿宋" w:hAnsi="仿宋" w:eastAsia="仿宋"/>
                <w:color w:val="000000"/>
                <w:kern w:val="0"/>
                <w:sz w:val="24"/>
                <w:szCs w:val="24"/>
                <w:lang w:val="en-US" w:eastAsia="zh-CN"/>
              </w:rPr>
              <w:t>3</w:t>
            </w:r>
          </w:p>
        </w:tc>
        <w:tc>
          <w:tcPr>
            <w:tcW w:w="860" w:type="pct"/>
            <w:tcBorders>
              <w:top w:val="single" w:color="auto" w:sz="4" w:space="0"/>
              <w:left w:val="nil"/>
              <w:bottom w:val="single" w:color="auto" w:sz="4" w:space="0"/>
              <w:right w:val="single" w:color="auto" w:sz="4" w:space="0"/>
            </w:tcBorders>
            <w:vAlign w:val="center"/>
          </w:tcPr>
          <w:p w14:paraId="798B65C9">
            <w:pPr>
              <w:numPr>
                <w:ilvl w:val="0"/>
                <w:numId w:val="0"/>
              </w:numPr>
              <w:spacing w:line="276" w:lineRule="auto"/>
              <w:ind w:left="360" w:leftChars="0" w:hanging="360" w:firstLineChars="0"/>
              <w:jc w:val="both"/>
              <w:rPr>
                <w:rFonts w:ascii="仿宋" w:hAnsi="仿宋" w:eastAsia="仿宋"/>
                <w:color w:val="000000"/>
                <w:sz w:val="24"/>
                <w:szCs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szCs w:val="24"/>
              </w:rPr>
              <w:t>H</w:t>
            </w:r>
          </w:p>
          <w:p w14:paraId="1374D8B8">
            <w:pPr>
              <w:numPr>
                <w:ilvl w:val="0"/>
                <w:numId w:val="0"/>
              </w:numPr>
              <w:spacing w:line="276" w:lineRule="auto"/>
              <w:ind w:left="360" w:leftChars="0" w:hanging="360" w:firstLineChars="0"/>
              <w:jc w:val="both"/>
              <w:rPr>
                <w:rFonts w:ascii="仿宋" w:hAnsi="仿宋" w:eastAsia="仿宋"/>
                <w:color w:val="000000"/>
                <w:sz w:val="24"/>
                <w:szCs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szCs w:val="24"/>
              </w:rPr>
              <w:t>M</w:t>
            </w:r>
          </w:p>
          <w:p w14:paraId="06CD68D4">
            <w:pPr>
              <w:numPr>
                <w:ilvl w:val="0"/>
                <w:numId w:val="0"/>
              </w:numPr>
              <w:spacing w:line="276" w:lineRule="auto"/>
              <w:ind w:left="360" w:leftChars="0" w:hanging="360" w:firstLineChars="0"/>
              <w:jc w:val="both"/>
              <w:rPr>
                <w:rFonts w:hint="eastAsia" w:ascii="仿宋" w:hAnsi="仿宋" w:eastAsia="仿宋"/>
                <w:color w:val="000000"/>
                <w:sz w:val="24"/>
                <w:szCs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szCs w:val="24"/>
              </w:rPr>
              <w:t>L</w:t>
            </w:r>
          </w:p>
        </w:tc>
      </w:tr>
      <w:tr w14:paraId="650CBE53">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1A78C3F3">
            <w:pPr>
              <w:widowControl/>
              <w:spacing w:line="276" w:lineRule="auto"/>
              <w:jc w:val="both"/>
              <w:rPr>
                <w:rFonts w:hint="eastAsia" w:ascii="仿宋" w:hAnsi="仿宋" w:eastAsia="仿宋"/>
                <w:b/>
                <w:bCs/>
                <w:color w:val="000000"/>
                <w:kern w:val="0"/>
                <w:sz w:val="24"/>
                <w:szCs w:val="24"/>
              </w:rPr>
            </w:pPr>
            <w:r>
              <w:rPr>
                <w:rFonts w:hint="eastAsia" w:ascii="仿宋" w:hAnsi="仿宋" w:eastAsia="仿宋"/>
                <w:b/>
                <w:bCs/>
                <w:color w:val="000000"/>
                <w:kern w:val="0"/>
                <w:sz w:val="24"/>
                <w:szCs w:val="24"/>
              </w:rPr>
              <w:t>毕业要求2：</w:t>
            </w:r>
            <w:r>
              <w:rPr>
                <w:rFonts w:hint="eastAsia" w:ascii="仿宋" w:hAnsi="仿宋" w:eastAsia="仿宋"/>
                <w:b w:val="0"/>
                <w:bCs w:val="0"/>
                <w:color w:val="000000"/>
                <w:kern w:val="0"/>
                <w:sz w:val="24"/>
                <w:szCs w:val="24"/>
              </w:rPr>
              <w:t>沟通。能够就专业领域内的复杂问题与业界同行及社会公众进行有效沟通和交流，包括撰写报告和设计文稿、陈述发言、清晰表达或回应指令。并具备一定的国际视野，能够在跨文化背景下进行沟通和交流。</w:t>
            </w:r>
          </w:p>
        </w:tc>
        <w:tc>
          <w:tcPr>
            <w:tcW w:w="1413" w:type="pct"/>
            <w:tcBorders>
              <w:top w:val="single" w:color="auto" w:sz="4" w:space="0"/>
              <w:left w:val="nil"/>
              <w:bottom w:val="single" w:color="auto" w:sz="4" w:space="0"/>
              <w:right w:val="single" w:color="auto" w:sz="4" w:space="0"/>
            </w:tcBorders>
            <w:vAlign w:val="center"/>
          </w:tcPr>
          <w:p w14:paraId="310A34C2">
            <w:pPr>
              <w:spacing w:line="276" w:lineRule="auto"/>
              <w:jc w:val="both"/>
              <w:rPr>
                <w:rFonts w:hint="eastAsia" w:ascii="仿宋" w:hAnsi="仿宋" w:eastAsia="仿宋"/>
                <w:b/>
                <w:bCs/>
                <w:color w:val="000000"/>
                <w:sz w:val="24"/>
                <w:szCs w:val="24"/>
                <w:lang w:eastAsia="zh-CN"/>
              </w:rPr>
            </w:pPr>
            <w:r>
              <w:rPr>
                <w:rFonts w:hint="eastAsia" w:ascii="仿宋" w:hAnsi="仿宋" w:eastAsia="仿宋"/>
                <w:b/>
                <w:bCs/>
                <w:color w:val="000000"/>
                <w:sz w:val="24"/>
                <w:szCs w:val="24"/>
              </w:rPr>
              <w:t>观测点</w:t>
            </w:r>
            <w:r>
              <w:rPr>
                <w:rFonts w:hint="eastAsia" w:ascii="仿宋" w:hAnsi="仿宋" w:eastAsia="仿宋"/>
                <w:b/>
                <w:bCs/>
                <w:color w:val="000000"/>
                <w:sz w:val="24"/>
                <w:szCs w:val="24"/>
                <w:lang w:val="en-US" w:eastAsia="zh-CN"/>
              </w:rPr>
              <w:t>2</w:t>
            </w:r>
            <w:r>
              <w:rPr>
                <w:rFonts w:hint="eastAsia" w:ascii="仿宋" w:hAnsi="仿宋" w:eastAsia="仿宋"/>
                <w:b/>
                <w:bCs/>
                <w:color w:val="000000"/>
                <w:sz w:val="24"/>
                <w:szCs w:val="24"/>
              </w:rPr>
              <w:t>：</w:t>
            </w:r>
            <w:r>
              <w:rPr>
                <w:rFonts w:hint="eastAsia" w:ascii="仿宋" w:hAnsi="仿宋" w:eastAsia="仿宋"/>
                <w:b w:val="0"/>
                <w:bCs w:val="0"/>
                <w:color w:val="000000"/>
                <w:sz w:val="24"/>
                <w:szCs w:val="24"/>
                <w:lang w:eastAsia="zh-CN"/>
              </w:rPr>
              <w:t>通过扎实的经典文献阅读，</w:t>
            </w:r>
            <w:r>
              <w:rPr>
                <w:rFonts w:hint="eastAsia" w:ascii="仿宋" w:hAnsi="仿宋" w:eastAsia="仿宋"/>
                <w:b w:val="0"/>
                <w:bCs w:val="0"/>
                <w:color w:val="000000"/>
                <w:sz w:val="24"/>
                <w:szCs w:val="24"/>
              </w:rPr>
              <w:t>运用启发式、</w:t>
            </w:r>
            <w:r>
              <w:rPr>
                <w:rFonts w:hint="eastAsia" w:ascii="仿宋" w:hAnsi="仿宋" w:eastAsia="仿宋"/>
                <w:b w:val="0"/>
                <w:bCs w:val="0"/>
                <w:color w:val="000000"/>
                <w:sz w:val="24"/>
                <w:szCs w:val="24"/>
                <w:lang w:eastAsia="zh-CN"/>
              </w:rPr>
              <w:t>翻转课堂</w:t>
            </w:r>
            <w:r>
              <w:rPr>
                <w:rFonts w:hint="eastAsia" w:ascii="仿宋" w:hAnsi="仿宋" w:eastAsia="仿宋"/>
                <w:b w:val="0"/>
                <w:bCs w:val="0"/>
                <w:color w:val="000000"/>
                <w:sz w:val="24"/>
                <w:szCs w:val="24"/>
              </w:rPr>
              <w:t>等教学方法，激发学生主动思考并踊跃参与问题讨论，引导学生将书本知识与实际案例相结合，将理论所学与时代发展中的问题相结合，不断增强学生在社会主义现代化建设中的主人翁意识，培养学生的独立思考能力和创新意识，实现立德树人的目的。</w:t>
            </w:r>
          </w:p>
        </w:tc>
        <w:tc>
          <w:tcPr>
            <w:tcW w:w="1249" w:type="pct"/>
            <w:tcBorders>
              <w:top w:val="single" w:color="auto" w:sz="4" w:space="0"/>
              <w:left w:val="nil"/>
              <w:bottom w:val="single" w:color="auto" w:sz="4" w:space="0"/>
              <w:right w:val="single" w:color="auto" w:sz="4" w:space="0"/>
            </w:tcBorders>
            <w:vAlign w:val="center"/>
          </w:tcPr>
          <w:p w14:paraId="0CF4B5A2">
            <w:pPr>
              <w:spacing w:line="276" w:lineRule="auto"/>
              <w:jc w:val="both"/>
              <w:rPr>
                <w:rFonts w:hint="eastAsia" w:ascii="仿宋" w:hAnsi="仿宋" w:eastAsia="仿宋"/>
                <w:color w:val="000000"/>
                <w:sz w:val="24"/>
                <w:szCs w:val="24"/>
              </w:rPr>
            </w:pPr>
            <w:r>
              <w:rPr>
                <w:rFonts w:hint="eastAsia" w:ascii="仿宋" w:hAnsi="仿宋" w:eastAsia="仿宋"/>
                <w:color w:val="000000"/>
                <w:kern w:val="0"/>
                <w:sz w:val="24"/>
                <w:szCs w:val="24"/>
              </w:rPr>
              <w:t>课程目标</w:t>
            </w:r>
            <w:r>
              <w:rPr>
                <w:rFonts w:ascii="仿宋" w:hAnsi="仿宋" w:eastAsia="仿宋"/>
                <w:color w:val="000000"/>
                <w:kern w:val="0"/>
                <w:sz w:val="24"/>
                <w:szCs w:val="24"/>
              </w:rPr>
              <w:t>2</w:t>
            </w:r>
          </w:p>
        </w:tc>
        <w:tc>
          <w:tcPr>
            <w:tcW w:w="860" w:type="pct"/>
            <w:tcBorders>
              <w:top w:val="single" w:color="auto" w:sz="4" w:space="0"/>
              <w:left w:val="nil"/>
              <w:bottom w:val="single" w:color="auto" w:sz="4" w:space="0"/>
              <w:right w:val="single" w:color="auto" w:sz="4" w:space="0"/>
            </w:tcBorders>
          </w:tcPr>
          <w:p w14:paraId="22E26219">
            <w:pPr>
              <w:numPr>
                <w:ilvl w:val="0"/>
                <w:numId w:val="0"/>
              </w:numPr>
              <w:spacing w:line="276" w:lineRule="auto"/>
              <w:ind w:left="360" w:leftChars="0" w:hanging="360" w:firstLineChars="0"/>
              <w:jc w:val="both"/>
              <w:rPr>
                <w:rFonts w:ascii="仿宋" w:hAnsi="仿宋" w:eastAsia="仿宋"/>
                <w:color w:val="000000"/>
                <w:sz w:val="24"/>
                <w:szCs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szCs w:val="24"/>
              </w:rPr>
              <w:t>H</w:t>
            </w:r>
          </w:p>
          <w:p w14:paraId="04754305">
            <w:pPr>
              <w:numPr>
                <w:ilvl w:val="0"/>
                <w:numId w:val="0"/>
              </w:numPr>
              <w:spacing w:line="276" w:lineRule="auto"/>
              <w:ind w:left="360" w:leftChars="0" w:hanging="360" w:firstLineChars="0"/>
              <w:jc w:val="both"/>
              <w:rPr>
                <w:rFonts w:ascii="仿宋" w:hAnsi="仿宋" w:eastAsia="仿宋"/>
                <w:color w:val="000000"/>
                <w:sz w:val="24"/>
                <w:szCs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szCs w:val="24"/>
              </w:rPr>
              <w:t>M</w:t>
            </w:r>
          </w:p>
          <w:p w14:paraId="6A1AA092">
            <w:pPr>
              <w:numPr>
                <w:ilvl w:val="0"/>
                <w:numId w:val="0"/>
              </w:numPr>
              <w:spacing w:line="276" w:lineRule="auto"/>
              <w:ind w:left="360" w:leftChars="0" w:hanging="360" w:firstLineChars="0"/>
              <w:jc w:val="both"/>
              <w:rPr>
                <w:rFonts w:hint="eastAsia" w:ascii="仿宋" w:hAnsi="仿宋" w:eastAsia="仿宋"/>
                <w:color w:val="000000"/>
                <w:sz w:val="24"/>
                <w:szCs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szCs w:val="24"/>
              </w:rPr>
              <w:t>L</w:t>
            </w:r>
          </w:p>
        </w:tc>
      </w:tr>
      <w:tr w14:paraId="27C24DAE">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1942F024">
            <w:pPr>
              <w:widowControl/>
              <w:spacing w:line="276" w:lineRule="auto"/>
              <w:jc w:val="both"/>
              <w:rPr>
                <w:rFonts w:hint="eastAsia" w:ascii="仿宋" w:hAnsi="仿宋" w:eastAsia="仿宋"/>
                <w:color w:val="000000"/>
                <w:kern w:val="0"/>
                <w:sz w:val="24"/>
                <w:szCs w:val="24"/>
              </w:rPr>
            </w:pPr>
            <w:r>
              <w:rPr>
                <w:rFonts w:hint="eastAsia" w:ascii="仿宋" w:hAnsi="仿宋" w:eastAsia="仿宋"/>
                <w:b/>
                <w:bCs/>
                <w:color w:val="000000"/>
                <w:kern w:val="0"/>
                <w:sz w:val="24"/>
                <w:szCs w:val="24"/>
              </w:rPr>
              <w:t>毕业要求</w:t>
            </w:r>
            <w:r>
              <w:rPr>
                <w:rFonts w:ascii="仿宋" w:hAnsi="仿宋" w:eastAsia="仿宋"/>
                <w:b/>
                <w:bCs/>
                <w:color w:val="000000"/>
                <w:kern w:val="0"/>
                <w:sz w:val="24"/>
                <w:szCs w:val="24"/>
              </w:rPr>
              <w:t>3</w:t>
            </w:r>
            <w:r>
              <w:rPr>
                <w:rFonts w:hint="eastAsia" w:ascii="仿宋" w:hAnsi="仿宋" w:eastAsia="仿宋"/>
                <w:b/>
                <w:bCs/>
                <w:color w:val="000000"/>
                <w:kern w:val="0"/>
                <w:sz w:val="24"/>
                <w:szCs w:val="24"/>
              </w:rPr>
              <w:t>：</w:t>
            </w:r>
            <w:r>
              <w:rPr>
                <w:rFonts w:hint="eastAsia" w:ascii="仿宋" w:hAnsi="仿宋" w:eastAsia="仿宋"/>
                <w:b w:val="0"/>
                <w:bCs w:val="0"/>
                <w:sz w:val="24"/>
                <w:szCs w:val="24"/>
              </w:rPr>
              <w:t>终身学习</w:t>
            </w:r>
            <w:r>
              <w:rPr>
                <w:rFonts w:hint="eastAsia" w:ascii="仿宋" w:hAnsi="仿宋" w:eastAsia="仿宋"/>
                <w:b w:val="0"/>
                <w:bCs w:val="0"/>
                <w:sz w:val="24"/>
                <w:szCs w:val="24"/>
                <w:lang w:eastAsia="zh-CN"/>
              </w:rPr>
              <w:t>。</w:t>
            </w:r>
            <w:r>
              <w:rPr>
                <w:rFonts w:hint="eastAsia" w:ascii="仿宋" w:hAnsi="仿宋" w:eastAsia="仿宋"/>
                <w:b w:val="0"/>
                <w:bCs w:val="0"/>
                <w:sz w:val="24"/>
                <w:szCs w:val="24"/>
              </w:rPr>
              <w:t>具有自主学习和终身学习的意识，拥有不断学习和适应社会发展的能力。</w:t>
            </w:r>
          </w:p>
        </w:tc>
        <w:tc>
          <w:tcPr>
            <w:tcW w:w="1413" w:type="pct"/>
            <w:tcBorders>
              <w:top w:val="single" w:color="auto" w:sz="4" w:space="0"/>
              <w:left w:val="nil"/>
              <w:bottom w:val="single" w:color="auto" w:sz="4" w:space="0"/>
              <w:right w:val="single" w:color="auto" w:sz="4" w:space="0"/>
            </w:tcBorders>
            <w:vAlign w:val="center"/>
          </w:tcPr>
          <w:p w14:paraId="27F2D551">
            <w:pPr>
              <w:spacing w:line="276" w:lineRule="auto"/>
              <w:jc w:val="both"/>
              <w:rPr>
                <w:rFonts w:hint="default" w:ascii="仿宋" w:hAnsi="仿宋" w:eastAsia="仿宋"/>
                <w:color w:val="000000"/>
                <w:sz w:val="24"/>
                <w:szCs w:val="24"/>
                <w:lang w:val="en-US" w:eastAsia="zh-CN"/>
              </w:rPr>
            </w:pPr>
            <w:r>
              <w:rPr>
                <w:rFonts w:hint="eastAsia" w:ascii="仿宋" w:hAnsi="仿宋" w:eastAsia="仿宋"/>
                <w:b/>
                <w:bCs/>
                <w:color w:val="000000"/>
                <w:sz w:val="24"/>
                <w:szCs w:val="24"/>
              </w:rPr>
              <w:t>观测点</w:t>
            </w:r>
            <w:r>
              <w:rPr>
                <w:rFonts w:hint="eastAsia" w:ascii="仿宋" w:hAnsi="仿宋" w:eastAsia="仿宋"/>
                <w:b/>
                <w:bCs/>
                <w:color w:val="000000"/>
                <w:sz w:val="24"/>
                <w:szCs w:val="24"/>
                <w:lang w:val="en-US" w:eastAsia="zh-CN"/>
              </w:rPr>
              <w:t>3</w:t>
            </w:r>
            <w:r>
              <w:rPr>
                <w:rFonts w:hint="eastAsia" w:ascii="仿宋" w:hAnsi="仿宋" w:eastAsia="仿宋"/>
                <w:b/>
                <w:bCs/>
                <w:color w:val="000000"/>
                <w:sz w:val="24"/>
                <w:szCs w:val="24"/>
              </w:rPr>
              <w:t>：</w:t>
            </w:r>
            <w:r>
              <w:rPr>
                <w:rFonts w:hint="eastAsia" w:ascii="仿宋" w:hAnsi="仿宋" w:eastAsia="仿宋"/>
                <w:b w:val="0"/>
                <w:bCs w:val="0"/>
                <w:sz w:val="24"/>
                <w:szCs w:val="24"/>
                <w:lang w:eastAsia="zh-CN"/>
              </w:rPr>
              <w:t>具备终身学习的知识基础，掌握自主学习的方法，了解拓展知识和能力的途径；能针对个人或职业发展的需求，采用合适的方法自主学习，具有终身学习和适应社会及职业发展的能力。</w:t>
            </w:r>
          </w:p>
        </w:tc>
        <w:tc>
          <w:tcPr>
            <w:tcW w:w="1249" w:type="pct"/>
            <w:tcBorders>
              <w:top w:val="single" w:color="auto" w:sz="4" w:space="0"/>
              <w:left w:val="nil"/>
              <w:bottom w:val="single" w:color="auto" w:sz="4" w:space="0"/>
              <w:right w:val="single" w:color="auto" w:sz="4" w:space="0"/>
            </w:tcBorders>
            <w:vAlign w:val="center"/>
          </w:tcPr>
          <w:p w14:paraId="746EEB09">
            <w:pPr>
              <w:spacing w:line="276" w:lineRule="auto"/>
              <w:jc w:val="both"/>
              <w:rPr>
                <w:rFonts w:hint="eastAsia" w:ascii="仿宋" w:hAnsi="仿宋" w:eastAsia="仿宋"/>
                <w:color w:val="000000"/>
                <w:kern w:val="0"/>
                <w:sz w:val="24"/>
                <w:szCs w:val="24"/>
              </w:rPr>
            </w:pPr>
            <w:r>
              <w:rPr>
                <w:rFonts w:hint="eastAsia" w:ascii="仿宋" w:hAnsi="仿宋" w:eastAsia="仿宋"/>
                <w:color w:val="000000"/>
                <w:kern w:val="0"/>
                <w:sz w:val="24"/>
                <w:szCs w:val="24"/>
              </w:rPr>
              <w:t>课程目标</w:t>
            </w:r>
            <w:r>
              <w:rPr>
                <w:rFonts w:hint="eastAsia" w:ascii="仿宋" w:hAnsi="仿宋" w:eastAsia="仿宋"/>
                <w:color w:val="000000"/>
                <w:kern w:val="0"/>
                <w:sz w:val="24"/>
                <w:szCs w:val="24"/>
                <w:lang w:val="en-US" w:eastAsia="zh-CN"/>
              </w:rPr>
              <w:t>2、</w:t>
            </w:r>
            <w:r>
              <w:rPr>
                <w:rFonts w:ascii="仿宋" w:hAnsi="仿宋" w:eastAsia="仿宋"/>
                <w:color w:val="000000"/>
                <w:kern w:val="0"/>
                <w:sz w:val="24"/>
                <w:szCs w:val="24"/>
              </w:rPr>
              <w:t>3</w:t>
            </w:r>
          </w:p>
        </w:tc>
        <w:tc>
          <w:tcPr>
            <w:tcW w:w="860" w:type="pct"/>
            <w:tcBorders>
              <w:top w:val="single" w:color="auto" w:sz="4" w:space="0"/>
              <w:left w:val="nil"/>
              <w:bottom w:val="single" w:color="auto" w:sz="4" w:space="0"/>
              <w:right w:val="single" w:color="auto" w:sz="4" w:space="0"/>
            </w:tcBorders>
          </w:tcPr>
          <w:p w14:paraId="5E4DA4E2">
            <w:pPr>
              <w:numPr>
                <w:ilvl w:val="0"/>
                <w:numId w:val="0"/>
              </w:numPr>
              <w:spacing w:line="276" w:lineRule="auto"/>
              <w:ind w:left="360" w:leftChars="0" w:hanging="360" w:firstLineChars="0"/>
              <w:jc w:val="both"/>
              <w:rPr>
                <w:rFonts w:ascii="仿宋" w:hAnsi="仿宋" w:eastAsia="仿宋"/>
                <w:color w:val="000000"/>
                <w:sz w:val="24"/>
                <w:szCs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szCs w:val="24"/>
              </w:rPr>
              <w:t>H</w:t>
            </w:r>
          </w:p>
          <w:p w14:paraId="1E59789C">
            <w:pPr>
              <w:numPr>
                <w:ilvl w:val="0"/>
                <w:numId w:val="0"/>
              </w:numPr>
              <w:spacing w:line="276" w:lineRule="auto"/>
              <w:ind w:left="360" w:leftChars="0" w:hanging="360" w:firstLineChars="0"/>
              <w:jc w:val="both"/>
              <w:rPr>
                <w:rFonts w:ascii="仿宋" w:hAnsi="仿宋" w:eastAsia="仿宋"/>
                <w:color w:val="000000"/>
                <w:sz w:val="24"/>
                <w:szCs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szCs w:val="24"/>
              </w:rPr>
              <w:t>M</w:t>
            </w:r>
          </w:p>
          <w:p w14:paraId="381832E8">
            <w:pPr>
              <w:numPr>
                <w:ilvl w:val="0"/>
                <w:numId w:val="0"/>
              </w:numPr>
              <w:spacing w:line="276" w:lineRule="auto"/>
              <w:ind w:left="360" w:leftChars="0" w:hanging="360" w:firstLineChars="0"/>
              <w:jc w:val="both"/>
              <w:rPr>
                <w:rFonts w:hint="eastAsia" w:ascii="仿宋" w:hAnsi="仿宋" w:eastAsia="仿宋"/>
                <w:color w:val="000000"/>
                <w:sz w:val="24"/>
                <w:szCs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szCs w:val="24"/>
              </w:rPr>
              <w:t>L</w:t>
            </w:r>
          </w:p>
        </w:tc>
      </w:tr>
    </w:tbl>
    <w:p w14:paraId="613B196A">
      <w:pPr>
        <w:numPr>
          <w:ilvl w:val="0"/>
          <w:numId w:val="1"/>
        </w:num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课程教学内容及对课程目标的支撑</w:t>
      </w:r>
    </w:p>
    <w:p w14:paraId="5B3456AB">
      <w:pPr>
        <w:numPr>
          <w:ilvl w:val="0"/>
          <w:numId w:val="0"/>
        </w:numPr>
        <w:tabs>
          <w:tab w:val="left" w:pos="-5670"/>
          <w:tab w:val="left" w:pos="-5245"/>
          <w:tab w:val="left" w:pos="1134"/>
        </w:tabs>
        <w:spacing w:before="156" w:beforeLines="50" w:after="156" w:afterLines="50" w:line="360" w:lineRule="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教学说明：</w:t>
      </w:r>
    </w:p>
    <w:p w14:paraId="5F462279">
      <w:pPr>
        <w:numPr>
          <w:ilvl w:val="0"/>
          <w:numId w:val="0"/>
        </w:numPr>
        <w:tabs>
          <w:tab w:val="left" w:pos="-5670"/>
          <w:tab w:val="left" w:pos="-5245"/>
          <w:tab w:val="left" w:pos="1134"/>
        </w:tabs>
        <w:spacing w:before="156" w:beforeLines="50" w:after="156" w:afterLines="50" w:line="360" w:lineRule="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校区自</w:t>
      </w:r>
      <w:r>
        <w:rPr>
          <w:rFonts w:hint="eastAsia" w:ascii="仿宋" w:hAnsi="仿宋" w:eastAsia="仿宋" w:cs="仿宋"/>
          <w:color w:val="000000"/>
          <w:sz w:val="24"/>
          <w:szCs w:val="24"/>
          <w:lang w:eastAsia="zh-CN"/>
        </w:rPr>
        <w:t>2024年</w:t>
      </w:r>
      <w:r>
        <w:rPr>
          <w:rFonts w:hint="eastAsia" w:ascii="仿宋" w:hAnsi="仿宋" w:eastAsia="仿宋" w:cs="仿宋"/>
          <w:color w:val="000000"/>
          <w:sz w:val="24"/>
          <w:szCs w:val="24"/>
          <w:lang w:val="en-US" w:eastAsia="zh-CN"/>
        </w:rPr>
        <w:t>秋</w:t>
      </w:r>
      <w:r>
        <w:rPr>
          <w:rFonts w:hint="eastAsia" w:ascii="仿宋" w:hAnsi="仿宋" w:eastAsia="仿宋" w:cs="仿宋"/>
          <w:color w:val="000000"/>
          <w:sz w:val="24"/>
          <w:szCs w:val="24"/>
          <w:lang w:eastAsia="zh-CN"/>
        </w:rPr>
        <w:t>季学期引入清华大学《形势与政策》课程，第</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学期，每学期</w:t>
      </w:r>
      <w:r>
        <w:rPr>
          <w:rFonts w:hint="eastAsia" w:ascii="仿宋" w:hAnsi="仿宋" w:eastAsia="仿宋" w:cs="仿宋"/>
          <w:color w:val="000000"/>
          <w:sz w:val="24"/>
          <w:szCs w:val="24"/>
          <w:lang w:val="en-US" w:eastAsia="zh-CN"/>
        </w:rPr>
        <w:t>学生都要按照课表在教室内集体观看清华大学的网络课程</w:t>
      </w:r>
      <w:r>
        <w:rPr>
          <w:rFonts w:hint="eastAsia" w:ascii="仿宋" w:hAnsi="仿宋" w:eastAsia="仿宋" w:cs="仿宋"/>
          <w:color w:val="000000"/>
          <w:sz w:val="24"/>
          <w:szCs w:val="24"/>
          <w:lang w:eastAsia="zh-CN"/>
        </w:rPr>
        <w:t>。除第</w:t>
      </w:r>
      <w:r>
        <w:rPr>
          <w:rFonts w:hint="eastAsia" w:ascii="仿宋" w:hAnsi="仿宋" w:eastAsia="仿宋" w:cs="仿宋"/>
          <w:color w:val="000000"/>
          <w:sz w:val="24"/>
          <w:szCs w:val="24"/>
          <w:lang w:val="en-US" w:eastAsia="zh-CN"/>
        </w:rPr>
        <w:t>1、2</w:t>
      </w:r>
      <w:r>
        <w:rPr>
          <w:rFonts w:hint="eastAsia" w:ascii="仿宋" w:hAnsi="仿宋" w:eastAsia="仿宋" w:cs="仿宋"/>
          <w:color w:val="000000"/>
          <w:sz w:val="24"/>
          <w:szCs w:val="24"/>
          <w:lang w:eastAsia="zh-CN"/>
        </w:rPr>
        <w:t>学期以外的其他6个学期均进行线上教学，</w:t>
      </w:r>
      <w:r>
        <w:rPr>
          <w:rFonts w:hint="eastAsia" w:ascii="仿宋" w:hAnsi="仿宋" w:eastAsia="仿宋" w:cs="仿宋"/>
          <w:color w:val="000000"/>
          <w:sz w:val="24"/>
          <w:szCs w:val="24"/>
          <w:lang w:val="en-US" w:eastAsia="zh-CN"/>
        </w:rPr>
        <w:t>学生自主学习，教师</w:t>
      </w:r>
      <w:r>
        <w:rPr>
          <w:rFonts w:hint="eastAsia" w:ascii="仿宋" w:hAnsi="仿宋" w:eastAsia="仿宋" w:cs="仿宋"/>
          <w:color w:val="000000"/>
          <w:sz w:val="24"/>
          <w:szCs w:val="24"/>
          <w:lang w:eastAsia="zh-CN"/>
        </w:rPr>
        <w:t>利用</w:t>
      </w:r>
      <w:r>
        <w:rPr>
          <w:rFonts w:hint="eastAsia" w:ascii="仿宋" w:hAnsi="仿宋" w:eastAsia="仿宋" w:cs="仿宋"/>
          <w:color w:val="000000"/>
          <w:sz w:val="24"/>
          <w:szCs w:val="24"/>
          <w:lang w:eastAsia="zh-CN"/>
        </w:rPr>
        <w:t>智慧树学习平台进行课程管理。</w:t>
      </w:r>
    </w:p>
    <w:p w14:paraId="776ACC7B">
      <w:pPr>
        <w:numPr>
          <w:ilvl w:val="0"/>
          <w:numId w:val="0"/>
        </w:numPr>
        <w:tabs>
          <w:tab w:val="left" w:pos="-5670"/>
          <w:tab w:val="left" w:pos="-5245"/>
          <w:tab w:val="left" w:pos="1134"/>
        </w:tabs>
        <w:spacing w:before="156" w:beforeLines="50" w:after="156" w:afterLines="50"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本科该课程每学期8课时，</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个学期总课时为64学时，每学年学分为0.5，总学分为2。</w:t>
      </w:r>
    </w:p>
    <w:tbl>
      <w:tblPr>
        <w:tblStyle w:val="8"/>
        <w:tblpPr w:leftFromText="180" w:rightFromText="180" w:vertAnchor="text" w:horzAnchor="page" w:tblpX="1848" w:tblpY="631"/>
        <w:tblOverlap w:val="never"/>
        <w:tblW w:w="49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898"/>
        <w:gridCol w:w="567"/>
        <w:gridCol w:w="3055"/>
        <w:gridCol w:w="900"/>
        <w:gridCol w:w="1223"/>
        <w:gridCol w:w="908"/>
      </w:tblGrid>
      <w:tr w14:paraId="4BDE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shd w:val="clear" w:color="auto" w:fill="auto"/>
            <w:vAlign w:val="center"/>
          </w:tcPr>
          <w:p w14:paraId="71A805F4">
            <w:pPr>
              <w:suppressAutoHyphens/>
              <w:spacing w:before="156" w:beforeLines="50" w:after="156" w:afterLines="50" w:line="276" w:lineRule="auto"/>
              <w:jc w:val="center"/>
              <w:rPr>
                <w:rFonts w:hint="eastAsia" w:ascii="仿宋_GB2312" w:hAnsi="仿宋_GB2312" w:eastAsia="仿宋_GB2312" w:cs="仿宋_GB2312"/>
                <w:b/>
                <w:spacing w:val="-3"/>
                <w:sz w:val="24"/>
                <w:szCs w:val="24"/>
                <w:lang w:val="en-GB"/>
              </w:rPr>
            </w:pPr>
            <w:r>
              <w:rPr>
                <w:rFonts w:hint="eastAsia" w:ascii="仿宋_GB2312" w:hAnsi="仿宋_GB2312" w:eastAsia="仿宋_GB2312" w:cs="仿宋_GB2312"/>
                <w:b/>
                <w:spacing w:val="-3"/>
                <w:sz w:val="24"/>
                <w:szCs w:val="24"/>
                <w:lang w:val="en-GB"/>
              </w:rPr>
              <w:t>序号</w:t>
            </w:r>
          </w:p>
        </w:tc>
        <w:tc>
          <w:tcPr>
            <w:tcW w:w="536" w:type="pct"/>
            <w:shd w:val="clear" w:color="auto" w:fill="auto"/>
            <w:vAlign w:val="center"/>
          </w:tcPr>
          <w:p w14:paraId="472CD25B">
            <w:pPr>
              <w:suppressAutoHyphens/>
              <w:spacing w:before="156" w:beforeLines="50" w:after="156" w:afterLines="50" w:line="276" w:lineRule="auto"/>
              <w:jc w:val="center"/>
              <w:rPr>
                <w:rFonts w:hint="eastAsia" w:ascii="仿宋_GB2312" w:hAnsi="仿宋_GB2312" w:eastAsia="仿宋_GB2312" w:cs="仿宋_GB2312"/>
                <w:b/>
                <w:spacing w:val="-3"/>
                <w:sz w:val="24"/>
                <w:szCs w:val="24"/>
                <w:lang w:val="en-GB"/>
              </w:rPr>
            </w:pPr>
            <w:r>
              <w:rPr>
                <w:rFonts w:hint="eastAsia" w:ascii="仿宋_GB2312" w:hAnsi="仿宋_GB2312" w:eastAsia="仿宋_GB2312" w:cs="仿宋_GB2312"/>
                <w:b/>
                <w:spacing w:val="-3"/>
                <w:sz w:val="24"/>
                <w:szCs w:val="24"/>
                <w:lang w:val="en-GB"/>
              </w:rPr>
              <w:t>章节/教学单元</w:t>
            </w:r>
          </w:p>
        </w:tc>
        <w:tc>
          <w:tcPr>
            <w:tcW w:w="338" w:type="pct"/>
            <w:vAlign w:val="center"/>
          </w:tcPr>
          <w:p w14:paraId="0B866493">
            <w:pPr>
              <w:suppressAutoHyphens/>
              <w:spacing w:before="156" w:beforeLines="50" w:after="156" w:afterLines="50" w:line="276" w:lineRule="auto"/>
              <w:jc w:val="center"/>
              <w:rPr>
                <w:rFonts w:hint="eastAsia" w:ascii="仿宋_GB2312" w:hAnsi="仿宋_GB2312" w:eastAsia="仿宋_GB2312" w:cs="仿宋_GB2312"/>
                <w:b/>
                <w:spacing w:val="-3"/>
                <w:sz w:val="24"/>
                <w:szCs w:val="24"/>
                <w:lang w:val="en-GB"/>
              </w:rPr>
            </w:pPr>
            <w:r>
              <w:rPr>
                <w:rFonts w:hint="eastAsia" w:ascii="仿宋_GB2312" w:hAnsi="仿宋_GB2312" w:eastAsia="仿宋_GB2312" w:cs="仿宋_GB2312"/>
                <w:b/>
                <w:spacing w:val="-3"/>
                <w:sz w:val="24"/>
                <w:szCs w:val="24"/>
                <w:lang w:val="en-GB"/>
              </w:rPr>
              <w:t>学时</w:t>
            </w:r>
          </w:p>
        </w:tc>
        <w:tc>
          <w:tcPr>
            <w:tcW w:w="1823" w:type="pct"/>
            <w:vAlign w:val="center"/>
          </w:tcPr>
          <w:p w14:paraId="370B467F">
            <w:pPr>
              <w:suppressAutoHyphens/>
              <w:spacing w:before="156" w:beforeLines="50" w:after="156" w:afterLines="50" w:line="276" w:lineRule="auto"/>
              <w:jc w:val="center"/>
              <w:rPr>
                <w:rFonts w:hint="eastAsia" w:ascii="仿宋_GB2312" w:hAnsi="仿宋_GB2312" w:eastAsia="仿宋_GB2312" w:cs="仿宋_GB2312"/>
                <w:b/>
                <w:spacing w:val="-3"/>
                <w:sz w:val="24"/>
                <w:szCs w:val="24"/>
                <w:lang w:val="en-GB"/>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537" w:type="pct"/>
            <w:vAlign w:val="center"/>
          </w:tcPr>
          <w:p w14:paraId="0EA33A2B">
            <w:pPr>
              <w:suppressAutoHyphens/>
              <w:spacing w:before="156" w:beforeLines="50" w:after="156" w:afterLines="50" w:line="276" w:lineRule="auto"/>
              <w:jc w:val="center"/>
              <w:rPr>
                <w:rFonts w:hint="eastAsia" w:ascii="仿宋_GB2312" w:hAnsi="仿宋_GB2312" w:eastAsia="仿宋_GB2312" w:cs="仿宋_GB2312"/>
                <w:b/>
                <w:spacing w:val="-3"/>
                <w:sz w:val="24"/>
                <w:szCs w:val="24"/>
                <w:lang w:val="en-GB"/>
              </w:rPr>
            </w:pPr>
            <w:r>
              <w:rPr>
                <w:rFonts w:hint="eastAsia" w:ascii="仿宋_GB2312" w:hAnsi="仿宋_GB2312" w:eastAsia="仿宋_GB2312" w:cs="仿宋_GB2312"/>
                <w:b/>
                <w:spacing w:val="-3"/>
                <w:sz w:val="24"/>
                <w:szCs w:val="24"/>
                <w:lang w:val="en-GB"/>
              </w:rPr>
              <w:t>教学方法</w:t>
            </w:r>
          </w:p>
        </w:tc>
        <w:tc>
          <w:tcPr>
            <w:tcW w:w="730" w:type="pct"/>
            <w:vAlign w:val="center"/>
          </w:tcPr>
          <w:p w14:paraId="7BDF2E69">
            <w:pPr>
              <w:suppressAutoHyphens/>
              <w:spacing w:before="156" w:beforeLines="50" w:after="156" w:afterLines="50" w:line="276" w:lineRule="auto"/>
              <w:jc w:val="center"/>
              <w:rPr>
                <w:rFonts w:hint="eastAsia" w:ascii="仿宋_GB2312" w:hAnsi="仿宋_GB2312" w:eastAsia="仿宋_GB2312" w:cs="仿宋_GB2312"/>
                <w:b/>
                <w:spacing w:val="-3"/>
                <w:sz w:val="24"/>
                <w:szCs w:val="24"/>
                <w:lang w:val="en-GB"/>
              </w:rPr>
            </w:pPr>
            <w:r>
              <w:rPr>
                <w:rFonts w:hint="eastAsia" w:ascii="仿宋_GB2312" w:hAnsi="仿宋_GB2312" w:eastAsia="仿宋_GB2312" w:cs="仿宋_GB2312"/>
                <w:b/>
                <w:spacing w:val="-3"/>
                <w:sz w:val="24"/>
                <w:szCs w:val="24"/>
                <w:lang w:val="en-GB"/>
              </w:rPr>
              <w:t>考核形式</w:t>
            </w:r>
          </w:p>
        </w:tc>
        <w:tc>
          <w:tcPr>
            <w:tcW w:w="542" w:type="pct"/>
            <w:vAlign w:val="center"/>
          </w:tcPr>
          <w:p w14:paraId="4C167353">
            <w:pPr>
              <w:suppressAutoHyphens/>
              <w:spacing w:before="156" w:beforeLines="50" w:after="156" w:afterLines="50" w:line="276" w:lineRule="auto"/>
              <w:jc w:val="center"/>
              <w:rPr>
                <w:rFonts w:hint="eastAsia" w:ascii="仿宋_GB2312" w:hAnsi="仿宋_GB2312" w:eastAsia="仿宋_GB2312" w:cs="仿宋_GB2312"/>
                <w:b/>
                <w:spacing w:val="-3"/>
                <w:sz w:val="24"/>
                <w:szCs w:val="24"/>
                <w:lang w:val="en-GB"/>
              </w:rPr>
            </w:pPr>
            <w:r>
              <w:rPr>
                <w:rFonts w:hint="eastAsia" w:ascii="仿宋_GB2312" w:hAnsi="仿宋_GB2312" w:eastAsia="仿宋_GB2312" w:cs="仿宋_GB2312"/>
                <w:b/>
                <w:spacing w:val="-3"/>
                <w:sz w:val="24"/>
                <w:szCs w:val="24"/>
                <w:lang w:val="en-GB"/>
              </w:rPr>
              <w:t>课程目标</w:t>
            </w:r>
          </w:p>
        </w:tc>
      </w:tr>
      <w:tr w14:paraId="4071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shd w:val="clear" w:color="auto" w:fill="auto"/>
            <w:vAlign w:val="center"/>
          </w:tcPr>
          <w:p w14:paraId="65AE92A7">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rPr>
              <w:t>1</w:t>
            </w:r>
          </w:p>
        </w:tc>
        <w:tc>
          <w:tcPr>
            <w:tcW w:w="536" w:type="pct"/>
            <w:shd w:val="clear" w:color="auto" w:fill="auto"/>
            <w:vAlign w:val="center"/>
          </w:tcPr>
          <w:p w14:paraId="069D0DE2">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US" w:eastAsia="zh-CN"/>
              </w:rPr>
              <w:t xml:space="preserve">第一讲 </w:t>
            </w:r>
            <w:r>
              <w:rPr>
                <w:rFonts w:hint="eastAsia" w:ascii="仿宋_GB2312" w:hAnsi="仿宋_GB2312" w:eastAsia="仿宋_GB2312" w:cs="仿宋_GB2312"/>
                <w:b w:val="0"/>
                <w:bCs/>
                <w:spacing w:val="-3"/>
                <w:sz w:val="24"/>
                <w:szCs w:val="24"/>
                <w:lang w:val="en-GB" w:eastAsia="zh-Hans"/>
              </w:rPr>
              <w:t>中国式现代化</w:t>
            </w:r>
            <w:r>
              <w:rPr>
                <w:rFonts w:hint="eastAsia" w:ascii="仿宋_GB2312" w:hAnsi="仿宋_GB2312" w:eastAsia="仿宋_GB2312" w:cs="仿宋_GB2312"/>
                <w:b w:val="0"/>
                <w:bCs/>
                <w:spacing w:val="-3"/>
                <w:sz w:val="24"/>
                <w:szCs w:val="24"/>
                <w:lang w:val="en-GB"/>
              </w:rPr>
              <w:t>导论</w:t>
            </w:r>
          </w:p>
        </w:tc>
        <w:tc>
          <w:tcPr>
            <w:tcW w:w="338" w:type="pct"/>
            <w:vAlign w:val="center"/>
          </w:tcPr>
          <w:p w14:paraId="6D166C3F">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1</w:t>
            </w:r>
          </w:p>
        </w:tc>
        <w:tc>
          <w:tcPr>
            <w:tcW w:w="1823" w:type="pct"/>
            <w:vAlign w:val="center"/>
          </w:tcPr>
          <w:p w14:paraId="168C1786">
            <w:pPr>
              <w:suppressAutoHyphens/>
              <w:spacing w:before="156" w:beforeLines="50" w:after="156" w:afterLines="50" w:line="276" w:lineRule="auto"/>
              <w:jc w:val="left"/>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rPr>
              <w:t>习近平</w:t>
            </w:r>
            <w:r>
              <w:rPr>
                <w:rFonts w:hint="eastAsia" w:ascii="仿宋_GB2312" w:hAnsi="仿宋_GB2312" w:eastAsia="仿宋_GB2312" w:cs="仿宋_GB2312"/>
                <w:b w:val="0"/>
                <w:bCs/>
                <w:spacing w:val="-3"/>
                <w:sz w:val="24"/>
                <w:szCs w:val="24"/>
                <w:lang w:val="en-GB" w:eastAsia="zh-Hans"/>
              </w:rPr>
              <w:t>总书记</w:t>
            </w:r>
            <w:r>
              <w:rPr>
                <w:rFonts w:hint="eastAsia" w:ascii="仿宋_GB2312" w:hAnsi="仿宋_GB2312" w:eastAsia="仿宋_GB2312" w:cs="仿宋_GB2312"/>
                <w:b w:val="0"/>
                <w:bCs/>
                <w:spacing w:val="-3"/>
                <w:sz w:val="24"/>
                <w:szCs w:val="24"/>
                <w:lang w:val="en-GB"/>
              </w:rPr>
              <w:t>在二十大报告中</w:t>
            </w:r>
            <w:r>
              <w:rPr>
                <w:rFonts w:hint="eastAsia" w:ascii="仿宋_GB2312" w:hAnsi="仿宋_GB2312" w:eastAsia="仿宋_GB2312" w:cs="仿宋_GB2312"/>
                <w:b w:val="0"/>
                <w:bCs/>
                <w:spacing w:val="-3"/>
                <w:sz w:val="24"/>
                <w:szCs w:val="24"/>
                <w:lang w:val="en-GB" w:eastAsia="zh-Hans"/>
              </w:rPr>
              <w:t>指出</w:t>
            </w:r>
            <w:r>
              <w:rPr>
                <w:rFonts w:hint="eastAsia" w:ascii="仿宋_GB2312" w:hAnsi="仿宋_GB2312" w:eastAsia="仿宋_GB2312" w:cs="仿宋_GB2312"/>
                <w:b w:val="0"/>
                <w:bCs/>
                <w:spacing w:val="-3"/>
                <w:sz w:val="24"/>
                <w:szCs w:val="24"/>
                <w:lang w:val="en-GB"/>
              </w:rPr>
              <w:t>，从现在起，中国共产党的中心任务就是团结带领全国各族人民全面建成社会主义现代化强国、实现第二个百年奋斗目标，以中国式现代化全面推进中华民族伟大复兴。</w:t>
            </w:r>
            <w:r>
              <w:rPr>
                <w:rFonts w:hint="eastAsia" w:ascii="仿宋_GB2312" w:hAnsi="仿宋_GB2312" w:eastAsia="仿宋_GB2312" w:cs="仿宋_GB2312"/>
                <w:b w:val="0"/>
                <w:bCs/>
                <w:spacing w:val="-3"/>
                <w:sz w:val="24"/>
                <w:szCs w:val="24"/>
                <w:lang w:val="en-GB" w:eastAsia="zh-Hans"/>
              </w:rPr>
              <w:t>中国式现代化的主要特征是什么？有哪些本质要求？有哪些重大原则？我们如何理解二〇三五年的总体目标？我们将在这一讲得到答案。</w:t>
            </w:r>
          </w:p>
        </w:tc>
        <w:tc>
          <w:tcPr>
            <w:tcW w:w="537" w:type="pct"/>
            <w:vAlign w:val="center"/>
          </w:tcPr>
          <w:p w14:paraId="2ED8DFD1">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讲授</w:t>
            </w:r>
          </w:p>
          <w:p w14:paraId="6366B573">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CN"/>
              </w:rPr>
              <w:t>讨论</w:t>
            </w:r>
          </w:p>
        </w:tc>
        <w:tc>
          <w:tcPr>
            <w:tcW w:w="730" w:type="pct"/>
            <w:vAlign w:val="center"/>
          </w:tcPr>
          <w:p w14:paraId="4526B474">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主观题</w:t>
            </w:r>
          </w:p>
        </w:tc>
        <w:tc>
          <w:tcPr>
            <w:tcW w:w="542" w:type="pct"/>
            <w:vAlign w:val="center"/>
          </w:tcPr>
          <w:p w14:paraId="55109C45">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1.2.3</w:t>
            </w:r>
          </w:p>
        </w:tc>
      </w:tr>
      <w:tr w14:paraId="3A584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shd w:val="clear" w:color="auto" w:fill="auto"/>
            <w:vAlign w:val="center"/>
          </w:tcPr>
          <w:p w14:paraId="43C9756E">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2</w:t>
            </w:r>
          </w:p>
        </w:tc>
        <w:tc>
          <w:tcPr>
            <w:tcW w:w="536" w:type="pct"/>
            <w:shd w:val="clear" w:color="auto" w:fill="auto"/>
            <w:vAlign w:val="center"/>
          </w:tcPr>
          <w:p w14:paraId="6794883D">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第二讲</w:t>
            </w:r>
            <w:r>
              <w:rPr>
                <w:rFonts w:hint="eastAsia" w:ascii="仿宋_GB2312" w:hAnsi="仿宋_GB2312" w:eastAsia="仿宋_GB2312" w:cs="仿宋_GB2312"/>
                <w:b w:val="0"/>
                <w:bCs/>
                <w:spacing w:val="-3"/>
                <w:sz w:val="24"/>
                <w:szCs w:val="24"/>
                <w:lang w:val="en-GB"/>
              </w:rPr>
              <w:t xml:space="preserve"> 土木工程的创新与实践</w:t>
            </w:r>
          </w:p>
        </w:tc>
        <w:tc>
          <w:tcPr>
            <w:tcW w:w="338" w:type="pct"/>
            <w:vAlign w:val="center"/>
          </w:tcPr>
          <w:p w14:paraId="503F272A">
            <w:pPr>
              <w:suppressAutoHyphens/>
              <w:spacing w:before="156" w:beforeLines="50" w:after="156" w:afterLines="50" w:line="276" w:lineRule="auto"/>
              <w:jc w:val="center"/>
              <w:rPr>
                <w:rFonts w:hint="default"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1</w:t>
            </w:r>
          </w:p>
        </w:tc>
        <w:tc>
          <w:tcPr>
            <w:tcW w:w="1823" w:type="pct"/>
            <w:vAlign w:val="center"/>
          </w:tcPr>
          <w:p w14:paraId="3FB06EC1">
            <w:pPr>
              <w:suppressAutoHyphens/>
              <w:spacing w:before="156" w:beforeLines="50" w:after="156" w:afterLines="50" w:line="276" w:lineRule="auto"/>
              <w:jc w:val="left"/>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通过60多年的大规模投资建设，中国基础设施得到明显加强，交通运输、邮电通信形成了纵横交错覆盖全国的网络体系，三峡工程、西气东输、南水北调、青藏铁路、京沪“高铁”等一大批重大项目建设顺利完成或向前推进。建构安全、便捷、高效、绿色、可持续的现代化基础设施建设将进一步为国民经济的发展和人民生活水平的提高提供物质保证和重要条件，是广大土木工程科技工作者的共同奋斗目标。</w:t>
            </w:r>
          </w:p>
        </w:tc>
        <w:tc>
          <w:tcPr>
            <w:tcW w:w="900" w:type="dxa"/>
            <w:vAlign w:val="center"/>
          </w:tcPr>
          <w:p w14:paraId="6A00921A">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讲授</w:t>
            </w:r>
          </w:p>
          <w:p w14:paraId="4EFA2AA8">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CN"/>
              </w:rPr>
              <w:t>讨论</w:t>
            </w:r>
          </w:p>
        </w:tc>
        <w:tc>
          <w:tcPr>
            <w:tcW w:w="1223" w:type="dxa"/>
            <w:vAlign w:val="center"/>
          </w:tcPr>
          <w:p w14:paraId="7AA96530">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主观题</w:t>
            </w:r>
          </w:p>
        </w:tc>
        <w:tc>
          <w:tcPr>
            <w:tcW w:w="908" w:type="dxa"/>
            <w:vAlign w:val="center"/>
          </w:tcPr>
          <w:p w14:paraId="45E7F4C3">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1.2.3</w:t>
            </w:r>
          </w:p>
        </w:tc>
      </w:tr>
      <w:tr w14:paraId="44F9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shd w:val="clear" w:color="auto" w:fill="auto"/>
            <w:vAlign w:val="center"/>
          </w:tcPr>
          <w:p w14:paraId="63C90923">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3</w:t>
            </w:r>
          </w:p>
        </w:tc>
        <w:tc>
          <w:tcPr>
            <w:tcW w:w="536" w:type="pct"/>
            <w:shd w:val="clear" w:color="auto" w:fill="auto"/>
            <w:vAlign w:val="center"/>
          </w:tcPr>
          <w:p w14:paraId="5F005E74">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第三讲 共同富裕的大格局：高度、广度与温度</w:t>
            </w:r>
          </w:p>
        </w:tc>
        <w:tc>
          <w:tcPr>
            <w:tcW w:w="338" w:type="pct"/>
            <w:vAlign w:val="center"/>
          </w:tcPr>
          <w:p w14:paraId="60196365">
            <w:pPr>
              <w:suppressAutoHyphens/>
              <w:spacing w:before="156" w:beforeLines="50" w:after="156" w:afterLines="50" w:line="276" w:lineRule="auto"/>
              <w:jc w:val="center"/>
              <w:rPr>
                <w:rFonts w:hint="default"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1</w:t>
            </w:r>
          </w:p>
        </w:tc>
        <w:tc>
          <w:tcPr>
            <w:tcW w:w="1823" w:type="pct"/>
            <w:vAlign w:val="center"/>
          </w:tcPr>
          <w:p w14:paraId="655583F6">
            <w:pPr>
              <w:suppressAutoHyphens/>
              <w:spacing w:before="156" w:beforeLines="50" w:after="156" w:afterLines="50" w:line="276" w:lineRule="auto"/>
              <w:jc w:val="left"/>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党的十八大以来，我们党对共同富裕道路做了新的探索，对共同富裕理论作了新的阐释，对共同富裕目标作了新的部署。党的十九届五中全会向着更远的目标谋划共同富裕，提出了“全体人民共同富裕取得更为明显的实质性进 展”的目标。共同富裕本身就是社会主义现代化的一个重要目标。我们不能等实现了现代化再来解决共同富裕问题，而是要始终把满足人民对美好生活的新期待作为发展的出发点和落脚点，在实现现代化过程中不断地、逐步地解决好这个问题。</w:t>
            </w:r>
          </w:p>
        </w:tc>
        <w:tc>
          <w:tcPr>
            <w:tcW w:w="900" w:type="dxa"/>
            <w:vAlign w:val="center"/>
          </w:tcPr>
          <w:p w14:paraId="111F7981">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讲授</w:t>
            </w:r>
          </w:p>
          <w:p w14:paraId="6D6C0FF5">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讨论</w:t>
            </w:r>
          </w:p>
        </w:tc>
        <w:tc>
          <w:tcPr>
            <w:tcW w:w="1223" w:type="dxa"/>
            <w:vAlign w:val="center"/>
          </w:tcPr>
          <w:p w14:paraId="76D58C8B">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主观题</w:t>
            </w:r>
          </w:p>
        </w:tc>
        <w:tc>
          <w:tcPr>
            <w:tcW w:w="908" w:type="dxa"/>
            <w:vAlign w:val="center"/>
          </w:tcPr>
          <w:p w14:paraId="0B1AC98D">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1.2.3</w:t>
            </w:r>
          </w:p>
        </w:tc>
      </w:tr>
      <w:tr w14:paraId="35C2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shd w:val="clear" w:color="auto" w:fill="auto"/>
            <w:vAlign w:val="center"/>
          </w:tcPr>
          <w:p w14:paraId="2506985F">
            <w:pPr>
              <w:suppressAutoHyphens/>
              <w:spacing w:before="156" w:beforeLines="50" w:after="156" w:afterLines="50" w:line="276" w:lineRule="auto"/>
              <w:jc w:val="center"/>
              <w:rPr>
                <w:rFonts w:hint="default"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4</w:t>
            </w:r>
          </w:p>
        </w:tc>
        <w:tc>
          <w:tcPr>
            <w:tcW w:w="536" w:type="pct"/>
            <w:shd w:val="clear" w:color="auto" w:fill="auto"/>
            <w:vAlign w:val="center"/>
          </w:tcPr>
          <w:p w14:paraId="73315CD3">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第四讲 双碳行动中的中国与世界</w:t>
            </w:r>
          </w:p>
        </w:tc>
        <w:tc>
          <w:tcPr>
            <w:tcW w:w="338" w:type="pct"/>
            <w:vAlign w:val="center"/>
          </w:tcPr>
          <w:p w14:paraId="7CAB2E01">
            <w:pPr>
              <w:suppressAutoHyphens/>
              <w:spacing w:before="156" w:beforeLines="50" w:after="156" w:afterLines="50" w:line="276" w:lineRule="auto"/>
              <w:jc w:val="center"/>
              <w:rPr>
                <w:rFonts w:hint="default"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1</w:t>
            </w:r>
          </w:p>
        </w:tc>
        <w:tc>
          <w:tcPr>
            <w:tcW w:w="1823" w:type="pct"/>
            <w:vAlign w:val="center"/>
          </w:tcPr>
          <w:p w14:paraId="3EDF2641">
            <w:pPr>
              <w:suppressAutoHyphens/>
              <w:spacing w:before="156" w:beforeLines="50" w:after="156" w:afterLines="50" w:line="276" w:lineRule="auto"/>
              <w:jc w:val="left"/>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2030年前碳达峰、2060年前碳中和的“双碳”目标彰显了中国应对气候变化的大国担当，也是开启全面建设社会主义现代化国家新征程的应有之举。全球经济发展模式正在从资源依赖型走向技术依赖型。当前，我国正在倡导的绿色高质量的发展方向，我们必须要加强科技创新，迎接全球性挑战，大力推进驱动未来经济发展的新质生产力。</w:t>
            </w:r>
          </w:p>
        </w:tc>
        <w:tc>
          <w:tcPr>
            <w:tcW w:w="900" w:type="dxa"/>
            <w:vAlign w:val="center"/>
          </w:tcPr>
          <w:p w14:paraId="43347FFA">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讲授</w:t>
            </w:r>
          </w:p>
          <w:p w14:paraId="5F6AD7B5">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讨论</w:t>
            </w:r>
          </w:p>
        </w:tc>
        <w:tc>
          <w:tcPr>
            <w:tcW w:w="1223" w:type="dxa"/>
            <w:vAlign w:val="center"/>
          </w:tcPr>
          <w:p w14:paraId="40F593EE">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主观题</w:t>
            </w:r>
          </w:p>
        </w:tc>
        <w:tc>
          <w:tcPr>
            <w:tcW w:w="908" w:type="dxa"/>
            <w:vAlign w:val="center"/>
          </w:tcPr>
          <w:p w14:paraId="016C8F7B">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1.2.3</w:t>
            </w:r>
          </w:p>
        </w:tc>
      </w:tr>
      <w:tr w14:paraId="4139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shd w:val="clear" w:color="auto" w:fill="auto"/>
            <w:vAlign w:val="center"/>
          </w:tcPr>
          <w:p w14:paraId="1A844E67">
            <w:pPr>
              <w:suppressAutoHyphens/>
              <w:spacing w:before="156" w:beforeLines="50" w:after="156" w:afterLines="50" w:line="276" w:lineRule="auto"/>
              <w:jc w:val="center"/>
              <w:rPr>
                <w:rFonts w:hint="default"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5</w:t>
            </w:r>
          </w:p>
        </w:tc>
        <w:tc>
          <w:tcPr>
            <w:tcW w:w="536" w:type="pct"/>
            <w:shd w:val="clear" w:color="auto" w:fill="auto"/>
            <w:vAlign w:val="center"/>
          </w:tcPr>
          <w:p w14:paraId="2BCD1392">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第五讲 中国经济的新阶段</w:t>
            </w:r>
          </w:p>
        </w:tc>
        <w:tc>
          <w:tcPr>
            <w:tcW w:w="338" w:type="pct"/>
            <w:vAlign w:val="center"/>
          </w:tcPr>
          <w:p w14:paraId="3CEE394A">
            <w:pPr>
              <w:suppressAutoHyphens/>
              <w:spacing w:before="156" w:beforeLines="50" w:after="156" w:afterLines="50" w:line="276" w:lineRule="auto"/>
              <w:jc w:val="center"/>
              <w:rPr>
                <w:rFonts w:hint="default"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1</w:t>
            </w:r>
          </w:p>
        </w:tc>
        <w:tc>
          <w:tcPr>
            <w:tcW w:w="1823" w:type="pct"/>
            <w:vAlign w:val="center"/>
          </w:tcPr>
          <w:p w14:paraId="6BF0026B">
            <w:pPr>
              <w:suppressAutoHyphens/>
              <w:spacing w:before="156" w:beforeLines="50" w:after="156" w:afterLines="50" w:line="276" w:lineRule="auto"/>
              <w:jc w:val="left"/>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我国的五年规划在经济发展中起到重要作用。理解五年规划后的经济学思考对于理解经济增长、理解我国的发展理念、理解未来的发展趋势、理解中国式现代化都很有价值，也可以让我们看到经济学分析在政策制定中能产生什么影响， 让我们更加清晰在中国式现代化中怎样做出更大的贡献。</w:t>
            </w:r>
          </w:p>
        </w:tc>
        <w:tc>
          <w:tcPr>
            <w:tcW w:w="900" w:type="dxa"/>
            <w:vAlign w:val="center"/>
          </w:tcPr>
          <w:p w14:paraId="1A44D994">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讲授</w:t>
            </w:r>
          </w:p>
          <w:p w14:paraId="111BD6BA">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讨论</w:t>
            </w:r>
          </w:p>
        </w:tc>
        <w:tc>
          <w:tcPr>
            <w:tcW w:w="1223" w:type="dxa"/>
            <w:vAlign w:val="center"/>
          </w:tcPr>
          <w:p w14:paraId="575DE060">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主观题</w:t>
            </w:r>
          </w:p>
        </w:tc>
        <w:tc>
          <w:tcPr>
            <w:tcW w:w="908" w:type="dxa"/>
            <w:vAlign w:val="center"/>
          </w:tcPr>
          <w:p w14:paraId="5EC4FF64">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1.2.3</w:t>
            </w:r>
          </w:p>
        </w:tc>
      </w:tr>
      <w:tr w14:paraId="4144E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shd w:val="clear" w:color="auto" w:fill="auto"/>
            <w:vAlign w:val="center"/>
          </w:tcPr>
          <w:p w14:paraId="0EFB5570">
            <w:pPr>
              <w:suppressAutoHyphens/>
              <w:spacing w:before="156" w:beforeLines="50" w:after="156" w:afterLines="50" w:line="276" w:lineRule="auto"/>
              <w:jc w:val="center"/>
              <w:rPr>
                <w:rFonts w:hint="default"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6</w:t>
            </w:r>
          </w:p>
        </w:tc>
        <w:tc>
          <w:tcPr>
            <w:tcW w:w="536" w:type="pct"/>
            <w:shd w:val="clear" w:color="auto" w:fill="auto"/>
            <w:vAlign w:val="center"/>
          </w:tcPr>
          <w:p w14:paraId="29E032A8">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第六讲 文化自信与文化强国</w:t>
            </w:r>
          </w:p>
        </w:tc>
        <w:tc>
          <w:tcPr>
            <w:tcW w:w="338" w:type="pct"/>
            <w:vAlign w:val="center"/>
          </w:tcPr>
          <w:p w14:paraId="2FDEBBB3">
            <w:pPr>
              <w:suppressAutoHyphens/>
              <w:spacing w:before="156" w:beforeLines="50" w:after="156" w:afterLines="50" w:line="276" w:lineRule="auto"/>
              <w:jc w:val="center"/>
              <w:rPr>
                <w:rFonts w:hint="default"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1.5</w:t>
            </w:r>
          </w:p>
        </w:tc>
        <w:tc>
          <w:tcPr>
            <w:tcW w:w="1823" w:type="pct"/>
            <w:vAlign w:val="center"/>
          </w:tcPr>
          <w:p w14:paraId="148D4B1A">
            <w:pPr>
              <w:suppressAutoHyphens/>
              <w:spacing w:before="156" w:beforeLines="50" w:after="156" w:afterLines="50" w:line="276" w:lineRule="auto"/>
              <w:jc w:val="left"/>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建设文化强国，重要的是守住中华文化根基，根深才能叶茂，守正才能创新。中华优秀传统文化是中华民族的突出优势，是我们在世界文化激荡中站稳脚跟的根基，必须结合新的时代条件传承和弘扬好。坚持把马克思主义基本原理同中国具体实际相结合、同中华优秀传统文化相结合，不断推进马克思主义中国化时代化，推进中华优秀传统文化创造性转化、创新性发展。中华文明是具有强大生命力的，历经数千年绵延不息，在当代百年未有之大变局中，在中国式现代化的历史进程中，应以精神上的独立自主激发全民族文化创新创造活力，推动文化高质量发展，培养兼具文化使命感与文化创造力的人才，建设中华民族现代文明。</w:t>
            </w:r>
          </w:p>
        </w:tc>
        <w:tc>
          <w:tcPr>
            <w:tcW w:w="900" w:type="dxa"/>
            <w:vAlign w:val="center"/>
          </w:tcPr>
          <w:p w14:paraId="7677D064">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讲授</w:t>
            </w:r>
          </w:p>
          <w:p w14:paraId="243234B9">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讨论</w:t>
            </w:r>
          </w:p>
        </w:tc>
        <w:tc>
          <w:tcPr>
            <w:tcW w:w="1223" w:type="dxa"/>
            <w:vAlign w:val="center"/>
          </w:tcPr>
          <w:p w14:paraId="71B45D43">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主观题</w:t>
            </w:r>
          </w:p>
        </w:tc>
        <w:tc>
          <w:tcPr>
            <w:tcW w:w="908" w:type="dxa"/>
            <w:vAlign w:val="center"/>
          </w:tcPr>
          <w:p w14:paraId="244C1604">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1.2.3</w:t>
            </w:r>
          </w:p>
        </w:tc>
      </w:tr>
      <w:tr w14:paraId="7BDE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shd w:val="clear" w:color="auto" w:fill="auto"/>
            <w:vAlign w:val="center"/>
          </w:tcPr>
          <w:p w14:paraId="034DBB68">
            <w:pPr>
              <w:suppressAutoHyphens/>
              <w:spacing w:before="156" w:beforeLines="50" w:after="156" w:afterLines="50" w:line="276" w:lineRule="auto"/>
              <w:jc w:val="center"/>
              <w:rPr>
                <w:rFonts w:hint="default"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7</w:t>
            </w:r>
          </w:p>
        </w:tc>
        <w:tc>
          <w:tcPr>
            <w:tcW w:w="536" w:type="pct"/>
            <w:shd w:val="clear" w:color="auto" w:fill="auto"/>
            <w:vAlign w:val="center"/>
          </w:tcPr>
          <w:p w14:paraId="431228BD">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第七讲 数字中国与科技创新</w:t>
            </w:r>
          </w:p>
        </w:tc>
        <w:tc>
          <w:tcPr>
            <w:tcW w:w="338" w:type="pct"/>
            <w:vAlign w:val="center"/>
          </w:tcPr>
          <w:p w14:paraId="48EA6E0C">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US" w:eastAsia="zh-CN"/>
              </w:rPr>
            </w:pPr>
            <w:r>
              <w:rPr>
                <w:rFonts w:hint="eastAsia" w:ascii="仿宋_GB2312" w:hAnsi="仿宋_GB2312" w:eastAsia="仿宋_GB2312" w:cs="仿宋_GB2312"/>
                <w:b w:val="0"/>
                <w:bCs/>
                <w:spacing w:val="-3"/>
                <w:sz w:val="24"/>
                <w:szCs w:val="24"/>
                <w:lang w:val="en-US" w:eastAsia="zh-CN"/>
              </w:rPr>
              <w:t>1.5</w:t>
            </w:r>
          </w:p>
        </w:tc>
        <w:tc>
          <w:tcPr>
            <w:tcW w:w="1823" w:type="pct"/>
            <w:vAlign w:val="center"/>
          </w:tcPr>
          <w:p w14:paraId="69B54F3A">
            <w:pPr>
              <w:suppressAutoHyphens/>
              <w:spacing w:before="156" w:beforeLines="50" w:after="156" w:afterLines="50" w:line="276" w:lineRule="auto"/>
              <w:jc w:val="left"/>
              <w:rPr>
                <w:rFonts w:hint="eastAsia" w:ascii="仿宋_GB2312" w:hAnsi="仿宋_GB2312" w:eastAsia="仿宋_GB2312" w:cs="仿宋_GB2312"/>
                <w:b w:val="0"/>
                <w:bCs/>
                <w:spacing w:val="-3"/>
                <w:sz w:val="24"/>
                <w:szCs w:val="24"/>
                <w:lang w:val="en-GB"/>
              </w:rPr>
            </w:pPr>
            <w:r>
              <w:rPr>
                <w:rFonts w:hint="eastAsia" w:ascii="仿宋_GB2312" w:hAnsi="仿宋_GB2312" w:eastAsia="仿宋_GB2312" w:cs="仿宋_GB2312"/>
                <w:b w:val="0"/>
                <w:bCs/>
                <w:spacing w:val="-3"/>
                <w:sz w:val="24"/>
                <w:szCs w:val="24"/>
                <w:lang w:val="en-GB" w:eastAsia="zh-Hans"/>
              </w:rPr>
              <w:t>党的十九大以来，党中央全面分析国际科技创新竞争态势，全面部署科技创新体制改革，出台一系列重大改革举措，提升国家创新体系整体效能，主动融入全球科技创新网络，积极参与解决人类面临的重大挑战。科技创新是人类社会发展的重要引擎，是应对许多全球性挑战的有力武器，也是中国构建新发展格局、实现高质量发展的必由之路。</w:t>
            </w:r>
          </w:p>
        </w:tc>
        <w:tc>
          <w:tcPr>
            <w:tcW w:w="900" w:type="dxa"/>
            <w:vAlign w:val="center"/>
          </w:tcPr>
          <w:p w14:paraId="65484655">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讲授</w:t>
            </w:r>
          </w:p>
          <w:p w14:paraId="02D90CAE">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GB" w:eastAsia="zh-CN"/>
              </w:rPr>
              <w:t>讨论</w:t>
            </w:r>
          </w:p>
        </w:tc>
        <w:tc>
          <w:tcPr>
            <w:tcW w:w="1223" w:type="dxa"/>
            <w:vAlign w:val="center"/>
          </w:tcPr>
          <w:p w14:paraId="286CC3C1">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主观题</w:t>
            </w:r>
          </w:p>
        </w:tc>
        <w:tc>
          <w:tcPr>
            <w:tcW w:w="908" w:type="dxa"/>
            <w:vAlign w:val="center"/>
          </w:tcPr>
          <w:p w14:paraId="12F4CCD6">
            <w:pPr>
              <w:suppressAutoHyphens/>
              <w:spacing w:before="156" w:beforeLines="50" w:after="156" w:afterLines="50" w:line="276" w:lineRule="auto"/>
              <w:jc w:val="center"/>
              <w:rPr>
                <w:rFonts w:hint="eastAsia" w:ascii="仿宋_GB2312" w:hAnsi="仿宋_GB2312" w:eastAsia="仿宋_GB2312" w:cs="仿宋_GB2312"/>
                <w:b w:val="0"/>
                <w:bCs/>
                <w:spacing w:val="-3"/>
                <w:sz w:val="24"/>
                <w:szCs w:val="24"/>
                <w:lang w:val="en-GB" w:eastAsia="zh-CN"/>
              </w:rPr>
            </w:pPr>
            <w:r>
              <w:rPr>
                <w:rFonts w:hint="eastAsia" w:ascii="仿宋_GB2312" w:hAnsi="仿宋_GB2312" w:eastAsia="仿宋_GB2312" w:cs="仿宋_GB2312"/>
                <w:b w:val="0"/>
                <w:bCs/>
                <w:spacing w:val="-3"/>
                <w:sz w:val="24"/>
                <w:szCs w:val="24"/>
                <w:lang w:val="en-US" w:eastAsia="zh-CN"/>
              </w:rPr>
              <w:t>1.2.3</w:t>
            </w:r>
          </w:p>
        </w:tc>
      </w:tr>
    </w:tbl>
    <w:p w14:paraId="75147CCF">
      <w:pPr>
        <w:spacing w:line="360" w:lineRule="auto"/>
        <w:rPr>
          <w:rFonts w:hint="eastAsia" w:ascii="仿宋" w:hAnsi="仿宋" w:eastAsia="仿宋" w:cs="仿宋"/>
          <w:b/>
          <w:bCs/>
          <w:color w:val="000000"/>
          <w:sz w:val="24"/>
          <w:szCs w:val="24"/>
        </w:rPr>
      </w:pPr>
      <w:r>
        <w:rPr>
          <w:rFonts w:hint="eastAsia" w:ascii="仿宋" w:hAnsi="仿宋" w:eastAsia="仿宋" w:cs="仿宋"/>
          <w:b/>
          <w:bCs/>
          <w:sz w:val="24"/>
          <w:szCs w:val="24"/>
          <w:lang w:val="en-GB"/>
        </w:rPr>
        <w:t>注：教学单元根据每半年“教育部办公厅关于印发《高校“形势与政策课教学</w:t>
      </w:r>
      <w:bookmarkStart w:id="2" w:name="_GoBack"/>
      <w:bookmarkEnd w:id="2"/>
      <w:r>
        <w:rPr>
          <w:rFonts w:hint="eastAsia" w:ascii="仿宋" w:hAnsi="仿宋" w:eastAsia="仿宋" w:cs="仿宋"/>
          <w:b/>
          <w:bCs/>
          <w:sz w:val="24"/>
          <w:szCs w:val="24"/>
          <w:lang w:val="en-GB"/>
        </w:rPr>
        <w:t>要点》的通知”进行调整，学生须在学制年限内修读8个学期本门课程，包含2个学期16学时校内课程和6个学期智慧树慕课。</w:t>
      </w:r>
    </w:p>
    <w:p w14:paraId="2B20C8F6">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078CD0BC">
      <w:pPr>
        <w:snapToGrid w:val="0"/>
        <w:spacing w:line="360" w:lineRule="auto"/>
        <w:ind w:firstLine="482" w:firstLineChars="200"/>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b/>
          <w:color w:val="000000"/>
          <w:sz w:val="24"/>
          <w:szCs w:val="24"/>
        </w:rPr>
        <w:t>（一）成绩评定方式：</w:t>
      </w:r>
      <w:r>
        <w:rPr>
          <w:rFonts w:hint="eastAsia" w:ascii="仿宋" w:hAnsi="仿宋" w:eastAsia="仿宋"/>
          <w:color w:val="000000" w:themeColor="text1"/>
          <w:sz w:val="24"/>
          <w:szCs w:val="24"/>
          <w14:textFill>
            <w14:solidFill>
              <w14:schemeClr w14:val="tx1"/>
            </w14:solidFill>
          </w14:textFill>
        </w:rPr>
        <w:t>百分制</w:t>
      </w:r>
    </w:p>
    <w:p w14:paraId="594182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学生须在学制年限内修读8个学期本门课程，包含2个学期校内课程和6个学期智慧树慕课。每个学期考核不合格的，下一学期除正常修读本课程外，还须选课重修一门本课程。</w:t>
      </w:r>
    </w:p>
    <w:p w14:paraId="0D7276D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b/>
          <w:color w:val="000000"/>
          <w:sz w:val="24"/>
          <w:szCs w:val="24"/>
        </w:rPr>
      </w:pPr>
      <w:r>
        <w:rPr>
          <w:rFonts w:hint="eastAsia" w:ascii="仿宋" w:hAnsi="仿宋" w:eastAsia="仿宋"/>
          <w:b/>
          <w:color w:val="000000"/>
          <w:sz w:val="24"/>
          <w:szCs w:val="24"/>
        </w:rPr>
        <w:t>成绩构成：</w:t>
      </w:r>
    </w:p>
    <w:p w14:paraId="3582F7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1、校内课程成绩=结课考试成绩*100%</w:t>
      </w:r>
    </w:p>
    <w:p w14:paraId="0E78FD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2、智慧树慕课成绩=过程成绩*60%+结课上机考试成绩*40%。（过程成绩包含学习进度评分*5%，学习习惯分*15%，互动分*10%，章测试成绩*10%，见面课成绩*20%）</w:t>
      </w:r>
    </w:p>
    <w:p w14:paraId="5E6794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sz w:val="24"/>
          <w:szCs w:val="24"/>
          <w:lang w:val="en-US" w:eastAsia="zh-CN"/>
        </w:rPr>
        <w:t>总成绩=最好的8次成绩/8</w:t>
      </w:r>
    </w:p>
    <w:p w14:paraId="346C02C8">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761"/>
        <w:gridCol w:w="798"/>
        <w:gridCol w:w="3016"/>
        <w:gridCol w:w="1429"/>
      </w:tblGrid>
      <w:tr w14:paraId="6EAD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6" w:type="dxa"/>
            <w:gridSpan w:val="2"/>
            <w:shd w:val="clear" w:color="auto" w:fill="auto"/>
            <w:vAlign w:val="center"/>
          </w:tcPr>
          <w:p w14:paraId="3C16722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vAlign w:val="center"/>
          </w:tcPr>
          <w:p w14:paraId="5E38E24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3016" w:type="dxa"/>
            <w:vAlign w:val="center"/>
          </w:tcPr>
          <w:p w14:paraId="0579991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429" w:type="dxa"/>
            <w:vAlign w:val="center"/>
          </w:tcPr>
          <w:p w14:paraId="4FAA126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w:t>
            </w:r>
          </w:p>
          <w:p w14:paraId="34B1FF9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p>
        </w:tc>
      </w:tr>
      <w:tr w14:paraId="2DDBE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5" w:type="dxa"/>
            <w:shd w:val="clear" w:color="auto" w:fill="auto"/>
            <w:vAlign w:val="center"/>
          </w:tcPr>
          <w:p w14:paraId="4956CCC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7DE50FA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vAlign w:val="center"/>
          </w:tcPr>
          <w:p w14:paraId="5E1F4B97">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100</w:t>
            </w:r>
          </w:p>
        </w:tc>
        <w:tc>
          <w:tcPr>
            <w:tcW w:w="3016" w:type="dxa"/>
            <w:vAlign w:val="center"/>
          </w:tcPr>
          <w:p w14:paraId="4D46BC9C">
            <w:pPr>
              <w:snapToGrid w:val="0"/>
              <w:spacing w:line="360" w:lineRule="auto"/>
              <w:jc w:val="both"/>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1、校内课程结课考试：要求完成一份结课报告，报告内容要结合所学课程《形势与政策》，思想积极、观点正确、结构严谨、层次清晰，字数不少于2000字。</w:t>
            </w:r>
          </w:p>
          <w:p w14:paraId="5D17BFAF">
            <w:pPr>
              <w:snapToGrid w:val="0"/>
              <w:spacing w:line="360" w:lineRule="auto"/>
              <w:jc w:val="both"/>
              <w:rPr>
                <w:rFonts w:hint="eastAsia" w:ascii="仿宋" w:hAnsi="仿宋" w:eastAsia="仿宋"/>
                <w:b w:val="0"/>
                <w:bCs/>
                <w:color w:val="0070C0"/>
                <w:sz w:val="24"/>
                <w:lang w:val="en-US" w:eastAsia="zh-CN"/>
              </w:rPr>
            </w:pPr>
            <w:r>
              <w:rPr>
                <w:rFonts w:hint="eastAsia" w:ascii="仿宋" w:hAnsi="仿宋" w:eastAsia="仿宋"/>
                <w:b w:val="0"/>
                <w:bCs/>
                <w:color w:val="000000"/>
                <w:sz w:val="24"/>
                <w:lang w:val="en-US" w:eastAsia="zh-CN"/>
              </w:rPr>
              <w:t>2、智慧树慕课考核方式：上机（闭卷）考试</w:t>
            </w:r>
          </w:p>
        </w:tc>
        <w:tc>
          <w:tcPr>
            <w:tcW w:w="1429" w:type="dxa"/>
            <w:vAlign w:val="center"/>
          </w:tcPr>
          <w:p w14:paraId="29BA357A">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1、2、3</w:t>
            </w:r>
          </w:p>
        </w:tc>
      </w:tr>
    </w:tbl>
    <w:p w14:paraId="3CF0642E">
      <w:pPr>
        <w:snapToGrid w:val="0"/>
        <w:spacing w:line="360" w:lineRule="auto"/>
        <w:ind w:firstLine="482" w:firstLineChars="200"/>
        <w:rPr>
          <w:rFonts w:hint="eastAsia" w:ascii="仿宋" w:hAnsi="仿宋" w:eastAsia="仿宋"/>
          <w:b/>
          <w:color w:val="000000"/>
          <w:sz w:val="24"/>
        </w:rPr>
      </w:pPr>
    </w:p>
    <w:p w14:paraId="1708A317">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384"/>
        <w:gridCol w:w="1384"/>
        <w:gridCol w:w="1616"/>
      </w:tblGrid>
      <w:tr w14:paraId="77B9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3E1B19D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7C3F1C1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384" w:type="dxa"/>
            <w:gridSpan w:val="3"/>
            <w:shd w:val="clear" w:color="auto" w:fill="auto"/>
            <w:vAlign w:val="center"/>
          </w:tcPr>
          <w:p w14:paraId="5CC2F32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7EF5B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337A177D">
            <w:pPr>
              <w:snapToGrid w:val="0"/>
              <w:spacing w:line="360" w:lineRule="auto"/>
              <w:jc w:val="center"/>
              <w:rPr>
                <w:rFonts w:hint="eastAsia" w:ascii="仿宋" w:hAnsi="仿宋" w:eastAsia="仿宋"/>
                <w:b/>
                <w:color w:val="000000"/>
                <w:sz w:val="24"/>
              </w:rPr>
            </w:pPr>
          </w:p>
        </w:tc>
        <w:tc>
          <w:tcPr>
            <w:tcW w:w="1134" w:type="dxa"/>
            <w:vMerge w:val="continue"/>
          </w:tcPr>
          <w:p w14:paraId="44700AD9">
            <w:pPr>
              <w:snapToGrid w:val="0"/>
              <w:spacing w:line="360" w:lineRule="auto"/>
              <w:jc w:val="center"/>
              <w:rPr>
                <w:rFonts w:hint="eastAsia" w:ascii="仿宋" w:hAnsi="仿宋" w:eastAsia="仿宋"/>
                <w:b/>
                <w:color w:val="000000"/>
                <w:sz w:val="24"/>
              </w:rPr>
            </w:pPr>
          </w:p>
        </w:tc>
        <w:tc>
          <w:tcPr>
            <w:tcW w:w="1384" w:type="dxa"/>
            <w:shd w:val="clear" w:color="auto" w:fill="auto"/>
            <w:vAlign w:val="center"/>
          </w:tcPr>
          <w:p w14:paraId="6F2C5CF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384" w:type="dxa"/>
          </w:tcPr>
          <w:p w14:paraId="764E641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616" w:type="dxa"/>
          </w:tcPr>
          <w:p w14:paraId="7ADFB77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51A5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500A645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14:paraId="4CD679F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14:paraId="42E4D3C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1384" w:type="dxa"/>
            <w:shd w:val="clear" w:color="auto" w:fill="auto"/>
            <w:vAlign w:val="center"/>
          </w:tcPr>
          <w:p w14:paraId="46A5A17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1384" w:type="dxa"/>
            <w:vAlign w:val="center"/>
          </w:tcPr>
          <w:p w14:paraId="34993B0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1616" w:type="dxa"/>
            <w:vAlign w:val="center"/>
          </w:tcPr>
          <w:p w14:paraId="26CDFDD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r>
      <w:tr w14:paraId="617C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72F0250A">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384" w:type="dxa"/>
            <w:shd w:val="clear" w:color="auto" w:fill="auto"/>
            <w:vAlign w:val="center"/>
          </w:tcPr>
          <w:p w14:paraId="7934D6B5">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1384" w:type="dxa"/>
          </w:tcPr>
          <w:p w14:paraId="133BCBC7">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40</w:t>
            </w:r>
          </w:p>
        </w:tc>
        <w:tc>
          <w:tcPr>
            <w:tcW w:w="1616" w:type="dxa"/>
          </w:tcPr>
          <w:p w14:paraId="59EAA170">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30</w:t>
            </w:r>
          </w:p>
        </w:tc>
      </w:tr>
    </w:tbl>
    <w:p w14:paraId="18B85E62">
      <w:pPr>
        <w:snapToGrid w:val="0"/>
        <w:spacing w:line="360" w:lineRule="auto"/>
        <w:rPr>
          <w:rFonts w:ascii="仿宋" w:hAnsi="仿宋" w:eastAsia="仿宋"/>
          <w:b/>
          <w:color w:val="000000"/>
          <w:sz w:val="24"/>
        </w:rPr>
      </w:pPr>
    </w:p>
    <w:p w14:paraId="4EFB126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lang w:val="en-US" w:eastAsia="zh-CN"/>
        </w:rPr>
        <w:t>六</w:t>
      </w:r>
      <w:r>
        <w:rPr>
          <w:rFonts w:eastAsia="黑体"/>
          <w:color w:val="000000"/>
          <w:sz w:val="28"/>
          <w:szCs w:val="28"/>
        </w:rPr>
        <w:t>、课程</w:t>
      </w:r>
      <w:r>
        <w:rPr>
          <w:rFonts w:hint="eastAsia" w:eastAsia="黑体"/>
          <w:color w:val="000000"/>
          <w:sz w:val="28"/>
          <w:szCs w:val="28"/>
        </w:rPr>
        <w:t>目标达成度评价</w:t>
      </w:r>
    </w:p>
    <w:p w14:paraId="1E6F59F4">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43605F6E">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69E2891E">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5131377D">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lang w:val="en-US" w:eastAsia="zh-CN"/>
        </w:rPr>
        <w:t>七</w:t>
      </w:r>
      <w:r>
        <w:rPr>
          <w:rFonts w:eastAsia="黑体"/>
          <w:color w:val="000000"/>
          <w:sz w:val="28"/>
          <w:szCs w:val="28"/>
        </w:rPr>
        <w:t>、</w:t>
      </w:r>
      <w:r>
        <w:rPr>
          <w:rFonts w:hint="eastAsia" w:eastAsia="黑体"/>
          <w:color w:val="000000"/>
          <w:sz w:val="28"/>
          <w:szCs w:val="28"/>
        </w:rPr>
        <w:t>学习建议</w:t>
      </w:r>
    </w:p>
    <w:p w14:paraId="63A58A8A">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1.</w:t>
      </w:r>
      <w:r>
        <w:rPr>
          <w:rFonts w:hint="eastAsia" w:ascii="仿宋" w:hAnsi="仿宋" w:eastAsia="仿宋"/>
          <w:color w:val="auto"/>
          <w:sz w:val="24"/>
        </w:rPr>
        <w:t>认真听课，认真笔记，课后5-10min回顾</w:t>
      </w:r>
    </w:p>
    <w:p w14:paraId="448894B7">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2.</w:t>
      </w:r>
      <w:r>
        <w:rPr>
          <w:rFonts w:hint="eastAsia" w:ascii="仿宋" w:hAnsi="仿宋" w:eastAsia="仿宋"/>
          <w:color w:val="auto"/>
          <w:sz w:val="24"/>
        </w:rPr>
        <w:t>以教学为指导阅读教材和参考资料</w:t>
      </w:r>
    </w:p>
    <w:p w14:paraId="60035659">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3.</w:t>
      </w:r>
      <w:r>
        <w:rPr>
          <w:rFonts w:hint="eastAsia" w:ascii="仿宋" w:hAnsi="仿宋" w:eastAsia="仿宋"/>
          <w:color w:val="auto"/>
          <w:sz w:val="24"/>
        </w:rPr>
        <w:t>有疑必问，多与老师同学交流</w:t>
      </w:r>
    </w:p>
    <w:p w14:paraId="43FD9B80">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4.</w:t>
      </w:r>
      <w:r>
        <w:rPr>
          <w:rFonts w:hint="eastAsia" w:ascii="仿宋" w:hAnsi="仿宋" w:eastAsia="仿宋"/>
          <w:color w:val="auto"/>
          <w:sz w:val="24"/>
        </w:rPr>
        <w:t>内容掌握：由宏观及微观，</w:t>
      </w:r>
      <w:r>
        <w:rPr>
          <w:rFonts w:hint="eastAsia" w:ascii="仿宋" w:hAnsi="仿宋" w:eastAsia="仿宋"/>
          <w:color w:val="auto"/>
          <w:sz w:val="24"/>
          <w:lang w:val="en-US" w:eastAsia="zh-CN"/>
        </w:rPr>
        <w:t>注意</w:t>
      </w:r>
      <w:r>
        <w:rPr>
          <w:rFonts w:hint="eastAsia" w:ascii="仿宋" w:hAnsi="仿宋" w:eastAsia="仿宋"/>
          <w:color w:val="auto"/>
          <w:sz w:val="24"/>
        </w:rPr>
        <w:t>框架逻辑、时间线索与细节知识点</w:t>
      </w:r>
    </w:p>
    <w:bookmarkEnd w:id="1"/>
    <w:p w14:paraId="3F7F4DE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lang w:eastAsia="zh-CN"/>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2BB306C2">
      <w:pPr>
        <w:spacing w:line="360" w:lineRule="auto"/>
        <w:ind w:firstLine="482" w:firstLineChars="200"/>
        <w:rPr>
          <w:rFonts w:hint="eastAsia" w:ascii="仿宋" w:hAnsi="仿宋" w:eastAsia="仿宋" w:cs="仿宋"/>
          <w:b/>
          <w:color w:val="000000"/>
          <w:sz w:val="24"/>
        </w:rPr>
      </w:pPr>
      <w:r>
        <w:rPr>
          <w:rFonts w:hint="eastAsia" w:ascii="仿宋" w:hAnsi="仿宋" w:eastAsia="仿宋" w:cs="仿宋"/>
          <w:b/>
          <w:color w:val="000000"/>
          <w:sz w:val="24"/>
        </w:rPr>
        <w:t>1．教材</w:t>
      </w:r>
    </w:p>
    <w:p w14:paraId="26A7D0DE">
      <w:pPr>
        <w:spacing w:line="360" w:lineRule="auto"/>
        <w:ind w:firstLine="482" w:firstLineChars="200"/>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无</w:t>
      </w:r>
    </w:p>
    <w:p w14:paraId="606D6E2B">
      <w:pPr>
        <w:numPr>
          <w:ilvl w:val="0"/>
          <w:numId w:val="3"/>
        </w:numPr>
        <w:spacing w:line="360" w:lineRule="auto"/>
        <w:ind w:firstLine="482" w:firstLineChars="200"/>
        <w:rPr>
          <w:rFonts w:hint="eastAsia" w:ascii="仿宋" w:hAnsi="仿宋" w:eastAsia="仿宋" w:cs="仿宋"/>
          <w:b/>
          <w:color w:val="000000"/>
          <w:sz w:val="24"/>
        </w:rPr>
      </w:pPr>
      <w:r>
        <w:rPr>
          <w:rFonts w:hint="eastAsia" w:ascii="仿宋" w:hAnsi="仿宋" w:eastAsia="仿宋" w:cs="仿宋"/>
          <w:b/>
          <w:color w:val="000000"/>
          <w:sz w:val="24"/>
        </w:rPr>
        <w:t>主要参考书目</w:t>
      </w:r>
    </w:p>
    <w:tbl>
      <w:tblPr>
        <w:tblStyle w:val="8"/>
        <w:tblW w:w="0" w:type="auto"/>
        <w:tblInd w:w="0" w:type="dxa"/>
        <w:tblLayout w:type="autofit"/>
        <w:tblCellMar>
          <w:top w:w="0" w:type="dxa"/>
          <w:left w:w="108" w:type="dxa"/>
          <w:bottom w:w="0" w:type="dxa"/>
          <w:right w:w="108" w:type="dxa"/>
        </w:tblCellMar>
      </w:tblPr>
      <w:tblGrid>
        <w:gridCol w:w="2336"/>
        <w:gridCol w:w="874"/>
        <w:gridCol w:w="1039"/>
        <w:gridCol w:w="676"/>
        <w:gridCol w:w="1198"/>
        <w:gridCol w:w="1776"/>
        <w:gridCol w:w="623"/>
      </w:tblGrid>
      <w:tr w14:paraId="0943B260">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1B975C">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08CF89">
            <w:pPr>
              <w:widowControl/>
              <w:jc w:val="center"/>
              <w:textAlignment w:val="center"/>
              <w:rPr>
                <w:rFonts w:hint="eastAsia" w:ascii="仿宋" w:hAnsi="仿宋" w:eastAsia="仿宋" w:cs="仿宋"/>
                <w:b/>
                <w:bCs/>
                <w:color w:val="000000"/>
                <w:sz w:val="24"/>
                <w:szCs w:val="24"/>
              </w:rPr>
            </w:pPr>
            <w:r>
              <w:rPr>
                <w:rStyle w:val="22"/>
                <w:rFonts w:hint="eastAsia" w:ascii="仿宋" w:hAnsi="仿宋" w:eastAsia="仿宋" w:cs="仿宋"/>
                <w:sz w:val="24"/>
                <w:szCs w:val="24"/>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59F63D">
            <w:pPr>
              <w:widowControl/>
              <w:jc w:val="center"/>
              <w:textAlignment w:val="center"/>
              <w:rPr>
                <w:rFonts w:hint="eastAsia" w:ascii="仿宋" w:hAnsi="仿宋" w:eastAsia="仿宋" w:cs="仿宋"/>
                <w:b/>
                <w:bCs/>
                <w:color w:val="000000"/>
                <w:sz w:val="24"/>
                <w:szCs w:val="24"/>
              </w:rPr>
            </w:pPr>
            <w:r>
              <w:rPr>
                <w:rStyle w:val="24"/>
                <w:rFonts w:hint="eastAsia" w:ascii="仿宋" w:hAnsi="仿宋" w:eastAsia="仿宋" w:cs="仿宋"/>
                <w:sz w:val="24"/>
                <w:szCs w:val="24"/>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64018E">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D157B">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5E824C">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C500E">
            <w:pPr>
              <w:widowControl/>
              <w:jc w:val="center"/>
              <w:textAlignment w:val="center"/>
              <w:rPr>
                <w:rFonts w:hint="eastAsia" w:ascii="仿宋" w:hAnsi="仿宋" w:eastAsia="仿宋" w:cs="仿宋"/>
                <w:b/>
                <w:bCs/>
                <w:color w:val="000000"/>
                <w:sz w:val="24"/>
                <w:szCs w:val="24"/>
              </w:rPr>
            </w:pPr>
            <w:r>
              <w:rPr>
                <w:rStyle w:val="24"/>
                <w:rFonts w:hint="eastAsia" w:ascii="仿宋" w:hAnsi="仿宋" w:eastAsia="仿宋" w:cs="仿宋"/>
                <w:sz w:val="24"/>
                <w:szCs w:val="24"/>
                <w:lang w:bidi="ar"/>
              </w:rPr>
              <w:t>教材级别</w:t>
            </w:r>
          </w:p>
        </w:tc>
      </w:tr>
      <w:tr w14:paraId="2B5992F3">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E1078F">
            <w:pPr>
              <w:widowControl/>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时事报告大学生版</w:t>
            </w:r>
            <w:r>
              <w:rPr>
                <w:rFonts w:hint="eastAsia" w:ascii="仿宋" w:hAnsi="仿宋" w:eastAsia="仿宋" w:cs="仿宋"/>
                <w:color w:val="000000"/>
                <w:sz w:val="24"/>
                <w:szCs w:val="24"/>
                <w:lang w:eastAsia="zh-CN"/>
              </w:rPr>
              <w:t xml:space="preserve"> 202</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lang w:eastAsia="zh-CN"/>
              </w:rPr>
              <w:t>—202</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lang w:eastAsia="zh-CN"/>
              </w:rPr>
              <w:t>学年（第</w:t>
            </w:r>
            <w:r>
              <w:rPr>
                <w:rFonts w:hint="eastAsia" w:ascii="仿宋" w:hAnsi="仿宋" w:eastAsia="仿宋" w:cs="仿宋"/>
                <w:color w:val="000000"/>
                <w:sz w:val="24"/>
                <w:szCs w:val="24"/>
                <w:lang w:val="en-US" w:eastAsia="zh-CN"/>
              </w:rPr>
              <w:t>一</w:t>
            </w:r>
            <w:r>
              <w:rPr>
                <w:rFonts w:hint="eastAsia" w:ascii="仿宋" w:hAnsi="仿宋" w:eastAsia="仿宋" w:cs="仿宋"/>
                <w:color w:val="000000"/>
                <w:sz w:val="24"/>
                <w:szCs w:val="24"/>
                <w:lang w:eastAsia="zh-CN"/>
              </w:rPr>
              <w:t>学期）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7A179E">
            <w:pPr>
              <w:widowControl/>
              <w:jc w:val="center"/>
              <w:textAlignment w:val="center"/>
              <w:rPr>
                <w:rFonts w:hint="eastAsia" w:ascii="仿宋" w:hAnsi="仿宋" w:eastAsia="仿宋" w:cs="仿宋"/>
                <w:color w:val="000000"/>
                <w:sz w:val="24"/>
                <w:szCs w:val="24"/>
                <w:lang w:val="en-US"/>
              </w:rPr>
            </w:pPr>
            <w:r>
              <w:rPr>
                <w:rFonts w:hint="eastAsia" w:ascii="仿宋" w:hAnsi="仿宋" w:eastAsia="仿宋" w:cs="仿宋"/>
                <w:color w:val="000000"/>
                <w:sz w:val="24"/>
                <w:szCs w:val="24"/>
              </w:rPr>
              <w:t>2024</w:t>
            </w:r>
            <w:r>
              <w:rPr>
                <w:rFonts w:hint="eastAsia" w:ascii="仿宋" w:hAnsi="仿宋" w:eastAsia="仿宋" w:cs="仿宋"/>
                <w:color w:val="000000"/>
                <w:sz w:val="24"/>
                <w:szCs w:val="24"/>
                <w:lang w:val="en-US" w:eastAsia="zh-CN"/>
              </w:rPr>
              <w:t>年8月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06D432">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2024年8月第一版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C346EB">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本书编写组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3E0CB2">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中共中央宣传部 时事报告杂志社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7D20F2">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rPr>
              <w:t>97</w:t>
            </w:r>
            <w:r>
              <w:rPr>
                <w:rFonts w:hint="eastAsia" w:ascii="仿宋" w:hAnsi="仿宋" w:eastAsia="仿宋" w:cs="仿宋"/>
                <w:color w:val="000000"/>
                <w:sz w:val="24"/>
                <w:szCs w:val="24"/>
                <w:lang w:val="en-US" w:eastAsia="zh-CN"/>
              </w:rPr>
              <w:t>71674678246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341A2">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无</w:t>
            </w:r>
          </w:p>
        </w:tc>
      </w:tr>
    </w:tbl>
    <w:p w14:paraId="38B7DD37">
      <w:pPr>
        <w:numPr>
          <w:ilvl w:val="0"/>
          <w:numId w:val="0"/>
        </w:numPr>
        <w:spacing w:line="360" w:lineRule="auto"/>
        <w:rPr>
          <w:rFonts w:hint="eastAsia" w:ascii="仿宋" w:hAnsi="仿宋" w:eastAsia="仿宋" w:cs="仿宋"/>
          <w:b/>
          <w:color w:val="000000"/>
          <w:sz w:val="24"/>
        </w:rPr>
      </w:pPr>
    </w:p>
    <w:p w14:paraId="097E1E9C">
      <w:pPr>
        <w:spacing w:line="360" w:lineRule="auto"/>
        <w:ind w:firstLine="482" w:firstLineChars="200"/>
        <w:rPr>
          <w:rFonts w:hint="eastAsia" w:ascii="仿宋" w:hAnsi="仿宋" w:eastAsia="仿宋" w:cs="仿宋"/>
          <w:color w:val="000000"/>
          <w:sz w:val="24"/>
        </w:rPr>
      </w:pPr>
      <w:r>
        <w:rPr>
          <w:rFonts w:hint="eastAsia" w:ascii="仿宋" w:hAnsi="仿宋" w:eastAsia="仿宋" w:cs="仿宋"/>
          <w:b/>
          <w:sz w:val="24"/>
        </w:rPr>
        <w:t>3．其他学习资源</w:t>
      </w:r>
    </w:p>
    <w:p w14:paraId="5E552FE1">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阅读篇目</w:t>
      </w:r>
    </w:p>
    <w:p w14:paraId="254F6D48">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习近平谈治国理政.外文出版社.2014-10</w:t>
      </w:r>
    </w:p>
    <w:p w14:paraId="00A3EA79">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习近平谈治国理政（第2卷）.外文出版社.2017-11</w:t>
      </w:r>
    </w:p>
    <w:p w14:paraId="50064123">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习近平谈治国理政（第3卷）.外文出版社.2020-06</w:t>
      </w:r>
    </w:p>
    <w:p w14:paraId="24332D60">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习近平关于全面建成小康社会论述摘编.中央文献出版社.2016-06</w:t>
      </w:r>
    </w:p>
    <w:p w14:paraId="4F8D7AAC">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李伟.中国：改革开放与全面建成小康社会.中国发展出版社.2014-03</w:t>
      </w:r>
    </w:p>
    <w:p w14:paraId="69E829A5">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习近平.论坚持推动构建人类命运共同体.中央文献出版社.2018-10</w:t>
      </w:r>
    </w:p>
    <w:p w14:paraId="3A331375">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张宇燕.中国和平发展道路.中国社会科学出版社.2017-02</w:t>
      </w:r>
    </w:p>
    <w:p w14:paraId="2236D3FD">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王帆、凌胜利.人类命运共同体全球治理的中国方案.湖南人民出版社.2017-09</w:t>
      </w:r>
    </w:p>
    <w:p w14:paraId="411DB59E">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马丁∙阿尔布劳.中国在人类命运共同体中的角色.商务印书馆.2020-03</w:t>
      </w:r>
    </w:p>
    <w:p w14:paraId="7A6D9EA5">
      <w:pPr>
        <w:numPr>
          <w:ilvl w:val="0"/>
          <w:numId w:val="4"/>
        </w:numPr>
        <w:spacing w:line="360" w:lineRule="auto"/>
        <w:ind w:left="845" w:leftChars="0" w:hanging="425" w:firstLineChars="0"/>
        <w:rPr>
          <w:rFonts w:hint="eastAsia" w:ascii="仿宋" w:hAnsi="仿宋" w:eastAsia="仿宋" w:cs="仿宋"/>
          <w:b w:val="0"/>
          <w:bCs/>
          <w:sz w:val="24"/>
          <w:szCs w:val="24"/>
        </w:rPr>
      </w:pPr>
      <w:r>
        <w:rPr>
          <w:rFonts w:hint="eastAsia" w:ascii="仿宋" w:hAnsi="仿宋" w:eastAsia="仿宋" w:cs="仿宋"/>
          <w:b w:val="0"/>
          <w:bCs/>
          <w:sz w:val="24"/>
          <w:szCs w:val="24"/>
        </w:rPr>
        <w:t>《新中国70年》，中国社会科学院当代中国研究所编写，当代中国出版社，2019年出版，ISBN：9787515409894。</w:t>
      </w:r>
    </w:p>
    <w:p w14:paraId="4C7B2917">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期刊</w:t>
      </w:r>
    </w:p>
    <w:p w14:paraId="3E3F2B89">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（1）中文版；《半月谈》、《环球人物》、《看天下》、《时事报告》、《党委中心组学习》、《中国外交》（人大复印报刊资料）、《国际政治》（人大复印报刊资料）、《中国青年》</w:t>
      </w:r>
    </w:p>
    <w:p w14:paraId="1A1E4399">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（2）外文版：《TIME》（时代周刊）、《</w:t>
      </w:r>
      <w:r>
        <w:rPr>
          <w:rFonts w:hint="eastAsia" w:ascii="仿宋" w:hAnsi="仿宋" w:eastAsia="仿宋" w:cs="仿宋"/>
          <w:b w:val="0"/>
          <w:bCs/>
          <w:i/>
          <w:iCs/>
          <w:sz w:val="24"/>
          <w:szCs w:val="24"/>
        </w:rPr>
        <w:t>Advances in Higher Education</w:t>
      </w:r>
      <w:r>
        <w:rPr>
          <w:rFonts w:hint="eastAsia" w:ascii="仿宋" w:hAnsi="仿宋" w:eastAsia="仿宋" w:cs="仿宋"/>
          <w:b w:val="0"/>
          <w:bCs/>
          <w:sz w:val="24"/>
          <w:szCs w:val="24"/>
        </w:rPr>
        <w:t>》（高等教育进程）、《</w:t>
      </w:r>
      <w:r>
        <w:rPr>
          <w:rFonts w:hint="eastAsia" w:ascii="仿宋" w:hAnsi="仿宋" w:eastAsia="仿宋" w:cs="仿宋"/>
          <w:b w:val="0"/>
          <w:bCs/>
          <w:i/>
          <w:iCs/>
          <w:sz w:val="24"/>
          <w:szCs w:val="24"/>
        </w:rPr>
        <w:t>American Politics Research</w:t>
      </w:r>
      <w:r>
        <w:rPr>
          <w:rFonts w:hint="eastAsia" w:ascii="仿宋" w:hAnsi="仿宋" w:eastAsia="仿宋" w:cs="仿宋"/>
          <w:b w:val="0"/>
          <w:bCs/>
          <w:sz w:val="24"/>
          <w:szCs w:val="24"/>
        </w:rPr>
        <w:t>》(美国政治学研究)</w:t>
      </w:r>
    </w:p>
    <w:p w14:paraId="035320A0">
      <w:pPr>
        <w:spacing w:line="360" w:lineRule="auto"/>
        <w:rPr>
          <w:rFonts w:hint="eastAsia" w:ascii="仿宋" w:hAnsi="仿宋" w:eastAsia="仿宋" w:cs="仿宋"/>
          <w:b/>
          <w:sz w:val="24"/>
          <w:szCs w:val="24"/>
        </w:rPr>
      </w:pPr>
      <w:r>
        <w:rPr>
          <w:rFonts w:hint="eastAsia" w:ascii="仿宋" w:hAnsi="仿宋" w:eastAsia="仿宋" w:cs="仿宋"/>
          <w:b/>
          <w:sz w:val="24"/>
          <w:szCs w:val="24"/>
        </w:rPr>
        <w:t>网络资源</w:t>
      </w:r>
    </w:p>
    <w:p w14:paraId="250D27AF">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（1）宣讲家.形势政策在线网络课程</w:t>
      </w:r>
    </w:p>
    <w:p w14:paraId="2BBB1004">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（2）爱课程.形势政策在线网络课程</w:t>
      </w:r>
    </w:p>
    <w:p w14:paraId="4421F29A">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（3）王刚.形势与政策微课教学视频.南京师范大学.资源共享课</w:t>
      </w:r>
    </w:p>
    <w:p w14:paraId="13FBBDAF">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（4）黄秋生. 形势与政策教学视频.华南大学.资源共享课</w:t>
      </w:r>
    </w:p>
    <w:p w14:paraId="09BBF052">
      <w:pPr>
        <w:spacing w:line="360" w:lineRule="auto"/>
        <w:ind w:firstLine="480" w:firstLineChars="200"/>
        <w:rPr>
          <w:rFonts w:hint="eastAsia" w:ascii="仿宋" w:hAnsi="仿宋" w:eastAsia="仿宋" w:cs="仿宋"/>
          <w:b w:val="0"/>
          <w:bCs/>
          <w:sz w:val="24"/>
          <w:szCs w:val="24"/>
          <w:lang w:val="en-GB"/>
        </w:rPr>
      </w:pPr>
      <w:r>
        <w:rPr>
          <w:rFonts w:hint="eastAsia" w:ascii="仿宋" w:hAnsi="仿宋" w:eastAsia="仿宋" w:cs="仿宋"/>
          <w:b w:val="0"/>
          <w:bCs/>
          <w:sz w:val="24"/>
          <w:szCs w:val="24"/>
        </w:rPr>
        <w:t>（5）公众号：高校思想政治理论课教学活页、时事报告</w:t>
      </w:r>
    </w:p>
    <w:p w14:paraId="65AD83DA">
      <w:pPr>
        <w:spacing w:line="360" w:lineRule="auto"/>
        <w:jc w:val="left"/>
        <w:rPr>
          <w:rFonts w:hint="eastAsia" w:ascii="仿宋" w:hAnsi="仿宋" w:eastAsia="仿宋" w:cs="仿宋"/>
          <w:color w:val="000000"/>
          <w:sz w:val="24"/>
          <w:szCs w:val="24"/>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9EEAB"/>
    <w:multiLevelType w:val="singleLevel"/>
    <w:tmpl w:val="85D9EEAB"/>
    <w:lvl w:ilvl="0" w:tentative="0">
      <w:start w:val="4"/>
      <w:numFmt w:val="chineseCounting"/>
      <w:suff w:val="nothing"/>
      <w:lvlText w:val="%1、"/>
      <w:lvlJc w:val="left"/>
      <w:rPr>
        <w:rFonts w:hint="eastAsia"/>
      </w:rPr>
    </w:lvl>
  </w:abstractNum>
  <w:abstractNum w:abstractNumId="1">
    <w:nsid w:val="92DD43F2"/>
    <w:multiLevelType w:val="singleLevel"/>
    <w:tmpl w:val="92DD43F2"/>
    <w:lvl w:ilvl="0" w:tentative="0">
      <w:start w:val="1"/>
      <w:numFmt w:val="decimal"/>
      <w:lvlText w:val="(%1)"/>
      <w:lvlJc w:val="left"/>
      <w:pPr>
        <w:tabs>
          <w:tab w:val="left" w:pos="420"/>
        </w:tabs>
        <w:ind w:left="845" w:hanging="425"/>
      </w:pPr>
      <w:rPr>
        <w:rFonts w:hint="default"/>
      </w:rPr>
    </w:lvl>
  </w:abstractNum>
  <w:abstractNum w:abstractNumId="2">
    <w:nsid w:val="B13BD393"/>
    <w:multiLevelType w:val="singleLevel"/>
    <w:tmpl w:val="B13BD393"/>
    <w:lvl w:ilvl="0" w:tentative="0">
      <w:start w:val="2"/>
      <w:numFmt w:val="chineseCounting"/>
      <w:suff w:val="nothing"/>
      <w:lvlText w:val="（%1）"/>
      <w:lvlJc w:val="left"/>
      <w:rPr>
        <w:rFonts w:hint="eastAsia"/>
      </w:rPr>
    </w:lvl>
  </w:abstractNum>
  <w:abstractNum w:abstractNumId="3">
    <w:nsid w:val="7E3EDBA0"/>
    <w:multiLevelType w:val="singleLevel"/>
    <w:tmpl w:val="7E3EDBA0"/>
    <w:lvl w:ilvl="0" w:tentative="0">
      <w:start w:val="2"/>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4NDA3MzYwZDc2MjYzNjA2ODU1M2E2ZmU3MTE2ND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15B104DC"/>
    <w:rsid w:val="21510035"/>
    <w:rsid w:val="2CE36E8E"/>
    <w:rsid w:val="48A80177"/>
    <w:rsid w:val="4E1B6731"/>
    <w:rsid w:val="50BD573B"/>
    <w:rsid w:val="6621341E"/>
    <w:rsid w:val="6BF2569F"/>
    <w:rsid w:val="6D5F3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unhideWhenUsed/>
    <w:qFormat/>
    <w:uiPriority w:val="1"/>
  </w:style>
  <w:style w:type="table" w:default="1" w:styleId="8">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link w:val="15"/>
    <w:autoRedefine/>
    <w:unhideWhenUsed/>
    <w:qFormat/>
    <w:uiPriority w:val="99"/>
    <w:rPr>
      <w:rFonts w:ascii="宋体"/>
      <w:sz w:val="18"/>
      <w:szCs w:val="18"/>
    </w:rPr>
  </w:style>
  <w:style w:type="paragraph" w:styleId="3">
    <w:name w:val="annotation text"/>
    <w:basedOn w:val="1"/>
    <w:link w:val="12"/>
    <w:autoRedefine/>
    <w:unhideWhenUsed/>
    <w:qFormat/>
    <w:uiPriority w:val="99"/>
    <w:pPr>
      <w:jc w:val="left"/>
    </w:pPr>
    <w:rPr>
      <w:kern w:val="0"/>
      <w:sz w:val="24"/>
    </w:rPr>
  </w:style>
  <w:style w:type="paragraph" w:styleId="4">
    <w:name w:val="Balloon Text"/>
    <w:basedOn w:val="1"/>
    <w:link w:val="13"/>
    <w:autoRedefine/>
    <w:unhideWhenUsed/>
    <w:qFormat/>
    <w:uiPriority w:val="99"/>
    <w:rPr>
      <w:kern w:val="0"/>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autoRedefine/>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autoRedefine/>
    <w:unhideWhenUsed/>
    <w:uiPriority w:val="99"/>
    <w:rPr>
      <w:b/>
      <w:bCs/>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autoRedefine/>
    <w:unhideWhenUsed/>
    <w:qFormat/>
    <w:uiPriority w:val="99"/>
    <w:rPr>
      <w:rFonts w:cs="Times New Roman"/>
      <w:sz w:val="21"/>
      <w:szCs w:val="21"/>
    </w:rPr>
  </w:style>
  <w:style w:type="character" w:customStyle="1" w:styleId="12">
    <w:name w:val="批注文字 Char"/>
    <w:link w:val="3"/>
    <w:semiHidden/>
    <w:qFormat/>
    <w:locked/>
    <w:uiPriority w:val="99"/>
    <w:rPr>
      <w:rFonts w:ascii="Times New Roman" w:hAnsi="Times New Roman" w:eastAsia="宋体" w:cs="Times New Roman"/>
      <w:sz w:val="24"/>
      <w:szCs w:val="24"/>
    </w:rPr>
  </w:style>
  <w:style w:type="character" w:customStyle="1" w:styleId="13">
    <w:name w:val="批注框文本 Char"/>
    <w:link w:val="4"/>
    <w:autoRedefine/>
    <w:semiHidden/>
    <w:qFormat/>
    <w:locked/>
    <w:uiPriority w:val="99"/>
    <w:rPr>
      <w:rFonts w:ascii="Times New Roman" w:hAnsi="Times New Roman" w:eastAsia="宋体" w:cs="Times New Roman"/>
      <w:sz w:val="18"/>
      <w:szCs w:val="18"/>
    </w:rPr>
  </w:style>
  <w:style w:type="character" w:customStyle="1" w:styleId="14">
    <w:name w:val="页脚 Char"/>
    <w:link w:val="5"/>
    <w:autoRedefine/>
    <w:qFormat/>
    <w:locked/>
    <w:uiPriority w:val="99"/>
    <w:rPr>
      <w:rFonts w:cs="Times New Roman"/>
      <w:sz w:val="18"/>
      <w:szCs w:val="18"/>
    </w:rPr>
  </w:style>
  <w:style w:type="character" w:customStyle="1" w:styleId="15">
    <w:name w:val="文档结构图 Char"/>
    <w:link w:val="2"/>
    <w:autoRedefine/>
    <w:semiHidden/>
    <w:qFormat/>
    <w:uiPriority w:val="99"/>
    <w:rPr>
      <w:rFonts w:ascii="宋体" w:hAnsi="Times New Roman"/>
      <w:kern w:val="2"/>
      <w:sz w:val="18"/>
      <w:szCs w:val="18"/>
    </w:rPr>
  </w:style>
  <w:style w:type="character" w:customStyle="1" w:styleId="16">
    <w:name w:val="页眉 Char"/>
    <w:link w:val="6"/>
    <w:autoRedefine/>
    <w:qFormat/>
    <w:locked/>
    <w:uiPriority w:val="99"/>
    <w:rPr>
      <w:rFonts w:cs="Times New Roman"/>
      <w:sz w:val="18"/>
      <w:szCs w:val="18"/>
    </w:rPr>
  </w:style>
  <w:style w:type="character" w:customStyle="1" w:styleId="17">
    <w:name w:val="批注主题 Char"/>
    <w:link w:val="7"/>
    <w:autoRedefine/>
    <w:semiHidden/>
    <w:qFormat/>
    <w:locked/>
    <w:uiPriority w:val="99"/>
    <w:rPr>
      <w:rFonts w:ascii="Times New Roman" w:hAnsi="Times New Roman" w:eastAsia="宋体" w:cs="Times New Roman"/>
      <w:b/>
      <w:bCs/>
      <w:sz w:val="24"/>
      <w:szCs w:val="24"/>
    </w:rPr>
  </w:style>
  <w:style w:type="paragraph" w:customStyle="1" w:styleId="18">
    <w:name w:val="列出段落"/>
    <w:basedOn w:val="1"/>
    <w:autoRedefine/>
    <w:qFormat/>
    <w:uiPriority w:val="34"/>
    <w:pPr>
      <w:ind w:firstLine="420" w:firstLineChars="200"/>
    </w:pPr>
    <w:rPr>
      <w:rFonts w:ascii="Calibri" w:hAnsi="Calibri"/>
      <w:szCs w:val="22"/>
    </w:rPr>
  </w:style>
  <w:style w:type="paragraph" w:customStyle="1" w:styleId="19">
    <w:name w:val=" Char Char5 Char Char Char 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autoRedefine/>
    <w:qFormat/>
    <w:uiPriority w:val="34"/>
    <w:pPr>
      <w:ind w:firstLine="420" w:firstLineChars="200"/>
    </w:pPr>
  </w:style>
  <w:style w:type="paragraph" w:customStyle="1" w:styleId="21">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autoRedefine/>
    <w:qFormat/>
    <w:uiPriority w:val="0"/>
    <w:rPr>
      <w:rFonts w:hint="eastAsia" w:ascii="宋体" w:hAnsi="宋体" w:eastAsia="宋体" w:cs="宋体"/>
      <w:b/>
      <w:bCs/>
      <w:color w:val="000000"/>
      <w:sz w:val="20"/>
      <w:szCs w:val="20"/>
      <w:u w:val="none"/>
    </w:rPr>
  </w:style>
  <w:style w:type="character" w:customStyle="1" w:styleId="23">
    <w:name w:val="font41"/>
    <w:autoRedefine/>
    <w:qFormat/>
    <w:uiPriority w:val="0"/>
    <w:rPr>
      <w:rFonts w:hint="eastAsia" w:ascii="宋体" w:hAnsi="宋体" w:eastAsia="宋体" w:cs="宋体"/>
      <w:b/>
      <w:bCs/>
      <w:color w:val="FF0000"/>
      <w:sz w:val="20"/>
      <w:szCs w:val="20"/>
      <w:u w:val="none"/>
    </w:rPr>
  </w:style>
  <w:style w:type="character" w:customStyle="1" w:styleId="24">
    <w:name w:val="font11"/>
    <w:autoRedefine/>
    <w:qFormat/>
    <w:uiPriority w:val="0"/>
    <w:rPr>
      <w:rFonts w:hint="eastAsia" w:ascii="宋体" w:hAnsi="宋体" w:eastAsia="宋体" w:cs="宋体"/>
      <w:b/>
      <w:bCs/>
      <w:color w:val="000000"/>
      <w:sz w:val="20"/>
      <w:szCs w:val="20"/>
      <w:u w:val="none"/>
    </w:rPr>
  </w:style>
  <w:style w:type="character" w:customStyle="1" w:styleId="25">
    <w:name w:val="font51"/>
    <w:autoRedefine/>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3777</Words>
  <Characters>4058</Characters>
  <Lines>115</Lines>
  <Paragraphs>144</Paragraphs>
  <TotalTime>8</TotalTime>
  <ScaleCrop>false</ScaleCrop>
  <LinksUpToDate>false</LinksUpToDate>
  <CharactersWithSpaces>4075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王珂</cp:lastModifiedBy>
  <dcterms:modified xsi:type="dcterms:W3CDTF">2024-08-31T05:37:30Z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8B7D5E97E849453090BFD47F2CFB40D0_13</vt:lpwstr>
  </property>
</Properties>
</file>