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FCF8E2">
      <w:pPr>
        <w:jc w:val="center"/>
        <w:rPr>
          <w:rFonts w:ascii="方正小标宋简体" w:hAnsi="黑体" w:eastAsia="方正小标宋简体"/>
          <w:sz w:val="32"/>
          <w:szCs w:val="21"/>
          <w:lang w:val="en-GB"/>
        </w:rPr>
      </w:pPr>
      <w:r>
        <w:rPr>
          <w:rFonts w:hint="eastAsia" w:ascii="方正小标宋简体" w:hAnsi="黑体" w:eastAsia="方正小标宋简体"/>
          <w:sz w:val="32"/>
          <w:szCs w:val="21"/>
          <w:lang w:val="en-GB"/>
        </w:rPr>
        <w:t>《专业实习》大纲</w:t>
      </w:r>
    </w:p>
    <w:p w14:paraId="1DE4E7FF">
      <w:pPr>
        <w:rPr>
          <w:rFonts w:ascii="黑体" w:hAnsi="黑体" w:eastAsia="黑体"/>
          <w:szCs w:val="21"/>
          <w:lang w:val="en-GB"/>
        </w:rPr>
      </w:pPr>
      <w:r>
        <w:rPr>
          <w:rFonts w:hint="eastAsia" w:ascii="黑体" w:hAnsi="黑体" w:eastAsia="黑体"/>
          <w:szCs w:val="21"/>
          <w:lang w:val="en-GB"/>
        </w:rPr>
        <w:t>一、基本信息</w:t>
      </w:r>
    </w:p>
    <w:tbl>
      <w:tblPr>
        <w:tblStyle w:val="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006D2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71A4D8B5">
            <w:pPr>
              <w:rPr>
                <w:rFonts w:ascii="黑体" w:hAnsi="黑体" w:eastAsia="黑体"/>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课程名称：</w:t>
            </w:r>
            <w:r>
              <w:rPr>
                <w:rFonts w:hint="eastAsia" w:ascii="仿宋" w:hAnsi="仿宋" w:eastAsia="仿宋"/>
                <w:color w:val="000000" w:themeColor="text1"/>
                <w:szCs w:val="21"/>
                <w14:textFill>
                  <w14:solidFill>
                    <w14:schemeClr w14:val="tx1"/>
                  </w14:solidFill>
                </w14:textFill>
              </w:rPr>
              <w:t>专业实习</w:t>
            </w:r>
          </w:p>
        </w:tc>
        <w:tc>
          <w:tcPr>
            <w:tcW w:w="3969" w:type="dxa"/>
            <w:vAlign w:val="center"/>
          </w:tcPr>
          <w:p w14:paraId="5C1A84FF">
            <w:pPr>
              <w:rPr>
                <w:rFonts w:ascii="黑体" w:hAnsi="黑体" w:eastAsia="黑体"/>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英文课程名称：</w:t>
            </w:r>
            <w:r>
              <w:rPr>
                <w:rFonts w:ascii="仿宋" w:hAnsi="仿宋" w:eastAsia="仿宋"/>
                <w:color w:val="000000" w:themeColor="text1"/>
                <w:szCs w:val="21"/>
                <w14:textFill>
                  <w14:solidFill>
                    <w14:schemeClr w14:val="tx1"/>
                  </w14:solidFill>
                </w14:textFill>
              </w:rPr>
              <w:t>Professional Internship</w:t>
            </w:r>
          </w:p>
        </w:tc>
      </w:tr>
      <w:tr w14:paraId="6FF1C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761FD6A3">
            <w:pPr>
              <w:rPr>
                <w:rFonts w:ascii="黑体" w:hAnsi="黑体" w:eastAsia="黑体"/>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课程代码：</w:t>
            </w:r>
            <w:r>
              <w:rPr>
                <w:rFonts w:ascii="仿宋" w:hAnsi="仿宋" w:eastAsia="仿宋"/>
                <w:color w:val="000000" w:themeColor="text1"/>
                <w:szCs w:val="21"/>
                <w:lang w:val="en-GB"/>
                <w14:textFill>
                  <w14:solidFill>
                    <w14:schemeClr w14:val="tx1"/>
                  </w14:solidFill>
                </w14:textFill>
              </w:rPr>
              <w:t>160719P005</w:t>
            </w:r>
          </w:p>
        </w:tc>
        <w:tc>
          <w:tcPr>
            <w:tcW w:w="3969" w:type="dxa"/>
            <w:vAlign w:val="center"/>
          </w:tcPr>
          <w:p w14:paraId="3E7A2BDE">
            <w:pPr>
              <w:rPr>
                <w:rFonts w:ascii="黑体" w:hAnsi="黑体" w:eastAsia="黑体"/>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总学分：</w:t>
            </w:r>
            <w:r>
              <w:rPr>
                <w:rFonts w:ascii="仿宋" w:hAnsi="仿宋" w:eastAsia="仿宋"/>
                <w:color w:val="000000" w:themeColor="text1"/>
                <w:szCs w:val="21"/>
                <w14:textFill>
                  <w14:solidFill>
                    <w14:schemeClr w14:val="tx1"/>
                  </w14:solidFill>
                </w14:textFill>
              </w:rPr>
              <w:t>2</w:t>
            </w:r>
          </w:p>
        </w:tc>
      </w:tr>
      <w:tr w14:paraId="1B692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907AA30">
            <w:pPr>
              <w:rPr>
                <w:rFonts w:ascii="黑体" w:hAnsi="黑体" w:eastAsia="黑体"/>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总学时：</w:t>
            </w:r>
            <w:r>
              <w:rPr>
                <w:rFonts w:ascii="仿宋" w:hAnsi="仿宋" w:eastAsia="仿宋"/>
                <w:color w:val="000000" w:themeColor="text1"/>
                <w:szCs w:val="21"/>
                <w14:textFill>
                  <w14:solidFill>
                    <w14:schemeClr w14:val="tx1"/>
                  </w14:solidFill>
                </w14:textFill>
              </w:rPr>
              <w:t>2</w:t>
            </w:r>
            <w:r>
              <w:rPr>
                <w:rFonts w:hint="eastAsia" w:ascii="仿宋" w:hAnsi="仿宋" w:eastAsia="仿宋"/>
                <w:color w:val="000000" w:themeColor="text1"/>
                <w:szCs w:val="21"/>
                <w14:textFill>
                  <w14:solidFill>
                    <w14:schemeClr w14:val="tx1"/>
                  </w14:solidFill>
                </w14:textFill>
              </w:rPr>
              <w:t>周</w:t>
            </w:r>
          </w:p>
        </w:tc>
        <w:tc>
          <w:tcPr>
            <w:tcW w:w="3969" w:type="dxa"/>
            <w:vAlign w:val="center"/>
          </w:tcPr>
          <w:p w14:paraId="2618AB1C">
            <w:pPr>
              <w:rPr>
                <w:rFonts w:ascii="黑体" w:hAnsi="黑体" w:eastAsia="黑体"/>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课内</w:t>
            </w:r>
            <w:r>
              <w:rPr>
                <w:rFonts w:ascii="仿宋" w:hAnsi="仿宋" w:eastAsia="仿宋"/>
                <w:color w:val="000000" w:themeColor="text1"/>
                <w:szCs w:val="21"/>
                <w:lang w:val="en-GB"/>
                <w14:textFill>
                  <w14:solidFill>
                    <w14:schemeClr w14:val="tx1"/>
                  </w14:solidFill>
                </w14:textFill>
              </w:rPr>
              <w:t>学时</w:t>
            </w:r>
            <w:r>
              <w:rPr>
                <w:rFonts w:hint="eastAsia" w:ascii="仿宋" w:hAnsi="仿宋" w:eastAsia="仿宋"/>
                <w:color w:val="000000" w:themeColor="text1"/>
                <w:szCs w:val="21"/>
                <w:lang w:val="en-GB"/>
                <w14:textFill>
                  <w14:solidFill>
                    <w14:schemeClr w14:val="tx1"/>
                  </w14:solidFill>
                </w14:textFill>
              </w:rPr>
              <w:t>：0</w:t>
            </w:r>
          </w:p>
        </w:tc>
      </w:tr>
      <w:tr w14:paraId="5B0BD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C67867B">
            <w:pPr>
              <w:rPr>
                <w:rFonts w:ascii="仿宋" w:hAnsi="仿宋" w:eastAsia="仿宋"/>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实验学时：</w:t>
            </w:r>
            <w:r>
              <w:rPr>
                <w:rFonts w:ascii="仿宋" w:hAnsi="仿宋" w:eastAsia="仿宋"/>
                <w:color w:val="000000" w:themeColor="text1"/>
                <w:szCs w:val="21"/>
                <w14:textFill>
                  <w14:solidFill>
                    <w14:schemeClr w14:val="tx1"/>
                  </w14:solidFill>
                </w14:textFill>
              </w:rPr>
              <w:t>2</w:t>
            </w:r>
            <w:r>
              <w:rPr>
                <w:rFonts w:hint="eastAsia" w:ascii="仿宋" w:hAnsi="仿宋" w:eastAsia="仿宋"/>
                <w:color w:val="000000" w:themeColor="text1"/>
                <w:szCs w:val="21"/>
                <w14:textFill>
                  <w14:solidFill>
                    <w14:schemeClr w14:val="tx1"/>
                  </w14:solidFill>
                </w14:textFill>
              </w:rPr>
              <w:t>周</w:t>
            </w:r>
          </w:p>
        </w:tc>
        <w:tc>
          <w:tcPr>
            <w:tcW w:w="3969" w:type="dxa"/>
            <w:vAlign w:val="center"/>
          </w:tcPr>
          <w:p w14:paraId="1A9ED987">
            <w:pPr>
              <w:rPr>
                <w:rFonts w:ascii="仿宋" w:hAnsi="仿宋" w:eastAsia="仿宋"/>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上机学时：</w:t>
            </w:r>
            <w:r>
              <w:rPr>
                <w:rFonts w:ascii="仿宋" w:hAnsi="仿宋" w:eastAsia="仿宋"/>
                <w:color w:val="000000" w:themeColor="text1"/>
                <w:szCs w:val="21"/>
                <w:lang w:val="en-GB"/>
                <w14:textFill>
                  <w14:solidFill>
                    <w14:schemeClr w14:val="tx1"/>
                  </w14:solidFill>
                </w14:textFill>
              </w:rPr>
              <w:t>0</w:t>
            </w:r>
          </w:p>
        </w:tc>
      </w:tr>
      <w:tr w14:paraId="6FE5E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702CF665">
            <w:pPr>
              <w:rPr>
                <w:rFonts w:ascii="黑体" w:hAnsi="黑体" w:eastAsia="黑体"/>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开课学院：工商管理学院/马克思主义学院</w:t>
            </w:r>
          </w:p>
        </w:tc>
        <w:tc>
          <w:tcPr>
            <w:tcW w:w="3969" w:type="dxa"/>
            <w:vAlign w:val="center"/>
          </w:tcPr>
          <w:p w14:paraId="07F57DC0">
            <w:pPr>
              <w:rPr>
                <w:rFonts w:hint="eastAsia" w:ascii="黑体" w:hAnsi="黑体" w:eastAsia="仿宋"/>
                <w:color w:val="000000" w:themeColor="text1"/>
                <w:szCs w:val="21"/>
                <w:lang w:val="en-GB" w:eastAsia="zh-CN"/>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适用专业：经济学2</w:t>
            </w:r>
            <w:r>
              <w:rPr>
                <w:rFonts w:ascii="仿宋" w:hAnsi="仿宋" w:eastAsia="仿宋"/>
                <w:color w:val="000000" w:themeColor="text1"/>
                <w:szCs w:val="21"/>
                <w:lang w:val="en-GB"/>
                <w14:textFill>
                  <w14:solidFill>
                    <w14:schemeClr w14:val="tx1"/>
                  </w14:solidFill>
                </w14:textFill>
              </w:rPr>
              <w:t>02</w:t>
            </w:r>
            <w:r>
              <w:rPr>
                <w:rFonts w:hint="eastAsia" w:ascii="仿宋" w:hAnsi="仿宋" w:eastAsia="仿宋"/>
                <w:color w:val="000000" w:themeColor="text1"/>
                <w:szCs w:val="21"/>
                <w:lang w:val="en-US" w:eastAsia="zh-CN"/>
                <w14:textFill>
                  <w14:solidFill>
                    <w14:schemeClr w14:val="tx1"/>
                  </w14:solidFill>
                </w14:textFill>
              </w:rPr>
              <w:t>1</w:t>
            </w:r>
            <w:r>
              <w:rPr>
                <w:rFonts w:hint="eastAsia" w:ascii="仿宋" w:hAnsi="仿宋" w:eastAsia="仿宋"/>
                <w:color w:val="000000" w:themeColor="text1"/>
                <w:szCs w:val="21"/>
                <w:lang w:val="en-GB"/>
                <w14:textFill>
                  <w14:solidFill>
                    <w14:schemeClr w14:val="tx1"/>
                  </w14:solidFill>
                </w14:textFill>
              </w:rPr>
              <w:t>级</w:t>
            </w:r>
            <w:r>
              <w:rPr>
                <w:rFonts w:hint="eastAsia" w:ascii="仿宋" w:hAnsi="仿宋" w:eastAsia="仿宋"/>
                <w:color w:val="000000" w:themeColor="text1"/>
                <w:szCs w:val="21"/>
                <w:lang w:val="en-GB" w:eastAsia="zh-CN"/>
                <w14:textFill>
                  <w14:solidFill>
                    <w14:schemeClr w14:val="tx1"/>
                  </w14:solidFill>
                </w14:textFill>
              </w:rPr>
              <w:t>、</w:t>
            </w:r>
            <w:r>
              <w:rPr>
                <w:rFonts w:hint="eastAsia" w:ascii="仿宋" w:hAnsi="仿宋" w:eastAsia="仿宋"/>
                <w:color w:val="000000" w:themeColor="text1"/>
                <w:szCs w:val="21"/>
                <w:lang w:val="en-US" w:eastAsia="zh-CN"/>
                <w14:textFill>
                  <w14:solidFill>
                    <w14:schemeClr w14:val="tx1"/>
                  </w14:solidFill>
                </w14:textFill>
              </w:rPr>
              <w:t>金融</w:t>
            </w:r>
            <w:r>
              <w:rPr>
                <w:rFonts w:hint="eastAsia" w:ascii="仿宋" w:hAnsi="仿宋" w:eastAsia="仿宋"/>
                <w:color w:val="000000" w:themeColor="text1"/>
                <w:szCs w:val="21"/>
                <w:lang w:val="en-GB"/>
                <w14:textFill>
                  <w14:solidFill>
                    <w14:schemeClr w14:val="tx1"/>
                  </w14:solidFill>
                </w14:textFill>
              </w:rPr>
              <w:t>学2</w:t>
            </w:r>
            <w:r>
              <w:rPr>
                <w:rFonts w:ascii="仿宋" w:hAnsi="仿宋" w:eastAsia="仿宋"/>
                <w:color w:val="000000" w:themeColor="text1"/>
                <w:szCs w:val="21"/>
                <w:lang w:val="en-GB"/>
                <w14:textFill>
                  <w14:solidFill>
                    <w14:schemeClr w14:val="tx1"/>
                  </w14:solidFill>
                </w14:textFill>
              </w:rPr>
              <w:t>02</w:t>
            </w:r>
            <w:r>
              <w:rPr>
                <w:rFonts w:hint="eastAsia" w:ascii="仿宋" w:hAnsi="仿宋" w:eastAsia="仿宋"/>
                <w:color w:val="000000" w:themeColor="text1"/>
                <w:szCs w:val="21"/>
                <w:lang w:val="en-US" w:eastAsia="zh-CN"/>
                <w14:textFill>
                  <w14:solidFill>
                    <w14:schemeClr w14:val="tx1"/>
                  </w14:solidFill>
                </w14:textFill>
              </w:rPr>
              <w:t>1</w:t>
            </w:r>
            <w:r>
              <w:rPr>
                <w:rFonts w:hint="eastAsia" w:ascii="仿宋" w:hAnsi="仿宋" w:eastAsia="仿宋"/>
                <w:color w:val="000000" w:themeColor="text1"/>
                <w:szCs w:val="21"/>
                <w:lang w:val="en-GB"/>
                <w14:textFill>
                  <w14:solidFill>
                    <w14:schemeClr w14:val="tx1"/>
                  </w14:solidFill>
                </w14:textFill>
              </w:rPr>
              <w:t>级</w:t>
            </w:r>
          </w:p>
        </w:tc>
      </w:tr>
      <w:tr w14:paraId="5AA7A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62105223">
            <w:pPr>
              <w:rPr>
                <w:rFonts w:ascii="黑体" w:hAnsi="黑体" w:eastAsia="黑体"/>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课程性质：必修</w:t>
            </w:r>
          </w:p>
        </w:tc>
        <w:tc>
          <w:tcPr>
            <w:tcW w:w="3969" w:type="dxa"/>
            <w:vAlign w:val="center"/>
          </w:tcPr>
          <w:p w14:paraId="272BE973">
            <w:pPr>
              <w:rPr>
                <w:rFonts w:ascii="黑体" w:hAnsi="黑体" w:eastAsia="黑体"/>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先修课程：无</w:t>
            </w:r>
          </w:p>
        </w:tc>
      </w:tr>
    </w:tbl>
    <w:p w14:paraId="6CCC524E">
      <w:pPr>
        <w:rPr>
          <w:rFonts w:ascii="黑体" w:hAnsi="黑体" w:eastAsia="黑体"/>
          <w:color w:val="000000" w:themeColor="text1"/>
          <w:szCs w:val="21"/>
          <w:lang w:val="en-GB"/>
          <w14:textFill>
            <w14:solidFill>
              <w14:schemeClr w14:val="tx1"/>
            </w14:solidFill>
          </w14:textFill>
        </w:rPr>
      </w:pPr>
      <w:r>
        <w:rPr>
          <w:rFonts w:hint="eastAsia" w:ascii="黑体" w:hAnsi="黑体" w:eastAsia="黑体"/>
          <w:color w:val="000000" w:themeColor="text1"/>
          <w:szCs w:val="21"/>
          <w:lang w:val="en-GB"/>
          <w14:textFill>
            <w14:solidFill>
              <w14:schemeClr w14:val="tx1"/>
            </w14:solidFill>
          </w14:textFill>
        </w:rPr>
        <w:t>二、实习简介</w:t>
      </w:r>
    </w:p>
    <w:p w14:paraId="757E6B06">
      <w:pPr>
        <w:ind w:firstLine="420" w:firstLineChars="200"/>
        <w:rPr>
          <w:rFonts w:ascii="仿宋" w:hAnsi="仿宋" w:eastAsia="仿宋"/>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w:t>
      </w:r>
      <w:r>
        <w:rPr>
          <w:rFonts w:hint="eastAsia" w:ascii="仿宋" w:hAnsi="仿宋" w:eastAsia="仿宋"/>
          <w:color w:val="000000" w:themeColor="text1"/>
          <w:szCs w:val="21"/>
          <w14:textFill>
            <w14:solidFill>
              <w14:schemeClr w14:val="tx1"/>
            </w14:solidFill>
          </w14:textFill>
        </w:rPr>
        <w:t>专业实习</w:t>
      </w:r>
      <w:r>
        <w:rPr>
          <w:rFonts w:hint="eastAsia" w:ascii="仿宋" w:hAnsi="仿宋" w:eastAsia="仿宋"/>
          <w:color w:val="000000" w:themeColor="text1"/>
          <w:szCs w:val="21"/>
          <w:lang w:val="en-GB"/>
          <w14:textFill>
            <w14:solidFill>
              <w14:schemeClr w14:val="tx1"/>
            </w14:solidFill>
          </w14:textFill>
        </w:rPr>
        <w:t>》课程为经济</w:t>
      </w:r>
      <w:r>
        <w:rPr>
          <w:rFonts w:hint="eastAsia" w:ascii="仿宋" w:hAnsi="仿宋" w:eastAsia="仿宋"/>
          <w:color w:val="000000" w:themeColor="text1"/>
          <w:szCs w:val="21"/>
          <w:lang w:val="en-GB" w:eastAsia="zh-CN"/>
          <w14:textFill>
            <w14:solidFill>
              <w14:schemeClr w14:val="tx1"/>
            </w14:solidFill>
          </w14:textFill>
        </w:rPr>
        <w:t>、</w:t>
      </w:r>
      <w:r>
        <w:rPr>
          <w:rFonts w:hint="eastAsia" w:ascii="仿宋" w:hAnsi="仿宋" w:eastAsia="仿宋"/>
          <w:color w:val="000000" w:themeColor="text1"/>
          <w:szCs w:val="21"/>
          <w:lang w:val="en-US" w:eastAsia="zh-CN"/>
          <w14:textFill>
            <w14:solidFill>
              <w14:schemeClr w14:val="tx1"/>
            </w14:solidFill>
          </w14:textFill>
        </w:rPr>
        <w:t>金融</w:t>
      </w:r>
      <w:r>
        <w:rPr>
          <w:rFonts w:hint="eastAsia" w:ascii="仿宋" w:hAnsi="仿宋" w:eastAsia="仿宋"/>
          <w:color w:val="000000" w:themeColor="text1"/>
          <w:szCs w:val="21"/>
          <w:lang w:val="en-GB"/>
          <w14:textFill>
            <w14:solidFill>
              <w14:schemeClr w14:val="tx1"/>
            </w14:solidFill>
          </w14:textFill>
        </w:rPr>
        <w:t>专业大</w:t>
      </w:r>
      <w:r>
        <w:rPr>
          <w:rFonts w:hint="eastAsia" w:ascii="仿宋" w:hAnsi="仿宋" w:eastAsia="仿宋"/>
          <w:color w:val="000000" w:themeColor="text1"/>
          <w:szCs w:val="21"/>
          <w:lang w:val="en-US" w:eastAsia="zh-CN"/>
          <w14:textFill>
            <w14:solidFill>
              <w14:schemeClr w14:val="tx1"/>
            </w14:solidFill>
          </w14:textFill>
        </w:rPr>
        <w:t>四</w:t>
      </w:r>
      <w:r>
        <w:rPr>
          <w:rFonts w:hint="eastAsia" w:ascii="仿宋" w:hAnsi="仿宋" w:eastAsia="仿宋"/>
          <w:color w:val="000000" w:themeColor="text1"/>
          <w:szCs w:val="21"/>
          <w:lang w:val="en-GB"/>
          <w14:textFill>
            <w14:solidFill>
              <w14:schemeClr w14:val="tx1"/>
            </w14:solidFill>
          </w14:textFill>
        </w:rPr>
        <w:t>学生的实习课程，课程性质为必修。学生经过</w:t>
      </w:r>
      <w:r>
        <w:rPr>
          <w:rFonts w:hint="eastAsia" w:ascii="仿宋" w:hAnsi="仿宋" w:eastAsia="仿宋"/>
          <w:color w:val="000000" w:themeColor="text1"/>
          <w:szCs w:val="21"/>
          <w:lang w:val="en-US" w:eastAsia="zh-CN"/>
          <w14:textFill>
            <w14:solidFill>
              <w14:schemeClr w14:val="tx1"/>
            </w14:solidFill>
          </w14:textFill>
        </w:rPr>
        <w:t>三</w:t>
      </w:r>
      <w:r>
        <w:rPr>
          <w:rFonts w:hint="eastAsia" w:ascii="仿宋" w:hAnsi="仿宋" w:eastAsia="仿宋"/>
          <w:color w:val="000000" w:themeColor="text1"/>
          <w:szCs w:val="21"/>
          <w:lang w:val="en-GB"/>
          <w14:textFill>
            <w14:solidFill>
              <w14:schemeClr w14:val="tx1"/>
            </w14:solidFill>
          </w14:textFill>
        </w:rPr>
        <w:t>年时间的公共基础课程和部分专业课程的学习，对专业内容及未来学习和工作方向有了一定的了解。学院利用暑期时间，对接企业，带领学生进行认知实习，以</w:t>
      </w:r>
      <w:r>
        <w:rPr>
          <w:rFonts w:hint="eastAsia" w:ascii="仿宋" w:hAnsi="仿宋" w:eastAsia="仿宋"/>
          <w:color w:val="000000" w:themeColor="text1"/>
          <w:szCs w:val="21"/>
          <w14:textFill>
            <w14:solidFill>
              <w14:schemeClr w14:val="tx1"/>
            </w14:solidFill>
          </w14:textFill>
        </w:rPr>
        <w:t>参观工作环境、小范围访谈、讲座、参与投资者知识竞答活动、求职辅导等形式开展</w:t>
      </w:r>
      <w:r>
        <w:rPr>
          <w:rFonts w:hint="eastAsia" w:ascii="仿宋" w:hAnsi="仿宋" w:eastAsia="仿宋"/>
          <w:color w:val="000000" w:themeColor="text1"/>
          <w:szCs w:val="21"/>
          <w:lang w:val="en-GB"/>
          <w14:textFill>
            <w14:solidFill>
              <w14:schemeClr w14:val="tx1"/>
            </w14:solidFill>
          </w14:textFill>
        </w:rPr>
        <w:t>，邀请经济金融领域业界、学界的实务从业者分享他们实际工作中的一些业务情况与理论研究，引导学生理论联系实践，注重提高实践能力，培养学生对专业的兴趣，加深对经济金融行业岗位与职责的了解，并尽早做好职业规划。同时，加强</w:t>
      </w:r>
      <w:r>
        <w:rPr>
          <w:rFonts w:hint="eastAsia" w:ascii="仿宋" w:hAnsi="仿宋" w:eastAsia="仿宋"/>
          <w:szCs w:val="21"/>
          <w:lang w:val="en-GB"/>
        </w:rPr>
        <w:t>校区与各对口高校、企业的联系，积极运用校企平台为经济金融专业学生搭建资源共享平台，帮助学生获取实习与就业信息资源。</w:t>
      </w:r>
    </w:p>
    <w:p w14:paraId="0DDCCC94">
      <w:pPr>
        <w:rPr>
          <w:rFonts w:ascii="黑体" w:hAnsi="黑体" w:eastAsia="黑体"/>
          <w:szCs w:val="21"/>
          <w:lang w:val="en-GB"/>
        </w:rPr>
      </w:pPr>
      <w:r>
        <w:rPr>
          <w:rFonts w:hint="eastAsia" w:ascii="黑体" w:hAnsi="黑体" w:eastAsia="黑体"/>
          <w:szCs w:val="21"/>
          <w:lang w:val="en-GB"/>
        </w:rPr>
        <w:t>三、实习目的</w:t>
      </w:r>
    </w:p>
    <w:p w14:paraId="6AA105EE">
      <w:pPr>
        <w:ind w:firstLine="420" w:firstLineChars="200"/>
        <w:rPr>
          <w:rFonts w:ascii="仿宋" w:hAnsi="仿宋" w:eastAsia="仿宋"/>
          <w:szCs w:val="21"/>
          <w:lang w:val="en-GB"/>
        </w:rPr>
      </w:pPr>
      <w:r>
        <w:rPr>
          <w:rFonts w:hint="eastAsia" w:ascii="仿宋" w:hAnsi="仿宋" w:eastAsia="仿宋"/>
          <w:szCs w:val="21"/>
          <w:lang w:val="en-GB"/>
        </w:rPr>
        <w:t>目标1：通过企业参观，拓宽学生专业视野，了解最新行业动态。</w:t>
      </w:r>
    </w:p>
    <w:p w14:paraId="3E6D7632">
      <w:pPr>
        <w:ind w:firstLine="420" w:firstLineChars="200"/>
        <w:rPr>
          <w:rFonts w:ascii="仿宋" w:hAnsi="仿宋" w:eastAsia="仿宋"/>
          <w:szCs w:val="21"/>
          <w:lang w:val="en-GB"/>
        </w:rPr>
      </w:pPr>
      <w:r>
        <w:rPr>
          <w:rFonts w:hint="eastAsia" w:ascii="仿宋" w:hAnsi="仿宋" w:eastAsia="仿宋"/>
          <w:szCs w:val="21"/>
          <w:lang w:val="en-GB"/>
        </w:rPr>
        <w:t>目标2：通过金融经济从业者实务主题讲座，了解行业岗位职责与要求，做好职业规划</w:t>
      </w:r>
    </w:p>
    <w:p w14:paraId="085C23E0">
      <w:pPr>
        <w:ind w:firstLine="420" w:firstLineChars="200"/>
        <w:rPr>
          <w:rFonts w:ascii="仿宋" w:hAnsi="仿宋" w:eastAsia="仿宋"/>
          <w:szCs w:val="21"/>
          <w:lang w:val="en-GB"/>
        </w:rPr>
      </w:pPr>
      <w:r>
        <w:rPr>
          <w:rFonts w:hint="eastAsia" w:ascii="仿宋" w:hAnsi="仿宋" w:eastAsia="仿宋"/>
          <w:szCs w:val="21"/>
          <w:lang w:val="en-GB"/>
        </w:rPr>
        <w:t>目标</w:t>
      </w:r>
      <w:r>
        <w:rPr>
          <w:rFonts w:ascii="仿宋" w:hAnsi="仿宋" w:eastAsia="仿宋"/>
          <w:szCs w:val="21"/>
          <w:lang w:val="en-GB"/>
        </w:rPr>
        <w:t>3</w:t>
      </w:r>
      <w:r>
        <w:rPr>
          <w:rFonts w:hint="eastAsia" w:ascii="仿宋" w:hAnsi="仿宋" w:eastAsia="仿宋"/>
          <w:szCs w:val="21"/>
          <w:lang w:val="en-GB"/>
        </w:rPr>
        <w:t>：通过对实务内容的实习，学习重要实操工具与技能，成为应用型人才。</w:t>
      </w:r>
    </w:p>
    <w:p w14:paraId="51D8F555">
      <w:pPr>
        <w:ind w:firstLine="420" w:firstLineChars="200"/>
        <w:rPr>
          <w:rFonts w:ascii="仿宋" w:hAnsi="仿宋" w:eastAsia="仿宋"/>
          <w:szCs w:val="21"/>
          <w:lang w:val="en-GB"/>
        </w:rPr>
      </w:pPr>
      <w:r>
        <w:rPr>
          <w:rFonts w:hint="eastAsia" w:ascii="仿宋" w:hAnsi="仿宋" w:eastAsia="仿宋"/>
          <w:szCs w:val="21"/>
          <w:lang w:val="en-GB"/>
        </w:rPr>
        <w:t>目标</w:t>
      </w:r>
      <w:r>
        <w:rPr>
          <w:rFonts w:ascii="仿宋" w:hAnsi="仿宋" w:eastAsia="仿宋"/>
          <w:szCs w:val="21"/>
          <w:lang w:val="en-GB"/>
        </w:rPr>
        <w:t>4</w:t>
      </w:r>
      <w:r>
        <w:rPr>
          <w:rFonts w:hint="eastAsia" w:ascii="仿宋" w:hAnsi="仿宋" w:eastAsia="仿宋"/>
          <w:szCs w:val="21"/>
          <w:lang w:val="en-GB"/>
        </w:rPr>
        <w:t>：通过对口高校各学者的主题讲座，使得学生对各专业课程内容有更深入的学习，作为专业课程教学的补充与拓展。</w:t>
      </w:r>
    </w:p>
    <w:p w14:paraId="0B48971F">
      <w:pPr>
        <w:rPr>
          <w:rFonts w:ascii="黑体" w:hAnsi="黑体" w:eastAsia="黑体"/>
          <w:szCs w:val="21"/>
          <w:lang w:val="en-GB"/>
        </w:rPr>
      </w:pPr>
      <w:r>
        <w:rPr>
          <w:rFonts w:hint="eastAsia" w:ascii="黑体" w:hAnsi="黑体" w:eastAsia="黑体"/>
          <w:szCs w:val="21"/>
          <w:lang w:val="en-GB"/>
        </w:rPr>
        <w:t>四、实习内容与要求</w:t>
      </w:r>
    </w:p>
    <w:p w14:paraId="7ADA408C">
      <w:pPr>
        <w:ind w:firstLine="420" w:firstLineChars="200"/>
        <w:rPr>
          <w:rFonts w:ascii="仿宋" w:hAnsi="仿宋" w:eastAsia="仿宋"/>
          <w:szCs w:val="21"/>
          <w:lang w:val="en-GB"/>
        </w:rPr>
      </w:pPr>
      <w:r>
        <w:rPr>
          <w:rFonts w:hint="eastAsia" w:ascii="仿宋" w:hAnsi="仿宋" w:eastAsia="仿宋"/>
          <w:szCs w:val="21"/>
          <w:lang w:val="en-GB"/>
        </w:rPr>
        <w:t>（1）经济专业实习于</w:t>
      </w:r>
      <w:r>
        <w:rPr>
          <w:rFonts w:hint="eastAsia" w:ascii="仿宋" w:hAnsi="仿宋" w:eastAsia="仿宋"/>
          <w:szCs w:val="21"/>
          <w:lang w:val="en-US" w:eastAsia="zh-CN"/>
        </w:rPr>
        <w:t>10</w:t>
      </w:r>
      <w:r>
        <w:rPr>
          <w:rFonts w:hint="eastAsia" w:ascii="仿宋" w:hAnsi="仿宋" w:eastAsia="仿宋"/>
          <w:szCs w:val="21"/>
          <w:lang w:val="en-GB"/>
        </w:rPr>
        <w:t>月</w:t>
      </w:r>
      <w:r>
        <w:rPr>
          <w:rFonts w:ascii="仿宋" w:hAnsi="仿宋" w:eastAsia="仿宋"/>
          <w:szCs w:val="21"/>
          <w:lang w:val="en-GB"/>
        </w:rPr>
        <w:t>1</w:t>
      </w:r>
      <w:r>
        <w:rPr>
          <w:rFonts w:hint="eastAsia" w:ascii="仿宋" w:hAnsi="仿宋" w:eastAsia="仿宋"/>
          <w:szCs w:val="21"/>
          <w:lang w:val="en-US" w:eastAsia="zh-CN"/>
        </w:rPr>
        <w:t>6</w:t>
      </w:r>
      <w:r>
        <w:rPr>
          <w:rFonts w:hint="eastAsia" w:ascii="仿宋" w:hAnsi="仿宋" w:eastAsia="仿宋"/>
          <w:szCs w:val="21"/>
          <w:lang w:val="en-GB"/>
        </w:rPr>
        <w:t>日至</w:t>
      </w:r>
      <w:r>
        <w:rPr>
          <w:rFonts w:hint="eastAsia" w:ascii="仿宋" w:hAnsi="仿宋" w:eastAsia="仿宋"/>
          <w:szCs w:val="21"/>
          <w:lang w:val="en-US" w:eastAsia="zh-CN"/>
        </w:rPr>
        <w:t>11</w:t>
      </w:r>
      <w:r>
        <w:rPr>
          <w:rFonts w:hint="eastAsia" w:ascii="仿宋" w:hAnsi="仿宋" w:eastAsia="仿宋"/>
          <w:szCs w:val="21"/>
          <w:lang w:val="en-GB"/>
        </w:rPr>
        <w:t>月</w:t>
      </w:r>
      <w:r>
        <w:rPr>
          <w:rFonts w:hint="eastAsia" w:ascii="仿宋" w:hAnsi="仿宋" w:eastAsia="仿宋"/>
          <w:szCs w:val="21"/>
          <w:lang w:val="en-US" w:eastAsia="zh-CN"/>
        </w:rPr>
        <w:t>3</w:t>
      </w:r>
      <w:r>
        <w:rPr>
          <w:rFonts w:hint="eastAsia" w:ascii="仿宋" w:hAnsi="仿宋" w:eastAsia="仿宋"/>
          <w:szCs w:val="21"/>
          <w:lang w:val="en-GB"/>
        </w:rPr>
        <w:t>日进行，共</w:t>
      </w:r>
      <w:r>
        <w:rPr>
          <w:rFonts w:ascii="仿宋" w:hAnsi="仿宋" w:eastAsia="仿宋"/>
          <w:szCs w:val="21"/>
          <w:lang w:val="en-GB"/>
        </w:rPr>
        <w:t>1</w:t>
      </w:r>
      <w:r>
        <w:rPr>
          <w:rFonts w:hint="eastAsia" w:ascii="仿宋" w:hAnsi="仿宋" w:eastAsia="仿宋"/>
          <w:szCs w:val="21"/>
          <w:lang w:val="en-US" w:eastAsia="zh-CN"/>
        </w:rPr>
        <w:t>6</w:t>
      </w:r>
      <w:r>
        <w:rPr>
          <w:rFonts w:hint="eastAsia" w:ascii="仿宋" w:hAnsi="仿宋" w:eastAsia="仿宋"/>
          <w:szCs w:val="21"/>
          <w:lang w:val="en-GB"/>
        </w:rPr>
        <w:t>天。</w:t>
      </w:r>
    </w:p>
    <w:tbl>
      <w:tblPr>
        <w:tblStyle w:val="5"/>
        <w:tblW w:w="87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9"/>
        <w:gridCol w:w="4245"/>
        <w:gridCol w:w="607"/>
        <w:gridCol w:w="479"/>
        <w:gridCol w:w="479"/>
        <w:gridCol w:w="479"/>
        <w:gridCol w:w="479"/>
      </w:tblGrid>
      <w:tr w14:paraId="3365D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9" w:type="dxa"/>
            <w:vMerge w:val="restart"/>
            <w:vAlign w:val="center"/>
          </w:tcPr>
          <w:p w14:paraId="07F57CB7">
            <w:pPr>
              <w:tabs>
                <w:tab w:val="left" w:pos="-720"/>
              </w:tabs>
              <w:suppressAutoHyphens/>
              <w:snapToGrid w:val="0"/>
              <w:spacing w:line="360" w:lineRule="auto"/>
              <w:jc w:val="center"/>
              <w:rPr>
                <w:rFonts w:ascii="仿宋" w:hAnsi="仿宋" w:eastAsia="仿宋" w:cs="仿宋"/>
                <w:b/>
                <w:spacing w:val="-3"/>
                <w:szCs w:val="21"/>
              </w:rPr>
            </w:pPr>
            <w:r>
              <w:rPr>
                <w:rFonts w:hint="eastAsia" w:ascii="仿宋" w:hAnsi="仿宋" w:eastAsia="仿宋" w:cs="仿宋"/>
                <w:b/>
                <w:spacing w:val="-3"/>
                <w:szCs w:val="21"/>
              </w:rPr>
              <w:t>实习方式</w:t>
            </w:r>
          </w:p>
        </w:tc>
        <w:tc>
          <w:tcPr>
            <w:tcW w:w="4245" w:type="dxa"/>
            <w:vMerge w:val="restart"/>
            <w:vAlign w:val="center"/>
          </w:tcPr>
          <w:p w14:paraId="2B4C71DE">
            <w:pPr>
              <w:tabs>
                <w:tab w:val="left" w:pos="-720"/>
              </w:tabs>
              <w:suppressAutoHyphens/>
              <w:snapToGrid w:val="0"/>
              <w:spacing w:line="360" w:lineRule="auto"/>
              <w:jc w:val="center"/>
              <w:rPr>
                <w:rFonts w:ascii="仿宋" w:hAnsi="仿宋" w:eastAsia="仿宋" w:cs="仿宋"/>
                <w:b/>
                <w:spacing w:val="-3"/>
                <w:szCs w:val="21"/>
              </w:rPr>
            </w:pPr>
            <w:r>
              <w:rPr>
                <w:rFonts w:hint="eastAsia" w:ascii="仿宋" w:hAnsi="仿宋" w:eastAsia="仿宋" w:cs="仿宋"/>
                <w:b/>
                <w:spacing w:val="-3"/>
                <w:szCs w:val="21"/>
              </w:rPr>
              <w:t>实习目的</w:t>
            </w:r>
          </w:p>
        </w:tc>
        <w:tc>
          <w:tcPr>
            <w:tcW w:w="607" w:type="dxa"/>
            <w:vMerge w:val="restart"/>
            <w:vAlign w:val="center"/>
          </w:tcPr>
          <w:p w14:paraId="0468C0AD">
            <w:pPr>
              <w:tabs>
                <w:tab w:val="left" w:pos="-720"/>
              </w:tabs>
              <w:suppressAutoHyphens/>
              <w:snapToGrid w:val="0"/>
              <w:spacing w:line="360" w:lineRule="auto"/>
              <w:jc w:val="center"/>
              <w:rPr>
                <w:rFonts w:ascii="仿宋" w:hAnsi="仿宋" w:eastAsia="仿宋" w:cs="仿宋"/>
                <w:b/>
                <w:spacing w:val="-3"/>
                <w:szCs w:val="21"/>
              </w:rPr>
            </w:pPr>
            <w:r>
              <w:rPr>
                <w:rFonts w:hint="eastAsia" w:ascii="仿宋" w:hAnsi="仿宋" w:eastAsia="仿宋" w:cs="仿宋"/>
                <w:b/>
                <w:spacing w:val="-3"/>
                <w:szCs w:val="21"/>
              </w:rPr>
              <w:t>学时</w:t>
            </w:r>
          </w:p>
        </w:tc>
        <w:tc>
          <w:tcPr>
            <w:tcW w:w="1916" w:type="dxa"/>
            <w:gridSpan w:val="4"/>
            <w:vAlign w:val="center"/>
          </w:tcPr>
          <w:p w14:paraId="39AF393A">
            <w:pPr>
              <w:tabs>
                <w:tab w:val="left" w:pos="-720"/>
              </w:tabs>
              <w:suppressAutoHyphens/>
              <w:snapToGrid w:val="0"/>
              <w:spacing w:line="360" w:lineRule="auto"/>
              <w:jc w:val="center"/>
              <w:rPr>
                <w:rFonts w:ascii="仿宋" w:hAnsi="仿宋" w:eastAsia="仿宋" w:cs="仿宋"/>
                <w:b/>
                <w:spacing w:val="-3"/>
                <w:szCs w:val="21"/>
                <w:lang w:val="en-GB"/>
              </w:rPr>
            </w:pPr>
            <w:r>
              <w:rPr>
                <w:rFonts w:hint="eastAsia" w:ascii="仿宋" w:hAnsi="仿宋" w:eastAsia="仿宋" w:cs="仿宋"/>
                <w:b/>
                <w:spacing w:val="-3"/>
                <w:szCs w:val="21"/>
                <w:lang w:val="en-GB"/>
              </w:rPr>
              <w:t>要求</w:t>
            </w:r>
          </w:p>
        </w:tc>
      </w:tr>
      <w:tr w14:paraId="1EF98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9" w:type="dxa"/>
            <w:vMerge w:val="continue"/>
          </w:tcPr>
          <w:p w14:paraId="6E1FBC22">
            <w:pPr>
              <w:tabs>
                <w:tab w:val="left" w:pos="-720"/>
              </w:tabs>
              <w:suppressAutoHyphens/>
              <w:snapToGrid w:val="0"/>
              <w:spacing w:line="360" w:lineRule="auto"/>
              <w:jc w:val="center"/>
              <w:rPr>
                <w:rFonts w:ascii="仿宋" w:hAnsi="仿宋" w:eastAsia="仿宋" w:cs="仿宋"/>
                <w:bCs/>
                <w:spacing w:val="-3"/>
                <w:szCs w:val="21"/>
                <w:lang w:val="en-GB"/>
              </w:rPr>
            </w:pPr>
          </w:p>
        </w:tc>
        <w:tc>
          <w:tcPr>
            <w:tcW w:w="4245" w:type="dxa"/>
            <w:vMerge w:val="continue"/>
          </w:tcPr>
          <w:p w14:paraId="1BC5DBAC">
            <w:pPr>
              <w:tabs>
                <w:tab w:val="left" w:pos="-720"/>
              </w:tabs>
              <w:suppressAutoHyphens/>
              <w:snapToGrid w:val="0"/>
              <w:spacing w:line="360" w:lineRule="auto"/>
              <w:jc w:val="center"/>
              <w:rPr>
                <w:rFonts w:ascii="仿宋" w:hAnsi="仿宋" w:eastAsia="仿宋" w:cs="仿宋"/>
                <w:bCs/>
                <w:spacing w:val="-3"/>
                <w:szCs w:val="21"/>
                <w:lang w:val="en-GB"/>
              </w:rPr>
            </w:pPr>
          </w:p>
        </w:tc>
        <w:tc>
          <w:tcPr>
            <w:tcW w:w="607" w:type="dxa"/>
            <w:vMerge w:val="continue"/>
          </w:tcPr>
          <w:p w14:paraId="134544DC">
            <w:pPr>
              <w:tabs>
                <w:tab w:val="left" w:pos="-720"/>
              </w:tabs>
              <w:suppressAutoHyphens/>
              <w:snapToGrid w:val="0"/>
              <w:spacing w:line="360" w:lineRule="auto"/>
              <w:jc w:val="center"/>
              <w:rPr>
                <w:rFonts w:ascii="仿宋" w:hAnsi="仿宋" w:eastAsia="仿宋" w:cs="仿宋"/>
                <w:bCs/>
                <w:spacing w:val="-3"/>
                <w:szCs w:val="21"/>
                <w:lang w:val="en-GB"/>
              </w:rPr>
            </w:pPr>
          </w:p>
        </w:tc>
        <w:tc>
          <w:tcPr>
            <w:tcW w:w="479" w:type="dxa"/>
            <w:vAlign w:val="center"/>
          </w:tcPr>
          <w:p w14:paraId="0128338D">
            <w:pPr>
              <w:adjustRightInd w:val="0"/>
              <w:snapToGrid w:val="0"/>
              <w:spacing w:line="360" w:lineRule="auto"/>
              <w:jc w:val="center"/>
              <w:rPr>
                <w:rFonts w:ascii="仿宋" w:hAnsi="仿宋" w:eastAsia="仿宋" w:cs="仿宋"/>
                <w:bCs/>
                <w:szCs w:val="21"/>
              </w:rPr>
            </w:pPr>
            <w:r>
              <w:rPr>
                <w:rFonts w:hint="eastAsia" w:ascii="仿宋" w:hAnsi="仿宋" w:eastAsia="仿宋" w:cs="仿宋"/>
                <w:bCs/>
                <w:szCs w:val="21"/>
              </w:rPr>
              <w:t>记忆</w:t>
            </w:r>
          </w:p>
        </w:tc>
        <w:tc>
          <w:tcPr>
            <w:tcW w:w="479" w:type="dxa"/>
            <w:vAlign w:val="center"/>
          </w:tcPr>
          <w:p w14:paraId="4598E18C">
            <w:pPr>
              <w:adjustRightInd w:val="0"/>
              <w:snapToGrid w:val="0"/>
              <w:spacing w:line="360" w:lineRule="auto"/>
              <w:jc w:val="center"/>
              <w:rPr>
                <w:rFonts w:ascii="仿宋" w:hAnsi="仿宋" w:eastAsia="仿宋" w:cs="仿宋"/>
                <w:bCs/>
                <w:szCs w:val="21"/>
              </w:rPr>
            </w:pPr>
            <w:r>
              <w:rPr>
                <w:rFonts w:hint="eastAsia" w:ascii="仿宋" w:hAnsi="仿宋" w:eastAsia="仿宋" w:cs="仿宋"/>
                <w:bCs/>
                <w:szCs w:val="21"/>
              </w:rPr>
              <w:t>理解</w:t>
            </w:r>
          </w:p>
        </w:tc>
        <w:tc>
          <w:tcPr>
            <w:tcW w:w="479" w:type="dxa"/>
            <w:vAlign w:val="center"/>
          </w:tcPr>
          <w:p w14:paraId="1E1B643D">
            <w:pPr>
              <w:adjustRightInd w:val="0"/>
              <w:snapToGrid w:val="0"/>
              <w:spacing w:line="360" w:lineRule="auto"/>
              <w:jc w:val="center"/>
              <w:rPr>
                <w:rFonts w:ascii="仿宋" w:hAnsi="仿宋" w:eastAsia="仿宋" w:cs="仿宋"/>
                <w:bCs/>
                <w:szCs w:val="21"/>
              </w:rPr>
            </w:pPr>
            <w:r>
              <w:rPr>
                <w:rFonts w:hint="eastAsia" w:ascii="仿宋" w:hAnsi="仿宋" w:eastAsia="仿宋" w:cs="仿宋"/>
                <w:bCs/>
                <w:szCs w:val="21"/>
              </w:rPr>
              <w:t>应用</w:t>
            </w:r>
          </w:p>
        </w:tc>
        <w:tc>
          <w:tcPr>
            <w:tcW w:w="479" w:type="dxa"/>
            <w:vAlign w:val="center"/>
          </w:tcPr>
          <w:p w14:paraId="44860BD1">
            <w:pPr>
              <w:adjustRightInd w:val="0"/>
              <w:snapToGrid w:val="0"/>
              <w:spacing w:line="360" w:lineRule="auto"/>
              <w:jc w:val="center"/>
              <w:rPr>
                <w:rFonts w:ascii="仿宋" w:hAnsi="仿宋" w:eastAsia="仿宋" w:cs="仿宋"/>
                <w:bCs/>
                <w:szCs w:val="21"/>
              </w:rPr>
            </w:pPr>
            <w:r>
              <w:rPr>
                <w:rFonts w:hint="eastAsia" w:ascii="仿宋" w:hAnsi="仿宋" w:eastAsia="仿宋" w:cs="仿宋"/>
                <w:bCs/>
                <w:szCs w:val="21"/>
              </w:rPr>
              <w:t>综合分析</w:t>
            </w:r>
          </w:p>
        </w:tc>
      </w:tr>
      <w:tr w14:paraId="26364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2029" w:type="dxa"/>
          </w:tcPr>
          <w:p w14:paraId="0886DD51">
            <w:pPr>
              <w:adjustRightInd w:val="0"/>
              <w:snapToGrid w:val="0"/>
              <w:spacing w:line="360" w:lineRule="auto"/>
              <w:jc w:val="center"/>
              <w:rPr>
                <w:rFonts w:ascii="仿宋" w:hAnsi="仿宋" w:eastAsia="仿宋" w:cs="仿宋"/>
                <w:bCs/>
                <w:szCs w:val="21"/>
              </w:rPr>
            </w:pPr>
            <w:r>
              <w:rPr>
                <w:rFonts w:hint="eastAsia" w:ascii="仿宋" w:hAnsi="仿宋" w:eastAsia="仿宋" w:cs="仿宋"/>
                <w:bCs/>
                <w:szCs w:val="21"/>
              </w:rPr>
              <w:t>线下参观学习</w:t>
            </w:r>
          </w:p>
        </w:tc>
        <w:tc>
          <w:tcPr>
            <w:tcW w:w="4245" w:type="dxa"/>
            <w:vAlign w:val="center"/>
          </w:tcPr>
          <w:p w14:paraId="7A17A31C">
            <w:pPr>
              <w:adjustRightInd w:val="0"/>
              <w:snapToGrid w:val="0"/>
              <w:spacing w:line="360" w:lineRule="auto"/>
              <w:jc w:val="center"/>
              <w:rPr>
                <w:rFonts w:ascii="仿宋" w:hAnsi="仿宋" w:eastAsia="仿宋" w:cs="仿宋"/>
                <w:bCs/>
                <w:szCs w:val="21"/>
              </w:rPr>
            </w:pPr>
            <w:r>
              <w:rPr>
                <w:rFonts w:hint="eastAsia" w:ascii="仿宋" w:hAnsi="仿宋" w:eastAsia="仿宋" w:cs="仿宋"/>
                <w:bCs/>
                <w:szCs w:val="21"/>
              </w:rPr>
              <w:t>通过参观本地企业或参加本地活动，了解本地发展情况，为学生就业做铺垫</w:t>
            </w:r>
          </w:p>
        </w:tc>
        <w:tc>
          <w:tcPr>
            <w:tcW w:w="607" w:type="dxa"/>
            <w:vAlign w:val="center"/>
          </w:tcPr>
          <w:p w14:paraId="5D94C224">
            <w:pPr>
              <w:snapToGrid w:val="0"/>
              <w:spacing w:line="360" w:lineRule="auto"/>
              <w:ind w:left="181" w:hanging="180" w:hangingChars="104"/>
              <w:jc w:val="center"/>
              <w:rPr>
                <w:rFonts w:ascii="Times New Roman" w:hAnsi="Times New Roman" w:eastAsia="仿宋" w:cs="Times New Roman"/>
                <w:bCs/>
                <w:spacing w:val="-3"/>
                <w:sz w:val="18"/>
                <w:szCs w:val="18"/>
              </w:rPr>
            </w:pPr>
            <w:r>
              <w:rPr>
                <w:rFonts w:hint="eastAsia" w:ascii="Times New Roman" w:hAnsi="Times New Roman" w:eastAsia="仿宋" w:cs="Times New Roman"/>
                <w:bCs/>
                <w:spacing w:val="-3"/>
                <w:sz w:val="18"/>
                <w:szCs w:val="18"/>
              </w:rPr>
              <w:t>16</w:t>
            </w:r>
          </w:p>
        </w:tc>
        <w:tc>
          <w:tcPr>
            <w:tcW w:w="479" w:type="dxa"/>
            <w:vAlign w:val="center"/>
          </w:tcPr>
          <w:p w14:paraId="566343FC">
            <w:pPr>
              <w:snapToGrid w:val="0"/>
              <w:spacing w:line="360" w:lineRule="auto"/>
              <w:ind w:left="212" w:hanging="212" w:hangingChars="104"/>
              <w:jc w:val="center"/>
              <w:rPr>
                <w:rFonts w:ascii="仿宋" w:hAnsi="仿宋" w:eastAsia="仿宋" w:cs="仿宋"/>
                <w:bCs/>
                <w:spacing w:val="-3"/>
                <w:szCs w:val="21"/>
                <w:lang w:val="en-GB"/>
              </w:rPr>
            </w:pPr>
          </w:p>
        </w:tc>
        <w:tc>
          <w:tcPr>
            <w:tcW w:w="479" w:type="dxa"/>
            <w:vAlign w:val="center"/>
          </w:tcPr>
          <w:p w14:paraId="0BB8032A">
            <w:pPr>
              <w:snapToGrid w:val="0"/>
              <w:spacing w:line="360" w:lineRule="auto"/>
              <w:ind w:left="212" w:hanging="212" w:hangingChars="104"/>
              <w:jc w:val="center"/>
              <w:rPr>
                <w:rFonts w:ascii="仿宋" w:hAnsi="仿宋" w:eastAsia="仿宋" w:cs="仿宋"/>
                <w:bCs/>
                <w:spacing w:val="-3"/>
                <w:szCs w:val="21"/>
                <w:lang w:val="en-GB"/>
              </w:rPr>
            </w:pPr>
          </w:p>
        </w:tc>
        <w:tc>
          <w:tcPr>
            <w:tcW w:w="479" w:type="dxa"/>
            <w:vAlign w:val="center"/>
          </w:tcPr>
          <w:p w14:paraId="3A07B909">
            <w:pPr>
              <w:snapToGrid w:val="0"/>
              <w:spacing w:line="360" w:lineRule="auto"/>
              <w:ind w:left="212" w:hanging="212" w:hangingChars="104"/>
              <w:jc w:val="center"/>
              <w:rPr>
                <w:rFonts w:ascii="仿宋" w:hAnsi="仿宋" w:eastAsia="仿宋" w:cs="仿宋"/>
                <w:bCs/>
                <w:spacing w:val="-3"/>
                <w:szCs w:val="21"/>
              </w:rPr>
            </w:pPr>
            <w:r>
              <w:rPr>
                <w:rFonts w:hint="eastAsia" w:ascii="仿宋" w:hAnsi="仿宋" w:eastAsia="仿宋" w:cs="仿宋"/>
                <w:bCs/>
                <w:spacing w:val="-3"/>
                <w:szCs w:val="21"/>
              </w:rPr>
              <w:t>√</w:t>
            </w:r>
          </w:p>
        </w:tc>
        <w:tc>
          <w:tcPr>
            <w:tcW w:w="479" w:type="dxa"/>
            <w:vAlign w:val="center"/>
          </w:tcPr>
          <w:p w14:paraId="30D89F04">
            <w:pPr>
              <w:snapToGrid w:val="0"/>
              <w:spacing w:line="360" w:lineRule="auto"/>
              <w:ind w:left="212" w:hanging="212" w:hangingChars="104"/>
              <w:jc w:val="center"/>
              <w:rPr>
                <w:rFonts w:ascii="仿宋" w:hAnsi="仿宋" w:eastAsia="仿宋" w:cs="仿宋"/>
                <w:bCs/>
                <w:spacing w:val="-3"/>
                <w:szCs w:val="21"/>
                <w:lang w:val="en-GB"/>
              </w:rPr>
            </w:pPr>
          </w:p>
        </w:tc>
      </w:tr>
      <w:tr w14:paraId="3CCBB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2029" w:type="dxa"/>
          </w:tcPr>
          <w:p w14:paraId="26425471">
            <w:pPr>
              <w:adjustRightInd w:val="0"/>
              <w:snapToGrid w:val="0"/>
              <w:spacing w:line="360" w:lineRule="auto"/>
              <w:jc w:val="center"/>
              <w:rPr>
                <w:rFonts w:ascii="仿宋" w:hAnsi="仿宋" w:eastAsia="仿宋" w:cs="仿宋"/>
                <w:bCs/>
                <w:szCs w:val="21"/>
              </w:rPr>
            </w:pPr>
            <w:r>
              <w:rPr>
                <w:rFonts w:hint="eastAsia" w:ascii="仿宋" w:hAnsi="仿宋" w:eastAsia="仿宋" w:cs="仿宋"/>
                <w:bCs/>
                <w:szCs w:val="21"/>
              </w:rPr>
              <w:t>线下讲座</w:t>
            </w:r>
          </w:p>
        </w:tc>
        <w:tc>
          <w:tcPr>
            <w:tcW w:w="4245" w:type="dxa"/>
            <w:vAlign w:val="center"/>
          </w:tcPr>
          <w:p w14:paraId="6F0BDDAB">
            <w:pPr>
              <w:adjustRightInd w:val="0"/>
              <w:snapToGrid w:val="0"/>
              <w:spacing w:line="360" w:lineRule="auto"/>
              <w:jc w:val="center"/>
              <w:rPr>
                <w:rFonts w:ascii="仿宋" w:hAnsi="仿宋" w:eastAsia="仿宋" w:cs="仿宋"/>
                <w:bCs/>
                <w:szCs w:val="21"/>
              </w:rPr>
            </w:pPr>
            <w:r>
              <w:rPr>
                <w:rFonts w:hint="eastAsia" w:ascii="仿宋" w:hAnsi="仿宋" w:eastAsia="仿宋" w:cs="仿宋"/>
                <w:bCs/>
                <w:szCs w:val="21"/>
              </w:rPr>
              <w:t>通过代课老师或企业专家为学生开展专业实践讲座</w:t>
            </w:r>
          </w:p>
        </w:tc>
        <w:tc>
          <w:tcPr>
            <w:tcW w:w="607" w:type="dxa"/>
            <w:vAlign w:val="center"/>
          </w:tcPr>
          <w:p w14:paraId="3B301050">
            <w:pPr>
              <w:snapToGrid w:val="0"/>
              <w:spacing w:line="360" w:lineRule="auto"/>
              <w:ind w:left="181" w:hanging="180" w:hangingChars="104"/>
              <w:jc w:val="center"/>
              <w:rPr>
                <w:rFonts w:ascii="Times New Roman" w:hAnsi="Times New Roman" w:eastAsia="仿宋" w:cs="Times New Roman"/>
                <w:bCs/>
                <w:spacing w:val="-3"/>
                <w:sz w:val="18"/>
                <w:szCs w:val="18"/>
              </w:rPr>
            </w:pPr>
            <w:r>
              <w:rPr>
                <w:rFonts w:hint="eastAsia" w:ascii="Times New Roman" w:hAnsi="Times New Roman" w:eastAsia="仿宋" w:cs="Times New Roman"/>
                <w:bCs/>
                <w:spacing w:val="-3"/>
                <w:sz w:val="18"/>
                <w:szCs w:val="18"/>
              </w:rPr>
              <w:t>16</w:t>
            </w:r>
          </w:p>
        </w:tc>
        <w:tc>
          <w:tcPr>
            <w:tcW w:w="479" w:type="dxa"/>
            <w:vAlign w:val="center"/>
          </w:tcPr>
          <w:p w14:paraId="17D47F1B">
            <w:pPr>
              <w:snapToGrid w:val="0"/>
              <w:spacing w:line="360" w:lineRule="auto"/>
              <w:ind w:left="212" w:hanging="212" w:hangingChars="104"/>
              <w:jc w:val="center"/>
              <w:rPr>
                <w:rFonts w:ascii="仿宋" w:hAnsi="仿宋" w:eastAsia="仿宋" w:cs="仿宋"/>
                <w:bCs/>
                <w:spacing w:val="-3"/>
                <w:szCs w:val="21"/>
                <w:lang w:val="en-GB"/>
              </w:rPr>
            </w:pPr>
          </w:p>
        </w:tc>
        <w:tc>
          <w:tcPr>
            <w:tcW w:w="479" w:type="dxa"/>
            <w:vAlign w:val="center"/>
          </w:tcPr>
          <w:p w14:paraId="26D32541">
            <w:pPr>
              <w:snapToGrid w:val="0"/>
              <w:spacing w:line="360" w:lineRule="auto"/>
              <w:ind w:left="212" w:hanging="212" w:hangingChars="104"/>
              <w:jc w:val="center"/>
              <w:rPr>
                <w:rFonts w:ascii="仿宋" w:hAnsi="仿宋" w:eastAsia="仿宋" w:cs="仿宋"/>
                <w:bCs/>
                <w:spacing w:val="-3"/>
                <w:szCs w:val="21"/>
                <w:lang w:val="en-GB"/>
              </w:rPr>
            </w:pPr>
          </w:p>
        </w:tc>
        <w:tc>
          <w:tcPr>
            <w:tcW w:w="479" w:type="dxa"/>
            <w:vAlign w:val="center"/>
          </w:tcPr>
          <w:p w14:paraId="525DB4AE">
            <w:pPr>
              <w:snapToGrid w:val="0"/>
              <w:spacing w:line="360" w:lineRule="auto"/>
              <w:ind w:left="212" w:hanging="212" w:hangingChars="104"/>
              <w:jc w:val="center"/>
              <w:rPr>
                <w:rFonts w:ascii="仿宋" w:hAnsi="仿宋" w:eastAsia="仿宋" w:cs="仿宋"/>
                <w:bCs/>
                <w:spacing w:val="-3"/>
                <w:szCs w:val="21"/>
              </w:rPr>
            </w:pPr>
            <w:r>
              <w:rPr>
                <w:rFonts w:hint="eastAsia" w:ascii="仿宋" w:hAnsi="仿宋" w:eastAsia="仿宋" w:cs="仿宋"/>
                <w:bCs/>
                <w:spacing w:val="-3"/>
                <w:szCs w:val="21"/>
              </w:rPr>
              <w:t>√</w:t>
            </w:r>
          </w:p>
        </w:tc>
        <w:tc>
          <w:tcPr>
            <w:tcW w:w="479" w:type="dxa"/>
            <w:vAlign w:val="center"/>
          </w:tcPr>
          <w:p w14:paraId="32E8FB52">
            <w:pPr>
              <w:snapToGrid w:val="0"/>
              <w:spacing w:line="360" w:lineRule="auto"/>
              <w:ind w:left="212" w:hanging="212" w:hangingChars="104"/>
              <w:jc w:val="center"/>
              <w:rPr>
                <w:rFonts w:ascii="仿宋" w:hAnsi="仿宋" w:eastAsia="仿宋" w:cs="仿宋"/>
                <w:bCs/>
                <w:spacing w:val="-3"/>
                <w:szCs w:val="21"/>
                <w:lang w:val="en-GB"/>
              </w:rPr>
            </w:pPr>
          </w:p>
        </w:tc>
      </w:tr>
    </w:tbl>
    <w:p w14:paraId="3011C617">
      <w:pPr>
        <w:rPr>
          <w:rFonts w:ascii="仿宋" w:hAnsi="仿宋" w:eastAsia="仿宋"/>
          <w:szCs w:val="21"/>
          <w:lang w:val="en-GB"/>
        </w:rPr>
      </w:pPr>
    </w:p>
    <w:p w14:paraId="44312ADB">
      <w:pPr>
        <w:rPr>
          <w:rFonts w:hint="eastAsia" w:ascii="黑体" w:hAnsi="黑体" w:eastAsia="黑体"/>
          <w:szCs w:val="21"/>
          <w:lang w:val="en-GB"/>
        </w:rPr>
      </w:pPr>
    </w:p>
    <w:p w14:paraId="03D510BC">
      <w:pPr>
        <w:rPr>
          <w:rFonts w:ascii="黑体" w:hAnsi="黑体" w:eastAsia="黑体"/>
          <w:szCs w:val="21"/>
          <w:lang w:val="en-GB"/>
        </w:rPr>
      </w:pPr>
      <w:r>
        <w:rPr>
          <w:rFonts w:hint="eastAsia" w:ascii="黑体" w:hAnsi="黑体" w:eastAsia="黑体"/>
          <w:szCs w:val="21"/>
          <w:lang w:val="en-GB"/>
        </w:rPr>
        <w:t>五、安全教育</w:t>
      </w:r>
    </w:p>
    <w:p w14:paraId="1FEFA2E3">
      <w:pPr>
        <w:ind w:firstLine="420" w:firstLineChars="200"/>
        <w:rPr>
          <w:rFonts w:ascii="仿宋" w:hAnsi="仿宋" w:eastAsia="仿宋"/>
          <w:szCs w:val="21"/>
          <w:lang w:val="en-GB"/>
        </w:rPr>
      </w:pPr>
      <w:r>
        <w:rPr>
          <w:rFonts w:hint="eastAsia" w:ascii="仿宋" w:hAnsi="仿宋" w:eastAsia="仿宋"/>
          <w:szCs w:val="21"/>
          <w:lang w:val="en-GB"/>
        </w:rPr>
        <w:t>按教师分配教室就坐、按时上课，不旷课不早退要认真听教师讲解。</w:t>
      </w:r>
    </w:p>
    <w:p w14:paraId="4748A6D8">
      <w:pPr>
        <w:rPr>
          <w:rFonts w:ascii="黑体" w:hAnsi="黑体" w:eastAsia="黑体"/>
          <w:szCs w:val="21"/>
          <w:lang w:val="en-GB"/>
        </w:rPr>
      </w:pPr>
      <w:r>
        <w:rPr>
          <w:rFonts w:hint="eastAsia" w:ascii="黑体" w:hAnsi="黑体" w:eastAsia="黑体"/>
          <w:szCs w:val="21"/>
          <w:lang w:val="en-GB"/>
        </w:rPr>
        <w:t>六、考核方式</w:t>
      </w:r>
    </w:p>
    <w:p w14:paraId="49359824">
      <w:pPr>
        <w:ind w:firstLine="420" w:firstLineChars="200"/>
        <w:rPr>
          <w:rFonts w:ascii="仿宋" w:hAnsi="仿宋" w:eastAsia="仿宋"/>
          <w:szCs w:val="21"/>
        </w:rPr>
      </w:pPr>
      <w:r>
        <w:rPr>
          <w:rFonts w:hint="eastAsia" w:ascii="仿宋" w:hAnsi="仿宋" w:eastAsia="仿宋"/>
          <w:szCs w:val="21"/>
        </w:rPr>
        <w:t>出勤占总成绩</w:t>
      </w:r>
      <w:r>
        <w:rPr>
          <w:rFonts w:ascii="仿宋" w:hAnsi="仿宋" w:eastAsia="仿宋"/>
          <w:szCs w:val="21"/>
        </w:rPr>
        <w:t>10</w:t>
      </w:r>
      <w:r>
        <w:rPr>
          <w:rFonts w:hint="eastAsia" w:ascii="仿宋" w:hAnsi="仿宋" w:eastAsia="仿宋"/>
          <w:szCs w:val="21"/>
        </w:rPr>
        <w:t>%</w:t>
      </w:r>
      <w:r>
        <w:rPr>
          <w:rFonts w:hint="eastAsia" w:ascii="仿宋" w:hAnsi="仿宋" w:eastAsia="仿宋"/>
          <w:szCs w:val="21"/>
          <w:lang w:eastAsia="zh-CN"/>
        </w:rPr>
        <w:t>，</w:t>
      </w:r>
      <w:r>
        <w:rPr>
          <w:rFonts w:hint="eastAsia" w:ascii="仿宋" w:hAnsi="仿宋" w:eastAsia="仿宋"/>
          <w:szCs w:val="21"/>
          <w:lang w:val="en-US" w:eastAsia="zh-CN"/>
        </w:rPr>
        <w:t>过程</w:t>
      </w:r>
      <w:r>
        <w:rPr>
          <w:rFonts w:hint="eastAsia" w:ascii="仿宋" w:hAnsi="仿宋" w:eastAsia="仿宋"/>
          <w:szCs w:val="21"/>
        </w:rPr>
        <w:t>成绩占总成绩的</w:t>
      </w:r>
      <w:r>
        <w:rPr>
          <w:rFonts w:hint="eastAsia" w:ascii="仿宋" w:hAnsi="仿宋" w:eastAsia="仿宋"/>
          <w:szCs w:val="21"/>
          <w:lang w:val="en-US" w:eastAsia="zh-CN"/>
        </w:rPr>
        <w:t>3</w:t>
      </w:r>
      <w:r>
        <w:rPr>
          <w:rFonts w:ascii="仿宋" w:hAnsi="仿宋" w:eastAsia="仿宋"/>
          <w:szCs w:val="21"/>
        </w:rPr>
        <w:t>0</w:t>
      </w:r>
      <w:r>
        <w:rPr>
          <w:rFonts w:hint="eastAsia" w:ascii="仿宋" w:hAnsi="仿宋" w:eastAsia="仿宋"/>
          <w:szCs w:val="21"/>
        </w:rPr>
        <w:t>%，最终报告成绩占总成绩的</w:t>
      </w:r>
      <w:r>
        <w:rPr>
          <w:rFonts w:hint="eastAsia" w:ascii="仿宋" w:hAnsi="仿宋" w:eastAsia="仿宋"/>
          <w:szCs w:val="21"/>
          <w:lang w:val="en-US" w:eastAsia="zh-CN"/>
        </w:rPr>
        <w:t>60</w:t>
      </w:r>
      <w:r>
        <w:rPr>
          <w:rFonts w:hint="eastAsia" w:ascii="仿宋" w:hAnsi="仿宋" w:eastAsia="仿宋"/>
          <w:szCs w:val="21"/>
        </w:rPr>
        <w:t>%。</w:t>
      </w:r>
    </w:p>
    <w:p w14:paraId="281A7798">
      <w:pPr>
        <w:ind w:firstLine="420" w:firstLineChars="200"/>
        <w:rPr>
          <w:rFonts w:ascii="仿宋" w:hAnsi="仿宋" w:eastAsia="仿宋"/>
          <w:szCs w:val="21"/>
        </w:rPr>
      </w:pPr>
      <w:r>
        <w:rPr>
          <w:rFonts w:hint="eastAsia" w:ascii="仿宋" w:hAnsi="仿宋" w:eastAsia="仿宋"/>
          <w:szCs w:val="21"/>
        </w:rPr>
        <w:t>结合认知实习和讲座内容，选择其中一个方向，进行深入研究分析（现状、问题、建议等），以</w:t>
      </w:r>
      <w:r>
        <w:rPr>
          <w:rFonts w:ascii="仿宋" w:hAnsi="仿宋" w:eastAsia="仿宋"/>
          <w:szCs w:val="21"/>
        </w:rPr>
        <w:t>3</w:t>
      </w:r>
      <w:r>
        <w:rPr>
          <w:rFonts w:hint="eastAsia" w:ascii="仿宋" w:hAnsi="仿宋" w:eastAsia="仿宋"/>
          <w:szCs w:val="21"/>
        </w:rPr>
        <w:t>-</w:t>
      </w:r>
      <w:r>
        <w:rPr>
          <w:rFonts w:ascii="仿宋" w:hAnsi="仿宋" w:eastAsia="仿宋"/>
          <w:szCs w:val="21"/>
        </w:rPr>
        <w:t>4</w:t>
      </w:r>
      <w:r>
        <w:rPr>
          <w:rFonts w:hint="eastAsia" w:ascii="仿宋" w:hAnsi="仿宋" w:eastAsia="仿宋"/>
          <w:szCs w:val="21"/>
        </w:rPr>
        <w:t>位同学为一个小组，采取分工合作的方式，撰写一份课程报告</w:t>
      </w:r>
      <w:r>
        <w:rPr>
          <w:rFonts w:hint="eastAsia" w:ascii="仿宋" w:hAnsi="仿宋" w:eastAsia="仿宋"/>
          <w:szCs w:val="21"/>
          <w:lang w:eastAsia="zh-CN"/>
        </w:rPr>
        <w:t>（</w:t>
      </w:r>
      <w:r>
        <w:rPr>
          <w:rFonts w:hint="eastAsia" w:ascii="仿宋" w:hAnsi="仿宋" w:eastAsia="仿宋"/>
          <w:szCs w:val="21"/>
          <w:lang w:val="en-US" w:eastAsia="zh-CN"/>
        </w:rPr>
        <w:t>占20%</w:t>
      </w:r>
      <w:r>
        <w:rPr>
          <w:rFonts w:hint="eastAsia" w:ascii="仿宋" w:hAnsi="仿宋" w:eastAsia="仿宋"/>
          <w:szCs w:val="21"/>
          <w:lang w:eastAsia="zh-CN"/>
        </w:rPr>
        <w:t>）</w:t>
      </w:r>
      <w:r>
        <w:rPr>
          <w:rFonts w:hint="eastAsia" w:ascii="仿宋" w:hAnsi="仿宋" w:eastAsia="仿宋"/>
          <w:szCs w:val="21"/>
        </w:rPr>
        <w:t>。</w:t>
      </w:r>
    </w:p>
    <w:p w14:paraId="1A6AC5E2">
      <w:pPr>
        <w:rPr>
          <w:rFonts w:hint="default" w:ascii="仿宋" w:hAnsi="仿宋" w:eastAsia="仿宋"/>
          <w:szCs w:val="21"/>
          <w:lang w:val="en-US" w:eastAsia="zh-CN"/>
        </w:rPr>
      </w:pPr>
      <w:r>
        <w:rPr>
          <w:rFonts w:hint="eastAsia" w:ascii="仿宋" w:hAnsi="仿宋" w:eastAsia="仿宋"/>
          <w:szCs w:val="21"/>
          <w:lang w:val="en-US" w:eastAsia="zh-CN"/>
        </w:rPr>
        <w:t xml:space="preserve">   </w:t>
      </w:r>
      <w:r>
        <w:rPr>
          <w:rFonts w:hint="eastAsia" w:ascii="仿宋" w:hAnsi="仿宋" w:eastAsia="仿宋"/>
          <w:szCs w:val="21"/>
        </w:rPr>
        <w:t>撰写一篇关于经济类就业调研类短文，需要包含某行业的就业情况，还需要包含对于自己能力和就业匹配度的分析，字数不少于1500字</w:t>
      </w:r>
      <w:r>
        <w:rPr>
          <w:rFonts w:hint="eastAsia" w:ascii="仿宋" w:hAnsi="仿宋" w:eastAsia="仿宋"/>
          <w:szCs w:val="21"/>
          <w:lang w:eastAsia="zh-CN"/>
        </w:rPr>
        <w:t>（</w:t>
      </w:r>
      <w:r>
        <w:rPr>
          <w:rFonts w:hint="eastAsia" w:ascii="仿宋" w:hAnsi="仿宋" w:eastAsia="仿宋"/>
          <w:szCs w:val="21"/>
          <w:lang w:val="en-US" w:eastAsia="zh-CN"/>
        </w:rPr>
        <w:t>10%</w:t>
      </w:r>
      <w:r>
        <w:rPr>
          <w:rFonts w:hint="eastAsia" w:ascii="仿宋" w:hAnsi="仿宋" w:eastAsia="仿宋"/>
          <w:szCs w:val="21"/>
          <w:lang w:eastAsia="zh-CN"/>
        </w:rPr>
        <w:t>）</w:t>
      </w:r>
      <w:r>
        <w:rPr>
          <w:rFonts w:hint="eastAsia" w:ascii="仿宋" w:hAnsi="仿宋" w:eastAsia="仿宋"/>
          <w:szCs w:val="21"/>
        </w:rPr>
        <w:t>。</w:t>
      </w:r>
    </w:p>
    <w:p w14:paraId="0D362368">
      <w:pPr>
        <w:ind w:firstLine="420" w:firstLineChars="200"/>
        <w:rPr>
          <w:rFonts w:ascii="仿宋" w:hAnsi="仿宋" w:eastAsia="仿宋"/>
          <w:szCs w:val="21"/>
        </w:rPr>
      </w:pPr>
      <w:r>
        <w:rPr>
          <w:rFonts w:hint="eastAsia" w:ascii="仿宋" w:hAnsi="仿宋" w:eastAsia="仿宋"/>
          <w:szCs w:val="21"/>
        </w:rPr>
        <w:t>具体要求：</w:t>
      </w:r>
    </w:p>
    <w:p w14:paraId="70F8F803">
      <w:pPr>
        <w:ind w:firstLine="420" w:firstLineChars="200"/>
        <w:rPr>
          <w:rFonts w:ascii="仿宋" w:hAnsi="仿宋" w:eastAsia="仿宋"/>
          <w:szCs w:val="21"/>
        </w:rPr>
      </w:pPr>
      <w:r>
        <w:rPr>
          <w:rFonts w:hint="eastAsia" w:ascii="仿宋" w:hAnsi="仿宋" w:eastAsia="仿宋"/>
          <w:szCs w:val="21"/>
        </w:rPr>
        <w:t>1、统一采用老师发的课程报告封面（电子版）；标题和内容分别为宋体四号和小四号，行间距为1.5倍；图表格式规范；封面单面打印，内容双面打印；</w:t>
      </w:r>
    </w:p>
    <w:p w14:paraId="1A4F83E0">
      <w:pPr>
        <w:ind w:firstLine="420" w:firstLineChars="200"/>
        <w:rPr>
          <w:rFonts w:ascii="仿宋" w:hAnsi="仿宋" w:eastAsia="仿宋"/>
          <w:szCs w:val="21"/>
        </w:rPr>
      </w:pPr>
      <w:r>
        <w:rPr>
          <w:rFonts w:hint="eastAsia" w:ascii="仿宋" w:hAnsi="仿宋" w:eastAsia="仿宋"/>
          <w:szCs w:val="21"/>
        </w:rPr>
        <w:t>2、结构和层次分明、逻辑清晰，语言通顺、观点鲜明，体现较好的专业素养；</w:t>
      </w:r>
    </w:p>
    <w:p w14:paraId="7782FAB8">
      <w:pPr>
        <w:ind w:firstLine="420" w:firstLineChars="200"/>
        <w:rPr>
          <w:rFonts w:ascii="仿宋" w:hAnsi="仿宋" w:eastAsia="仿宋"/>
          <w:szCs w:val="21"/>
        </w:rPr>
      </w:pPr>
      <w:r>
        <w:rPr>
          <w:rFonts w:hint="eastAsia" w:ascii="仿宋" w:hAnsi="仿宋" w:eastAsia="仿宋"/>
          <w:szCs w:val="21"/>
        </w:rPr>
        <w:t>3、内容充实、论证充分、结论正确，如有文献引用注明出处；</w:t>
      </w:r>
    </w:p>
    <w:p w14:paraId="76D95695">
      <w:pPr>
        <w:ind w:firstLine="420" w:firstLineChars="200"/>
        <w:rPr>
          <w:rFonts w:ascii="仿宋" w:hAnsi="仿宋" w:eastAsia="仿宋"/>
          <w:szCs w:val="21"/>
        </w:rPr>
      </w:pPr>
      <w:r>
        <w:rPr>
          <w:rFonts w:hint="eastAsia" w:ascii="仿宋" w:hAnsi="仿宋" w:eastAsia="仿宋"/>
          <w:szCs w:val="21"/>
        </w:rPr>
        <w:t>4、报告字数不少于</w:t>
      </w:r>
      <w:r>
        <w:rPr>
          <w:rFonts w:hint="eastAsia" w:ascii="仿宋" w:hAnsi="仿宋" w:eastAsia="仿宋"/>
          <w:szCs w:val="21"/>
          <w:lang w:val="en-US" w:eastAsia="zh-CN"/>
        </w:rPr>
        <w:t>3</w:t>
      </w:r>
      <w:r>
        <w:rPr>
          <w:rFonts w:ascii="仿宋" w:hAnsi="仿宋" w:eastAsia="仿宋"/>
          <w:szCs w:val="21"/>
        </w:rPr>
        <w:t>000</w:t>
      </w:r>
      <w:r>
        <w:rPr>
          <w:rFonts w:hint="eastAsia" w:ascii="仿宋" w:hAnsi="仿宋" w:eastAsia="仿宋"/>
          <w:szCs w:val="21"/>
        </w:rPr>
        <w:t>字。</w:t>
      </w:r>
    </w:p>
    <w:p w14:paraId="0ADB8825">
      <w:pPr>
        <w:rPr>
          <w:rFonts w:ascii="黑体" w:hAnsi="黑体" w:eastAsia="黑体"/>
          <w:szCs w:val="21"/>
          <w:lang w:val="en-GB"/>
        </w:rPr>
      </w:pPr>
      <w:r>
        <w:rPr>
          <w:rFonts w:hint="eastAsia" w:ascii="黑体" w:hAnsi="黑体" w:eastAsia="黑体"/>
          <w:szCs w:val="21"/>
          <w:lang w:val="en-GB"/>
        </w:rPr>
        <w:t>七、教材与参考书</w:t>
      </w:r>
    </w:p>
    <w:p w14:paraId="2302AA37">
      <w:pPr>
        <w:ind w:firstLine="420" w:firstLineChars="200"/>
        <w:rPr>
          <w:rFonts w:ascii="仿宋" w:hAnsi="仿宋" w:eastAsia="仿宋"/>
          <w:szCs w:val="21"/>
        </w:rPr>
      </w:pPr>
      <w:r>
        <w:rPr>
          <w:rFonts w:hint="eastAsia" w:ascii="仿宋" w:hAnsi="仿宋" w:eastAsia="仿宋"/>
          <w:szCs w:val="21"/>
        </w:rPr>
        <w:t>暂无。</w:t>
      </w:r>
    </w:p>
    <w:p w14:paraId="3848D15A">
      <w:pPr>
        <w:ind w:firstLine="420" w:firstLineChars="200"/>
        <w:rPr>
          <w:rFonts w:ascii="仿宋" w:hAnsi="仿宋" w:eastAsia="仿宋"/>
          <w:szCs w:val="21"/>
          <w:lang w:val="en-GB"/>
        </w:rPr>
      </w:pPr>
    </w:p>
    <w:p w14:paraId="5C944D93">
      <w:pPr>
        <w:ind w:firstLine="420" w:firstLineChars="200"/>
        <w:rPr>
          <w:rFonts w:ascii="仿宋" w:hAnsi="仿宋" w:eastAsia="仿宋"/>
          <w:szCs w:val="21"/>
          <w:lang w:val="en-GB"/>
        </w:rPr>
      </w:pPr>
    </w:p>
    <w:tbl>
      <w:tblPr>
        <w:tblStyle w:val="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8"/>
        <w:gridCol w:w="3316"/>
      </w:tblGrid>
      <w:tr w14:paraId="49B29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4070DF1D">
            <w:pPr>
              <w:rPr>
                <w:rFonts w:ascii="黑体" w:hAnsi="黑体" w:eastAsia="黑体"/>
                <w:szCs w:val="21"/>
                <w:lang w:val="en-GB"/>
              </w:rPr>
            </w:pPr>
          </w:p>
        </w:tc>
        <w:tc>
          <w:tcPr>
            <w:tcW w:w="3316" w:type="dxa"/>
            <w:vAlign w:val="center"/>
          </w:tcPr>
          <w:p w14:paraId="452C25CA">
            <w:pPr>
              <w:rPr>
                <w:rFonts w:hint="default" w:ascii="黑体" w:hAnsi="黑体" w:eastAsia="仿宋"/>
                <w:szCs w:val="21"/>
                <w:lang w:val="en-US" w:eastAsia="zh-CN"/>
              </w:rPr>
            </w:pPr>
            <w:r>
              <w:rPr>
                <w:rFonts w:hint="eastAsia" w:ascii="仿宋" w:hAnsi="仿宋" w:eastAsia="仿宋"/>
                <w:szCs w:val="21"/>
                <w:lang w:val="en-GB"/>
              </w:rPr>
              <w:t>制定人：（课程</w:t>
            </w:r>
            <w:r>
              <w:rPr>
                <w:rFonts w:ascii="仿宋" w:hAnsi="仿宋" w:eastAsia="仿宋"/>
                <w:szCs w:val="21"/>
                <w:lang w:val="en-GB"/>
              </w:rPr>
              <w:t>负责人</w:t>
            </w:r>
            <w:r>
              <w:rPr>
                <w:rFonts w:hint="eastAsia" w:ascii="仿宋" w:hAnsi="仿宋" w:eastAsia="仿宋"/>
                <w:szCs w:val="21"/>
                <w:lang w:val="en-GB"/>
              </w:rPr>
              <w:t>）</w:t>
            </w:r>
            <w:r>
              <w:rPr>
                <w:rFonts w:hint="eastAsia" w:ascii="仿宋" w:hAnsi="仿宋" w:eastAsia="仿宋"/>
                <w:szCs w:val="21"/>
                <w:lang w:val="en-US" w:eastAsia="zh-CN"/>
              </w:rPr>
              <w:t>王其猛 陈可悦</w:t>
            </w:r>
          </w:p>
        </w:tc>
      </w:tr>
      <w:tr w14:paraId="5C368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625C4BFD">
            <w:pPr>
              <w:rPr>
                <w:rFonts w:ascii="黑体" w:hAnsi="黑体" w:eastAsia="黑体"/>
                <w:szCs w:val="21"/>
                <w:lang w:val="en-GB"/>
              </w:rPr>
            </w:pPr>
          </w:p>
        </w:tc>
        <w:tc>
          <w:tcPr>
            <w:tcW w:w="3316" w:type="dxa"/>
            <w:vAlign w:val="center"/>
          </w:tcPr>
          <w:p w14:paraId="09DC1C4E">
            <w:pPr>
              <w:rPr>
                <w:rFonts w:ascii="仿宋" w:hAnsi="仿宋" w:eastAsia="仿宋"/>
                <w:szCs w:val="21"/>
              </w:rPr>
            </w:pPr>
            <w:r>
              <w:rPr>
                <w:rFonts w:hint="eastAsia" w:ascii="仿宋" w:hAnsi="仿宋" w:eastAsia="仿宋"/>
                <w:szCs w:val="21"/>
                <w:lang w:val="en-GB"/>
              </w:rPr>
              <w:t>审核人</w:t>
            </w:r>
            <w:r>
              <w:rPr>
                <w:rFonts w:ascii="仿宋" w:hAnsi="仿宋" w:eastAsia="仿宋"/>
                <w:szCs w:val="21"/>
                <w:lang w:val="en-GB"/>
              </w:rPr>
              <w:t>：（</w:t>
            </w:r>
            <w:r>
              <w:rPr>
                <w:rFonts w:hint="eastAsia" w:ascii="仿宋" w:hAnsi="仿宋" w:eastAsia="仿宋"/>
                <w:szCs w:val="21"/>
                <w:lang w:val="en-GB"/>
              </w:rPr>
              <w:t>开课系主任</w:t>
            </w:r>
            <w:r>
              <w:rPr>
                <w:rFonts w:ascii="仿宋" w:hAnsi="仿宋" w:eastAsia="仿宋"/>
                <w:szCs w:val="21"/>
                <w:lang w:val="en-GB"/>
              </w:rPr>
              <w:t>）</w:t>
            </w:r>
            <w:r>
              <w:rPr>
                <w:rFonts w:hint="eastAsia" w:ascii="仿宋" w:hAnsi="仿宋" w:eastAsia="仿宋"/>
                <w:szCs w:val="21"/>
                <w:lang w:val="en-GB"/>
              </w:rPr>
              <w:t>张海霞</w:t>
            </w:r>
          </w:p>
        </w:tc>
      </w:tr>
      <w:tr w14:paraId="3E4CA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32A58257">
            <w:pPr>
              <w:rPr>
                <w:rFonts w:ascii="黑体" w:hAnsi="黑体" w:eastAsia="黑体"/>
                <w:szCs w:val="21"/>
                <w:lang w:val="en-GB"/>
              </w:rPr>
            </w:pPr>
          </w:p>
        </w:tc>
        <w:tc>
          <w:tcPr>
            <w:tcW w:w="3316" w:type="dxa"/>
            <w:vAlign w:val="center"/>
          </w:tcPr>
          <w:p w14:paraId="12861E7F">
            <w:pPr>
              <w:rPr>
                <w:rFonts w:ascii="仿宋" w:hAnsi="仿宋" w:eastAsia="仿宋"/>
                <w:szCs w:val="21"/>
                <w:lang w:val="en-GB"/>
              </w:rPr>
            </w:pPr>
            <w:r>
              <w:rPr>
                <w:rFonts w:hint="eastAsia" w:ascii="仿宋" w:hAnsi="仿宋" w:eastAsia="仿宋"/>
                <w:szCs w:val="21"/>
                <w:lang w:val="en-GB"/>
              </w:rPr>
              <w:t>制（修）订时间：</w:t>
            </w:r>
            <w:r>
              <w:rPr>
                <w:rFonts w:ascii="仿宋" w:hAnsi="仿宋" w:eastAsia="仿宋"/>
                <w:szCs w:val="21"/>
                <w:lang w:val="en-GB"/>
              </w:rPr>
              <w:t xml:space="preserve"> 2024</w:t>
            </w:r>
            <w:r>
              <w:rPr>
                <w:rFonts w:hint="eastAsia" w:ascii="仿宋" w:hAnsi="仿宋" w:eastAsia="仿宋"/>
                <w:szCs w:val="21"/>
                <w:lang w:val="en-GB"/>
              </w:rPr>
              <w:t xml:space="preserve">年 </w:t>
            </w:r>
            <w:r>
              <w:rPr>
                <w:rFonts w:ascii="仿宋" w:hAnsi="仿宋" w:eastAsia="仿宋"/>
                <w:szCs w:val="21"/>
                <w:lang w:val="en-GB"/>
              </w:rPr>
              <w:t xml:space="preserve"> 6 </w:t>
            </w:r>
            <w:r>
              <w:rPr>
                <w:rFonts w:hint="eastAsia" w:ascii="仿宋" w:hAnsi="仿宋" w:eastAsia="仿宋"/>
                <w:szCs w:val="21"/>
                <w:lang w:val="en-GB"/>
              </w:rPr>
              <w:t>月</w:t>
            </w:r>
          </w:p>
        </w:tc>
      </w:tr>
    </w:tbl>
    <w:p w14:paraId="1EC69FDA">
      <w:pPr>
        <w:widowControl/>
        <w:jc w:val="left"/>
        <w:rPr>
          <w:rFonts w:ascii="仿宋" w:hAnsi="仿宋" w:eastAsia="仿宋"/>
          <w:szCs w:val="21"/>
        </w:rPr>
      </w:pPr>
      <w:r>
        <w:rPr>
          <w:rFonts w:ascii="仿宋" w:hAnsi="仿宋" w:eastAsia="仿宋"/>
          <w:szCs w:val="21"/>
        </w:rPr>
        <w:br w:type="page"/>
      </w:r>
    </w:p>
    <w:p w14:paraId="44EF41AA">
      <w:pPr>
        <w:jc w:val="center"/>
        <w:rPr>
          <w:rFonts w:ascii="Times New Roman" w:hAnsi="Times New Roman" w:eastAsia="黑体" w:cs="Times New Roman"/>
          <w:b/>
          <w:sz w:val="32"/>
          <w:szCs w:val="21"/>
          <w:lang w:val="en-GB"/>
        </w:rPr>
      </w:pPr>
      <w:r>
        <w:rPr>
          <w:rFonts w:ascii="Times New Roman" w:hAnsi="Times New Roman" w:eastAsia="黑体" w:cs="Times New Roman"/>
          <w:b/>
          <w:sz w:val="32"/>
          <w:szCs w:val="21"/>
          <w:lang w:val="en-GB"/>
        </w:rPr>
        <w:t>《Financial Professional Cognition Internship》Syllabus</w:t>
      </w:r>
    </w:p>
    <w:p w14:paraId="29B6FDF0">
      <w:pPr>
        <w:rPr>
          <w:rFonts w:ascii="Times New Roman" w:hAnsi="Times New Roman" w:eastAsia="黑体" w:cs="Times New Roman"/>
          <w:b/>
          <w:szCs w:val="21"/>
          <w:lang w:val="en-GB"/>
        </w:rPr>
      </w:pPr>
      <w:r>
        <w:rPr>
          <w:rFonts w:ascii="Times New Roman" w:hAnsi="Times New Roman" w:eastAsia="黑体" w:cs="Times New Roman"/>
          <w:b/>
          <w:szCs w:val="21"/>
          <w:lang w:val="en-GB"/>
        </w:rPr>
        <w:t>I. Basic Information</w:t>
      </w:r>
    </w:p>
    <w:tbl>
      <w:tblPr>
        <w:tblStyle w:val="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57E23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6C38983B">
            <w:pPr>
              <w:rPr>
                <w:rFonts w:ascii="Times New Roman" w:hAnsi="Times New Roman" w:eastAsia="黑体" w:cs="Times New Roman"/>
                <w:szCs w:val="21"/>
                <w:lang w:val="en-GB"/>
              </w:rPr>
            </w:pPr>
            <w:r>
              <w:rPr>
                <w:rFonts w:ascii="Times New Roman" w:hAnsi="Times New Roman" w:cs="Times New Roman"/>
              </w:rPr>
              <w:t xml:space="preserve">Course Name: </w:t>
            </w:r>
            <w:r>
              <w:rPr>
                <w:rFonts w:ascii="仿宋" w:hAnsi="仿宋" w:eastAsia="仿宋"/>
                <w:color w:val="FF0000"/>
                <w:szCs w:val="21"/>
              </w:rPr>
              <w:t>Professional Internship</w:t>
            </w:r>
          </w:p>
        </w:tc>
        <w:tc>
          <w:tcPr>
            <w:tcW w:w="3969" w:type="dxa"/>
            <w:vAlign w:val="center"/>
          </w:tcPr>
          <w:p w14:paraId="52350A8A">
            <w:pPr>
              <w:rPr>
                <w:rFonts w:ascii="Times New Roman" w:hAnsi="Times New Roman" w:eastAsia="黑体" w:cs="Times New Roman"/>
                <w:szCs w:val="21"/>
                <w:lang w:val="en-GB"/>
              </w:rPr>
            </w:pPr>
            <w:r>
              <w:rPr>
                <w:rFonts w:ascii="Times New Roman" w:hAnsi="Times New Roman" w:eastAsia="仿宋" w:cs="Times New Roman"/>
                <w:szCs w:val="21"/>
                <w:lang w:val="en-GB"/>
              </w:rPr>
              <w:t xml:space="preserve">Name in Chinese: </w:t>
            </w:r>
            <w:r>
              <w:rPr>
                <w:rFonts w:hint="eastAsia" w:ascii="Times New Roman" w:hAnsi="Times New Roman" w:eastAsia="仿宋" w:cs="Times New Roman"/>
                <w:szCs w:val="21"/>
                <w:lang w:val="en-GB"/>
              </w:rPr>
              <w:t>专业实习</w:t>
            </w:r>
          </w:p>
        </w:tc>
      </w:tr>
      <w:tr w14:paraId="6563C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1CF4EA2A">
            <w:pPr>
              <w:rPr>
                <w:rFonts w:ascii="Times New Roman" w:hAnsi="Times New Roman" w:eastAsia="黑体" w:cs="Times New Roman"/>
                <w:szCs w:val="21"/>
                <w:lang w:val="en-GB"/>
              </w:rPr>
            </w:pPr>
            <w:r>
              <w:rPr>
                <w:rFonts w:ascii="Times New Roman" w:hAnsi="Times New Roman" w:cs="Times New Roman"/>
              </w:rPr>
              <w:t>Course No.: 160719P018</w:t>
            </w:r>
          </w:p>
        </w:tc>
        <w:tc>
          <w:tcPr>
            <w:tcW w:w="3969" w:type="dxa"/>
            <w:vAlign w:val="center"/>
          </w:tcPr>
          <w:p w14:paraId="7AC7FDE2">
            <w:pPr>
              <w:rPr>
                <w:rFonts w:ascii="Times New Roman" w:hAnsi="Times New Roman" w:eastAsia="黑体" w:cs="Times New Roman"/>
                <w:szCs w:val="21"/>
                <w:lang w:val="en-GB"/>
              </w:rPr>
            </w:pPr>
            <w:r>
              <w:rPr>
                <w:rFonts w:ascii="Times New Roman" w:hAnsi="Times New Roman" w:cs="Times New Roman"/>
              </w:rPr>
              <w:t>Total Credits: 2</w:t>
            </w:r>
          </w:p>
        </w:tc>
      </w:tr>
      <w:tr w14:paraId="6F889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3F3834A3">
            <w:pPr>
              <w:rPr>
                <w:rFonts w:ascii="Times New Roman" w:hAnsi="Times New Roman" w:eastAsia="黑体" w:cs="Times New Roman"/>
                <w:szCs w:val="21"/>
                <w:lang w:val="en-GB"/>
              </w:rPr>
            </w:pPr>
            <w:r>
              <w:rPr>
                <w:rFonts w:ascii="Times New Roman" w:hAnsi="Times New Roman" w:cs="Times New Roman"/>
              </w:rPr>
              <w:t xml:space="preserve">Total Hours: 2 </w:t>
            </w:r>
            <w:r>
              <w:rPr>
                <w:rFonts w:hint="eastAsia" w:ascii="Times New Roman" w:hAnsi="Times New Roman" w:cs="Times New Roman"/>
              </w:rPr>
              <w:t>weeks</w:t>
            </w:r>
          </w:p>
        </w:tc>
        <w:tc>
          <w:tcPr>
            <w:tcW w:w="3969" w:type="dxa"/>
            <w:vAlign w:val="center"/>
          </w:tcPr>
          <w:p w14:paraId="6A483791">
            <w:pPr>
              <w:rPr>
                <w:rFonts w:ascii="Times New Roman" w:hAnsi="Times New Roman" w:eastAsia="黑体" w:cs="Times New Roman"/>
                <w:szCs w:val="21"/>
                <w:lang w:val="en-GB"/>
              </w:rPr>
            </w:pPr>
            <w:r>
              <w:rPr>
                <w:rFonts w:ascii="Times New Roman" w:hAnsi="Times New Roman" w:eastAsia="黑体" w:cs="Times New Roman"/>
                <w:szCs w:val="21"/>
                <w:lang w:val="en-GB"/>
              </w:rPr>
              <w:t>Lecture Hours: 0</w:t>
            </w:r>
          </w:p>
        </w:tc>
      </w:tr>
      <w:tr w14:paraId="7A3E9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65A8C49B">
            <w:pPr>
              <w:rPr>
                <w:rFonts w:ascii="Times New Roman" w:hAnsi="Times New Roman" w:eastAsia="黑体" w:cs="Times New Roman"/>
                <w:szCs w:val="21"/>
                <w:lang w:val="en-GB"/>
              </w:rPr>
            </w:pPr>
            <w:r>
              <w:rPr>
                <w:rFonts w:ascii="Times New Roman" w:hAnsi="Times New Roman" w:cs="Times New Roman"/>
              </w:rPr>
              <w:t xml:space="preserve">Lab Hours: 2 </w:t>
            </w:r>
            <w:r>
              <w:rPr>
                <w:rFonts w:hint="eastAsia" w:ascii="Times New Roman" w:hAnsi="Times New Roman" w:cs="Times New Roman"/>
              </w:rPr>
              <w:t>weeks</w:t>
            </w:r>
          </w:p>
        </w:tc>
        <w:tc>
          <w:tcPr>
            <w:tcW w:w="3969" w:type="dxa"/>
            <w:vAlign w:val="center"/>
          </w:tcPr>
          <w:p w14:paraId="168B54BD">
            <w:pPr>
              <w:rPr>
                <w:rFonts w:ascii="Times New Roman" w:hAnsi="Times New Roman" w:eastAsia="黑体" w:cs="Times New Roman"/>
                <w:szCs w:val="21"/>
                <w:lang w:val="en-GB"/>
              </w:rPr>
            </w:pPr>
            <w:r>
              <w:rPr>
                <w:rFonts w:ascii="Times New Roman" w:hAnsi="Times New Roman" w:cs="Times New Roman"/>
              </w:rPr>
              <w:t>Computer Lab Hours: 0</w:t>
            </w:r>
          </w:p>
        </w:tc>
      </w:tr>
      <w:tr w14:paraId="1361B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4E03BE57">
            <w:pPr>
              <w:rPr>
                <w:rFonts w:ascii="Times New Roman" w:hAnsi="Times New Roman" w:eastAsia="黑体" w:cs="Times New Roman"/>
                <w:szCs w:val="21"/>
                <w:lang w:val="en-GB"/>
              </w:rPr>
            </w:pPr>
            <w:r>
              <w:rPr>
                <w:rFonts w:ascii="Times New Roman" w:hAnsi="Times New Roman" w:cs="Times New Roman"/>
              </w:rPr>
              <w:t>Offering College: College of Business Administration</w:t>
            </w:r>
          </w:p>
        </w:tc>
        <w:tc>
          <w:tcPr>
            <w:tcW w:w="3969" w:type="dxa"/>
            <w:vAlign w:val="center"/>
          </w:tcPr>
          <w:p w14:paraId="00A9F67C">
            <w:pPr>
              <w:rPr>
                <w:rFonts w:hint="eastAsia" w:ascii="Times New Roman" w:hAnsi="Times New Roman" w:cs="Times New Roman" w:eastAsiaTheme="minorEastAsia"/>
                <w:szCs w:val="21"/>
                <w:lang w:val="en-GB" w:eastAsia="zh-CN"/>
              </w:rPr>
            </w:pPr>
            <w:r>
              <w:rPr>
                <w:rFonts w:ascii="Times New Roman" w:hAnsi="Times New Roman" w:cs="Times New Roman"/>
              </w:rPr>
              <w:t xml:space="preserve">Corresponding Majors: </w:t>
            </w:r>
            <w:r>
              <w:rPr>
                <w:rFonts w:hint="eastAsia" w:ascii="Times New Roman" w:hAnsi="Times New Roman" w:cs="Times New Roman"/>
              </w:rPr>
              <w:t>economic</w:t>
            </w:r>
            <w:r>
              <w:rPr>
                <w:rFonts w:hint="eastAsia" w:ascii="Times New Roman" w:hAnsi="Times New Roman" w:cs="Times New Roman"/>
                <w:lang w:eastAsia="zh-CN"/>
              </w:rPr>
              <w:t>；Financial major</w:t>
            </w:r>
          </w:p>
        </w:tc>
      </w:tr>
      <w:tr w14:paraId="224461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jc w:val="right"/>
        </w:trPr>
        <w:tc>
          <w:tcPr>
            <w:tcW w:w="4025" w:type="dxa"/>
            <w:vAlign w:val="center"/>
          </w:tcPr>
          <w:p w14:paraId="267FFA5C">
            <w:pPr>
              <w:rPr>
                <w:rFonts w:ascii="Times New Roman" w:hAnsi="Times New Roman" w:eastAsia="黑体" w:cs="Times New Roman"/>
                <w:szCs w:val="21"/>
                <w:lang w:val="en-GB"/>
              </w:rPr>
            </w:pPr>
            <w:r>
              <w:rPr>
                <w:rFonts w:ascii="Times New Roman" w:hAnsi="Times New Roman" w:cs="Times New Roman"/>
              </w:rPr>
              <w:t>Course Type: Required</w:t>
            </w:r>
          </w:p>
        </w:tc>
        <w:tc>
          <w:tcPr>
            <w:tcW w:w="3969" w:type="dxa"/>
            <w:vAlign w:val="center"/>
          </w:tcPr>
          <w:p w14:paraId="16B4699D">
            <w:pPr>
              <w:rPr>
                <w:rFonts w:ascii="Times New Roman" w:hAnsi="Times New Roman" w:eastAsia="黑体" w:cs="Times New Roman"/>
                <w:szCs w:val="21"/>
                <w:lang w:val="en-GB"/>
              </w:rPr>
            </w:pPr>
            <w:r>
              <w:rPr>
                <w:rFonts w:ascii="Times New Roman" w:hAnsi="Times New Roman" w:cs="Times New Roman"/>
              </w:rPr>
              <w:t xml:space="preserve">Prerequisite: </w:t>
            </w:r>
            <w:r>
              <w:rPr>
                <w:rFonts w:hint="eastAsia" w:ascii="Times New Roman" w:hAnsi="Times New Roman" w:cs="Times New Roman"/>
              </w:rPr>
              <w:t>no</w:t>
            </w:r>
          </w:p>
        </w:tc>
      </w:tr>
    </w:tbl>
    <w:p w14:paraId="344EC37B">
      <w:pPr>
        <w:rPr>
          <w:rFonts w:ascii="Times New Roman" w:hAnsi="Times New Roman" w:eastAsia="黑体" w:cs="Times New Roman"/>
          <w:b/>
          <w:szCs w:val="21"/>
          <w:lang w:val="en-GB"/>
        </w:rPr>
      </w:pPr>
      <w:r>
        <w:rPr>
          <w:rFonts w:ascii="Times New Roman" w:hAnsi="Times New Roman" w:eastAsia="黑体" w:cs="Times New Roman"/>
          <w:b/>
          <w:szCs w:val="21"/>
          <w:lang w:val="en-GB"/>
        </w:rPr>
        <w:t>II. Introduction</w:t>
      </w:r>
    </w:p>
    <w:p w14:paraId="4CAE2661">
      <w:pPr>
        <w:rPr>
          <w:rFonts w:ascii="Times New Roman" w:hAnsi="Times New Roman" w:eastAsia="仿宋" w:cs="Times New Roman"/>
          <w:szCs w:val="21"/>
          <w:lang w:val="en-GB"/>
        </w:rPr>
      </w:pPr>
      <w:r>
        <w:rPr>
          <w:rFonts w:ascii="Times New Roman" w:hAnsi="Times New Roman" w:eastAsia="仿宋" w:cs="Times New Roman"/>
          <w:szCs w:val="21"/>
          <w:lang w:val="en-GB"/>
        </w:rPr>
        <w:t xml:space="preserve">The course ‘Professional Internship’ is an internship course for economics </w:t>
      </w:r>
      <w:r>
        <w:rPr>
          <w:rFonts w:hint="eastAsia" w:ascii="Times New Roman" w:hAnsi="Times New Roman" w:eastAsia="仿宋" w:cs="Times New Roman"/>
          <w:szCs w:val="21"/>
          <w:lang w:val="en-GB"/>
        </w:rPr>
        <w:t>and finance</w:t>
      </w:r>
      <w:r>
        <w:rPr>
          <w:rFonts w:hint="eastAsia" w:ascii="Times New Roman" w:hAnsi="Times New Roman" w:eastAsia="仿宋" w:cs="Times New Roman"/>
          <w:szCs w:val="21"/>
          <w:lang w:val="en-US" w:eastAsia="zh-CN"/>
        </w:rPr>
        <w:t xml:space="preserve"> major ，</w:t>
      </w:r>
      <w:r>
        <w:rPr>
          <w:rFonts w:ascii="Times New Roman" w:hAnsi="Times New Roman" w:eastAsia="仿宋" w:cs="Times New Roman"/>
          <w:szCs w:val="21"/>
          <w:lang w:val="en-GB"/>
        </w:rPr>
        <w:t xml:space="preserve">and is compulsory. Following </w:t>
      </w:r>
      <w:r>
        <w:rPr>
          <w:rFonts w:hint="eastAsia" w:ascii="Times New Roman" w:hAnsi="Times New Roman" w:eastAsia="仿宋" w:cs="Times New Roman"/>
          <w:szCs w:val="21"/>
          <w:lang w:val="en-US" w:eastAsia="zh-CN"/>
        </w:rPr>
        <w:t>three</w:t>
      </w:r>
      <w:r>
        <w:rPr>
          <w:rFonts w:ascii="Times New Roman" w:hAnsi="Times New Roman" w:eastAsia="仿宋" w:cs="Times New Roman"/>
          <w:szCs w:val="21"/>
          <w:lang w:val="en-GB"/>
        </w:rPr>
        <w:t xml:space="preserve"> year</w:t>
      </w:r>
      <w:r>
        <w:rPr>
          <w:rFonts w:hint="eastAsia" w:ascii="Times New Roman" w:hAnsi="Times New Roman" w:eastAsia="仿宋" w:cs="Times New Roman"/>
          <w:szCs w:val="21"/>
          <w:lang w:val="en-US" w:eastAsia="zh-CN"/>
        </w:rPr>
        <w:t>s</w:t>
      </w:r>
      <w:r>
        <w:rPr>
          <w:rFonts w:ascii="Times New Roman" w:hAnsi="Times New Roman" w:eastAsia="仿宋" w:cs="Times New Roman"/>
          <w:szCs w:val="21"/>
          <w:lang w:val="en-GB"/>
        </w:rPr>
        <w:t xml:space="preserve"> of study of the General Foundation Requirements and some Subject Foundation requirements, there should be a reasonable understanding of the content of the major and the direction of future study and work. During the summer vacation, the </w:t>
      </w:r>
      <w:r>
        <w:rPr>
          <w:rFonts w:hint="eastAsia" w:ascii="Times New Roman" w:hAnsi="Times New Roman" w:eastAsia="仿宋" w:cs="Times New Roman"/>
          <w:szCs w:val="21"/>
          <w:lang w:val="en-GB"/>
        </w:rPr>
        <w:t>faculty</w:t>
      </w:r>
      <w:r>
        <w:rPr>
          <w:rFonts w:ascii="Times New Roman" w:hAnsi="Times New Roman" w:eastAsia="仿宋" w:cs="Times New Roman"/>
          <w:szCs w:val="21"/>
          <w:lang w:val="en-GB"/>
        </w:rPr>
        <w:t xml:space="preserve"> connects with enterprises and facilitates cognitive internships for students. Participants take part in activities such as visiting a work environment, co</w:t>
      </w:r>
      <w:bookmarkStart w:id="0" w:name="_GoBack"/>
      <w:bookmarkEnd w:id="0"/>
      <w:r>
        <w:rPr>
          <w:rFonts w:ascii="Times New Roman" w:hAnsi="Times New Roman" w:eastAsia="仿宋" w:cs="Times New Roman"/>
          <w:szCs w:val="21"/>
          <w:lang w:val="en-GB"/>
        </w:rPr>
        <w:t>nducting small-scale interviews, attending lectures, taking investor knowledge quizzes, and receiving job counselling. Practical practitioners and academics are invited to share their practical work experiences and theoretical research in an effort to guide students to connect theory with practice and emphasize the development of practical skills. Encourage students to become interested in their major, gain a deeper understanding of the positions and responsibilities in the economic and financial industry, and create career plans as soon as possible. Besides facilitating the development of a resource sharing platform for students majoring in economics and finance, the school enterprise platform will also provide internship and employment information resources for students. As well as strengthening the connection between the campus and the corresponding universities and companies.</w:t>
      </w:r>
    </w:p>
    <w:p w14:paraId="50032D84">
      <w:pPr>
        <w:rPr>
          <w:rFonts w:ascii="Times New Roman" w:hAnsi="Times New Roman" w:eastAsia="仿宋" w:cs="Times New Roman"/>
          <w:szCs w:val="21"/>
        </w:rPr>
      </w:pPr>
    </w:p>
    <w:p w14:paraId="24F6140C">
      <w:pPr>
        <w:rPr>
          <w:rFonts w:ascii="Times New Roman" w:hAnsi="Times New Roman" w:eastAsia="黑体" w:cs="Times New Roman"/>
          <w:b/>
          <w:szCs w:val="21"/>
          <w:lang w:val="en-GB"/>
        </w:rPr>
      </w:pPr>
      <w:r>
        <w:rPr>
          <w:rFonts w:ascii="Times New Roman" w:hAnsi="Times New Roman" w:eastAsia="黑体" w:cs="Times New Roman"/>
          <w:b/>
          <w:szCs w:val="21"/>
          <w:lang w:val="en-GB"/>
        </w:rPr>
        <w:t>III. Objective</w:t>
      </w:r>
    </w:p>
    <w:p w14:paraId="0F6BC3D7">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Objective 1: Develop students' professional perspectives and provide them with an understanding of the latest industry trends by studying special theme lectures in different economic and financial fields.</w:t>
      </w:r>
    </w:p>
    <w:p w14:paraId="3444BA6A">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Objective 2: Develop an understanding of the job responsibilities and requirements of the industry, as well as develop a career plan through the practical theme lectures for financial and economic practitioners.</w:t>
      </w:r>
    </w:p>
    <w:p w14:paraId="4BB04DE6">
      <w:pPr>
        <w:rPr>
          <w:rFonts w:ascii="Times New Roman" w:hAnsi="Times New Roman" w:eastAsia="仿宋" w:cs="Times New Roman"/>
          <w:szCs w:val="21"/>
          <w:lang w:val="en-GB"/>
        </w:rPr>
      </w:pPr>
      <w:r>
        <w:rPr>
          <w:rFonts w:ascii="Times New Roman" w:hAnsi="Times New Roman" w:eastAsia="仿宋" w:cs="Times New Roman"/>
          <w:szCs w:val="21"/>
          <w:lang w:val="en-GB"/>
        </w:rPr>
        <w:t>Goal 3: Develop practical skills and knowledge through the study of practical content, and become a skilled practitioner.</w:t>
      </w:r>
    </w:p>
    <w:p w14:paraId="45A93EC8">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Objective 4: Students are able to gain a deeper understanding of the contents of professional courses through theme lectures presented by scholars at counterpart universities. This can serve as a complement and expansion of professional course instruction.</w:t>
      </w:r>
    </w:p>
    <w:p w14:paraId="08DA4A6A">
      <w:pPr>
        <w:rPr>
          <w:rFonts w:ascii="Times New Roman" w:hAnsi="Times New Roman" w:eastAsia="黑体" w:cs="Times New Roman"/>
          <w:b/>
          <w:szCs w:val="21"/>
          <w:lang w:val="en-GB"/>
        </w:rPr>
      </w:pPr>
      <w:r>
        <w:rPr>
          <w:rFonts w:ascii="Times New Roman" w:hAnsi="Times New Roman" w:eastAsia="黑体" w:cs="Times New Roman"/>
          <w:b/>
          <w:szCs w:val="21"/>
          <w:lang w:val="en-GB"/>
        </w:rPr>
        <w:t xml:space="preserve">IV. Contents </w:t>
      </w:r>
      <w:r>
        <w:rPr>
          <w:rFonts w:ascii="Times New Roman" w:hAnsi="Times New Roman" w:eastAsia="仿宋" w:cs="Times New Roman"/>
          <w:b/>
          <w:szCs w:val="21"/>
          <w:lang w:val="en-GB"/>
        </w:rPr>
        <w:t>and</w:t>
      </w:r>
      <w:r>
        <w:rPr>
          <w:rFonts w:ascii="Times New Roman" w:hAnsi="Times New Roman" w:eastAsia="黑体" w:cs="Times New Roman"/>
          <w:b/>
          <w:szCs w:val="21"/>
          <w:lang w:val="en-GB"/>
        </w:rPr>
        <w:t xml:space="preserve"> Requirements</w:t>
      </w:r>
    </w:p>
    <w:p w14:paraId="39656A1F">
      <w:pPr>
        <w:rPr>
          <w:rFonts w:ascii="Times New Roman" w:hAnsi="Times New Roman" w:eastAsia="仿宋" w:cs="Times New Roman"/>
          <w:szCs w:val="21"/>
          <w:lang w:val="en-GB"/>
        </w:rPr>
      </w:pPr>
      <w:r>
        <w:rPr>
          <w:rFonts w:ascii="Times New Roman" w:hAnsi="Times New Roman" w:eastAsia="仿宋" w:cs="Times New Roman"/>
          <w:szCs w:val="21"/>
          <w:lang w:val="en-GB"/>
        </w:rPr>
        <w:t>The professional internship for the E</w:t>
      </w:r>
      <w:r>
        <w:rPr>
          <w:rFonts w:hint="eastAsia" w:ascii="Times New Roman" w:hAnsi="Times New Roman" w:eastAsia="仿宋" w:cs="Times New Roman"/>
          <w:szCs w:val="21"/>
          <w:lang w:val="en-GB"/>
        </w:rPr>
        <w:t>conomics</w:t>
      </w:r>
      <w:r>
        <w:rPr>
          <w:rFonts w:ascii="Times New Roman" w:hAnsi="Times New Roman" w:eastAsia="仿宋" w:cs="Times New Roman"/>
          <w:szCs w:val="21"/>
          <w:lang w:val="en-GB"/>
        </w:rPr>
        <w:t xml:space="preserve"> students took place on 13</w:t>
      </w:r>
      <w:r>
        <w:rPr>
          <w:rFonts w:ascii="Times New Roman" w:hAnsi="Times New Roman" w:eastAsia="仿宋" w:cs="Times New Roman"/>
          <w:szCs w:val="21"/>
          <w:vertAlign w:val="superscript"/>
          <w:lang w:val="en-GB"/>
        </w:rPr>
        <w:t>th</w:t>
      </w:r>
      <w:r>
        <w:rPr>
          <w:rFonts w:ascii="Times New Roman" w:hAnsi="Times New Roman" w:eastAsia="仿宋" w:cs="Times New Roman"/>
          <w:szCs w:val="21"/>
          <w:lang w:val="en-GB"/>
        </w:rPr>
        <w:t>, June, and 19</w:t>
      </w:r>
      <w:r>
        <w:rPr>
          <w:rFonts w:ascii="Times New Roman" w:hAnsi="Times New Roman" w:eastAsia="仿宋" w:cs="Times New Roman"/>
          <w:szCs w:val="21"/>
          <w:vertAlign w:val="superscript"/>
          <w:lang w:val="en-GB"/>
        </w:rPr>
        <w:t>th</w:t>
      </w:r>
      <w:r>
        <w:rPr>
          <w:rFonts w:ascii="Times New Roman" w:hAnsi="Times New Roman" w:eastAsia="仿宋" w:cs="Times New Roman"/>
          <w:szCs w:val="21"/>
          <w:lang w:val="en-GB"/>
        </w:rPr>
        <w:t>, June to 4</w:t>
      </w:r>
      <w:r>
        <w:rPr>
          <w:rFonts w:ascii="Times New Roman" w:hAnsi="Times New Roman" w:eastAsia="仿宋" w:cs="Times New Roman"/>
          <w:szCs w:val="21"/>
          <w:vertAlign w:val="superscript"/>
          <w:lang w:val="en-GB"/>
        </w:rPr>
        <w:t>th</w:t>
      </w:r>
      <w:r>
        <w:rPr>
          <w:rFonts w:ascii="Times New Roman" w:hAnsi="Times New Roman" w:eastAsia="仿宋" w:cs="Times New Roman"/>
          <w:szCs w:val="21"/>
          <w:lang w:val="en-GB"/>
        </w:rPr>
        <w:t>, July, for a total of 17 days.</w:t>
      </w:r>
    </w:p>
    <w:p w14:paraId="34AFF8D6">
      <w:pPr>
        <w:rPr>
          <w:rFonts w:ascii="Times New Roman" w:hAnsi="Times New Roman" w:eastAsia="仿宋" w:cs="Times New Roman"/>
          <w:szCs w:val="21"/>
          <w:lang w:val="en-GB"/>
        </w:rPr>
      </w:pPr>
    </w:p>
    <w:p w14:paraId="2F2653E0">
      <w:pPr>
        <w:rPr>
          <w:rFonts w:ascii="Times New Roman" w:hAnsi="Times New Roman" w:eastAsia="仿宋" w:cs="Times New Roman"/>
          <w:szCs w:val="21"/>
          <w:lang w:val="en-GB"/>
        </w:rPr>
      </w:pPr>
    </w:p>
    <w:tbl>
      <w:tblPr>
        <w:tblStyle w:val="5"/>
        <w:tblW w:w="96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6"/>
        <w:gridCol w:w="3927"/>
        <w:gridCol w:w="735"/>
        <w:gridCol w:w="735"/>
        <w:gridCol w:w="735"/>
        <w:gridCol w:w="735"/>
        <w:gridCol w:w="739"/>
      </w:tblGrid>
      <w:tr w14:paraId="15924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6" w:type="dxa"/>
            <w:vMerge w:val="restart"/>
            <w:vAlign w:val="center"/>
          </w:tcPr>
          <w:p w14:paraId="6F74A762">
            <w:pPr>
              <w:tabs>
                <w:tab w:val="left" w:pos="-720"/>
              </w:tabs>
              <w:suppressAutoHyphens/>
              <w:snapToGrid w:val="0"/>
              <w:jc w:val="center"/>
              <w:rPr>
                <w:rFonts w:ascii="Times New Roman" w:hAnsi="Times New Roman" w:eastAsia="仿宋" w:cs="Times New Roman"/>
                <w:b/>
                <w:spacing w:val="-3"/>
                <w:szCs w:val="21"/>
              </w:rPr>
            </w:pPr>
            <w:r>
              <w:rPr>
                <w:rFonts w:hint="eastAsia" w:ascii="Times New Roman" w:hAnsi="Times New Roman" w:eastAsia="仿宋" w:cs="Times New Roman"/>
                <w:b/>
                <w:spacing w:val="-3"/>
                <w:szCs w:val="21"/>
              </w:rPr>
              <w:t>Mode</w:t>
            </w:r>
          </w:p>
        </w:tc>
        <w:tc>
          <w:tcPr>
            <w:tcW w:w="3927" w:type="dxa"/>
            <w:vMerge w:val="restart"/>
            <w:vAlign w:val="center"/>
          </w:tcPr>
          <w:p w14:paraId="666B1A24">
            <w:pPr>
              <w:tabs>
                <w:tab w:val="left" w:pos="-720"/>
              </w:tabs>
              <w:suppressAutoHyphens/>
              <w:snapToGrid w:val="0"/>
              <w:jc w:val="center"/>
              <w:rPr>
                <w:rFonts w:ascii="Times New Roman" w:hAnsi="Times New Roman" w:eastAsia="仿宋" w:cs="Times New Roman"/>
                <w:b/>
                <w:spacing w:val="-3"/>
                <w:szCs w:val="21"/>
                <w:lang w:val="en-GB"/>
              </w:rPr>
            </w:pPr>
            <w:r>
              <w:rPr>
                <w:rFonts w:ascii="Times New Roman" w:hAnsi="Times New Roman" w:eastAsia="仿宋" w:cs="Times New Roman"/>
                <w:b/>
                <w:spacing w:val="-3"/>
                <w:szCs w:val="21"/>
                <w:lang w:val="en-GB"/>
              </w:rPr>
              <w:t>Key Points</w:t>
            </w:r>
          </w:p>
        </w:tc>
        <w:tc>
          <w:tcPr>
            <w:tcW w:w="735" w:type="dxa"/>
            <w:vMerge w:val="restart"/>
          </w:tcPr>
          <w:p w14:paraId="6D91DF1A">
            <w:pPr>
              <w:adjustRightInd w:val="0"/>
              <w:snapToGrid w:val="0"/>
              <w:jc w:val="center"/>
              <w:rPr>
                <w:rFonts w:ascii="Times New Roman" w:hAnsi="Times New Roman" w:eastAsia="仿宋" w:cs="Times New Roman"/>
                <w:b/>
                <w:spacing w:val="-3"/>
                <w:szCs w:val="21"/>
                <w:lang w:val="en-GB"/>
              </w:rPr>
            </w:pPr>
            <w:r>
              <w:rPr>
                <w:rFonts w:ascii="Times New Roman" w:hAnsi="Times New Roman" w:eastAsia="仿宋" w:cs="Times New Roman"/>
                <w:b/>
                <w:spacing w:val="-3"/>
                <w:szCs w:val="21"/>
                <w:lang w:val="en-GB"/>
              </w:rPr>
              <w:t>Hours</w:t>
            </w:r>
          </w:p>
        </w:tc>
        <w:tc>
          <w:tcPr>
            <w:tcW w:w="2944" w:type="dxa"/>
            <w:gridSpan w:val="4"/>
          </w:tcPr>
          <w:p w14:paraId="7F8A6D58">
            <w:pPr>
              <w:tabs>
                <w:tab w:val="left" w:pos="-720"/>
              </w:tabs>
              <w:suppressAutoHyphens/>
              <w:snapToGrid w:val="0"/>
              <w:jc w:val="center"/>
              <w:rPr>
                <w:rFonts w:ascii="Times New Roman" w:hAnsi="Times New Roman" w:eastAsia="仿宋" w:cs="Times New Roman"/>
                <w:b/>
                <w:spacing w:val="-3"/>
                <w:szCs w:val="21"/>
                <w:lang w:val="en-GB"/>
              </w:rPr>
            </w:pPr>
            <w:r>
              <w:rPr>
                <w:rFonts w:ascii="Times New Roman" w:hAnsi="Times New Roman" w:eastAsia="仿宋" w:cs="Times New Roman"/>
                <w:b/>
                <w:spacing w:val="-3"/>
                <w:szCs w:val="21"/>
                <w:lang w:val="en-GB"/>
              </w:rPr>
              <w:t>Requirement</w:t>
            </w:r>
          </w:p>
        </w:tc>
      </w:tr>
      <w:tr w14:paraId="4C274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6" w:type="dxa"/>
            <w:vMerge w:val="continue"/>
          </w:tcPr>
          <w:p w14:paraId="47A6AC87">
            <w:pPr>
              <w:tabs>
                <w:tab w:val="left" w:pos="-720"/>
              </w:tabs>
              <w:suppressAutoHyphens/>
              <w:snapToGrid w:val="0"/>
              <w:rPr>
                <w:rFonts w:ascii="Times New Roman" w:hAnsi="Times New Roman" w:eastAsia="仿宋" w:cs="Times New Roman"/>
                <w:bCs/>
                <w:spacing w:val="-3"/>
                <w:szCs w:val="21"/>
                <w:lang w:val="en-GB"/>
              </w:rPr>
            </w:pPr>
          </w:p>
        </w:tc>
        <w:tc>
          <w:tcPr>
            <w:tcW w:w="3927" w:type="dxa"/>
            <w:vMerge w:val="continue"/>
          </w:tcPr>
          <w:p w14:paraId="6E606074">
            <w:pPr>
              <w:tabs>
                <w:tab w:val="left" w:pos="-720"/>
              </w:tabs>
              <w:suppressAutoHyphens/>
              <w:snapToGrid w:val="0"/>
              <w:rPr>
                <w:rFonts w:ascii="Times New Roman" w:hAnsi="Times New Roman" w:eastAsia="仿宋" w:cs="Times New Roman"/>
                <w:bCs/>
                <w:spacing w:val="-3"/>
                <w:szCs w:val="21"/>
                <w:lang w:val="en-GB"/>
              </w:rPr>
            </w:pPr>
          </w:p>
        </w:tc>
        <w:tc>
          <w:tcPr>
            <w:tcW w:w="735" w:type="dxa"/>
            <w:vMerge w:val="continue"/>
          </w:tcPr>
          <w:p w14:paraId="36BFE7CD">
            <w:pPr>
              <w:adjustRightInd w:val="0"/>
              <w:snapToGrid w:val="0"/>
              <w:jc w:val="center"/>
              <w:rPr>
                <w:rFonts w:ascii="Times New Roman" w:hAnsi="Times New Roman" w:eastAsia="仿宋" w:cs="Times New Roman"/>
                <w:bCs/>
                <w:szCs w:val="21"/>
              </w:rPr>
            </w:pPr>
          </w:p>
        </w:tc>
        <w:tc>
          <w:tcPr>
            <w:tcW w:w="735" w:type="dxa"/>
            <w:vAlign w:val="center"/>
          </w:tcPr>
          <w:p w14:paraId="76D31C82">
            <w:pPr>
              <w:adjustRightInd w:val="0"/>
              <w:snapToGrid w:val="0"/>
              <w:jc w:val="center"/>
              <w:rPr>
                <w:rFonts w:ascii="Times New Roman" w:hAnsi="Times New Roman" w:eastAsia="仿宋" w:cs="Times New Roman"/>
                <w:bCs/>
                <w:szCs w:val="21"/>
              </w:rPr>
            </w:pPr>
            <w:r>
              <w:rPr>
                <w:rFonts w:ascii="Times New Roman" w:hAnsi="Times New Roman" w:eastAsia="仿宋" w:cs="Times New Roman"/>
                <w:bCs/>
                <w:szCs w:val="21"/>
              </w:rPr>
              <w:t xml:space="preserve">remember </w:t>
            </w:r>
          </w:p>
        </w:tc>
        <w:tc>
          <w:tcPr>
            <w:tcW w:w="735" w:type="dxa"/>
            <w:vAlign w:val="center"/>
          </w:tcPr>
          <w:p w14:paraId="0197968C">
            <w:pPr>
              <w:adjustRightInd w:val="0"/>
              <w:snapToGrid w:val="0"/>
              <w:rPr>
                <w:rFonts w:ascii="Times New Roman" w:hAnsi="Times New Roman" w:eastAsia="仿宋" w:cs="Times New Roman"/>
                <w:bCs/>
                <w:szCs w:val="21"/>
              </w:rPr>
            </w:pPr>
            <w:r>
              <w:rPr>
                <w:rFonts w:ascii="Times New Roman" w:hAnsi="Times New Roman" w:eastAsia="仿宋" w:cs="Times New Roman"/>
                <w:bCs/>
                <w:szCs w:val="21"/>
              </w:rPr>
              <w:t xml:space="preserve">understand </w:t>
            </w:r>
          </w:p>
        </w:tc>
        <w:tc>
          <w:tcPr>
            <w:tcW w:w="735" w:type="dxa"/>
            <w:vAlign w:val="center"/>
          </w:tcPr>
          <w:p w14:paraId="7D44CFE2">
            <w:pPr>
              <w:adjustRightInd w:val="0"/>
              <w:snapToGrid w:val="0"/>
              <w:jc w:val="center"/>
              <w:rPr>
                <w:rFonts w:ascii="Times New Roman" w:hAnsi="Times New Roman" w:eastAsia="仿宋" w:cs="Times New Roman"/>
                <w:bCs/>
                <w:szCs w:val="21"/>
              </w:rPr>
            </w:pPr>
            <w:r>
              <w:rPr>
                <w:rFonts w:ascii="Times New Roman" w:hAnsi="Times New Roman" w:eastAsia="仿宋" w:cs="Times New Roman"/>
                <w:bCs/>
                <w:szCs w:val="21"/>
              </w:rPr>
              <w:t xml:space="preserve">application </w:t>
            </w:r>
          </w:p>
        </w:tc>
        <w:tc>
          <w:tcPr>
            <w:tcW w:w="739" w:type="dxa"/>
            <w:vAlign w:val="center"/>
          </w:tcPr>
          <w:p w14:paraId="55207338">
            <w:pPr>
              <w:adjustRightInd w:val="0"/>
              <w:snapToGrid w:val="0"/>
              <w:jc w:val="center"/>
              <w:rPr>
                <w:rFonts w:ascii="Times New Roman" w:hAnsi="Times New Roman" w:eastAsia="仿宋" w:cs="Times New Roman"/>
                <w:bCs/>
                <w:szCs w:val="21"/>
              </w:rPr>
            </w:pPr>
            <w:r>
              <w:rPr>
                <w:rFonts w:ascii="Times New Roman" w:hAnsi="Times New Roman" w:eastAsia="仿宋" w:cs="Times New Roman"/>
                <w:bCs/>
                <w:szCs w:val="21"/>
              </w:rPr>
              <w:t>synthesis</w:t>
            </w:r>
          </w:p>
        </w:tc>
      </w:tr>
      <w:tr w14:paraId="3FD0D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2026" w:type="dxa"/>
            <w:vAlign w:val="center"/>
          </w:tcPr>
          <w:p w14:paraId="4D02E509">
            <w:pPr>
              <w:adjustRightInd w:val="0"/>
              <w:snapToGrid w:val="0"/>
              <w:jc w:val="center"/>
              <w:rPr>
                <w:rFonts w:ascii="Times New Roman" w:hAnsi="Times New Roman" w:eastAsia="仿宋" w:cs="Times New Roman"/>
                <w:bCs/>
                <w:szCs w:val="21"/>
              </w:rPr>
            </w:pPr>
            <w:r>
              <w:rPr>
                <w:rFonts w:ascii="Times New Roman" w:hAnsi="Times New Roman" w:eastAsia="仿宋" w:cs="Times New Roman"/>
                <w:bCs/>
                <w:szCs w:val="21"/>
              </w:rPr>
              <w:t>Offline Study Tour</w:t>
            </w:r>
          </w:p>
        </w:tc>
        <w:tc>
          <w:tcPr>
            <w:tcW w:w="3927" w:type="dxa"/>
            <w:vAlign w:val="center"/>
          </w:tcPr>
          <w:p w14:paraId="417B39E6">
            <w:pPr>
              <w:adjustRightInd w:val="0"/>
              <w:snapToGrid w:val="0"/>
              <w:jc w:val="center"/>
              <w:rPr>
                <w:rFonts w:ascii="Times New Roman" w:hAnsi="Times New Roman" w:eastAsia="仿宋" w:cs="Times New Roman"/>
                <w:bCs/>
                <w:szCs w:val="21"/>
              </w:rPr>
            </w:pPr>
            <w:r>
              <w:rPr>
                <w:rFonts w:ascii="Times New Roman" w:hAnsi="Times New Roman" w:eastAsia="仿宋" w:cs="Times New Roman"/>
                <w:bCs/>
                <w:szCs w:val="21"/>
              </w:rPr>
              <w:t>Through visiting local enterprises or participating in local activities, students can learn about the local development situation and pave the way for employment.</w:t>
            </w:r>
          </w:p>
        </w:tc>
        <w:tc>
          <w:tcPr>
            <w:tcW w:w="735" w:type="dxa"/>
          </w:tcPr>
          <w:p w14:paraId="60559C11">
            <w:pPr>
              <w:snapToGrid w:val="0"/>
              <w:ind w:left="181" w:hanging="180" w:hangingChars="104"/>
              <w:jc w:val="center"/>
              <w:rPr>
                <w:rFonts w:ascii="Times New Roman" w:hAnsi="Times New Roman" w:eastAsia="仿宋" w:cs="Times New Roman"/>
                <w:bCs/>
                <w:spacing w:val="-3"/>
                <w:sz w:val="18"/>
                <w:szCs w:val="18"/>
              </w:rPr>
            </w:pPr>
            <w:r>
              <w:rPr>
                <w:rFonts w:hint="eastAsia" w:ascii="Times New Roman" w:hAnsi="Times New Roman" w:eastAsia="仿宋" w:cs="Times New Roman"/>
                <w:bCs/>
                <w:spacing w:val="-3"/>
                <w:sz w:val="18"/>
                <w:szCs w:val="18"/>
              </w:rPr>
              <w:t>1</w:t>
            </w:r>
            <w:r>
              <w:rPr>
                <w:rFonts w:ascii="Times New Roman" w:hAnsi="Times New Roman" w:eastAsia="仿宋" w:cs="Times New Roman"/>
                <w:bCs/>
                <w:spacing w:val="-3"/>
                <w:sz w:val="18"/>
                <w:szCs w:val="18"/>
              </w:rPr>
              <w:t>6</w:t>
            </w:r>
          </w:p>
        </w:tc>
        <w:tc>
          <w:tcPr>
            <w:tcW w:w="735" w:type="dxa"/>
            <w:vAlign w:val="center"/>
          </w:tcPr>
          <w:p w14:paraId="61497EC0">
            <w:pPr>
              <w:snapToGrid w:val="0"/>
              <w:ind w:left="181" w:hanging="180" w:hangingChars="104"/>
              <w:jc w:val="center"/>
              <w:rPr>
                <w:rFonts w:ascii="Times New Roman" w:hAnsi="Times New Roman" w:eastAsia="仿宋" w:cs="Times New Roman"/>
                <w:bCs/>
                <w:spacing w:val="-3"/>
                <w:sz w:val="18"/>
                <w:szCs w:val="18"/>
              </w:rPr>
            </w:pPr>
          </w:p>
        </w:tc>
        <w:tc>
          <w:tcPr>
            <w:tcW w:w="735" w:type="dxa"/>
            <w:vAlign w:val="center"/>
          </w:tcPr>
          <w:p w14:paraId="232B8502">
            <w:pPr>
              <w:snapToGrid w:val="0"/>
              <w:ind w:left="212" w:hanging="212" w:hangingChars="104"/>
              <w:jc w:val="center"/>
              <w:rPr>
                <w:rFonts w:ascii="Times New Roman" w:hAnsi="Times New Roman" w:eastAsia="仿宋" w:cs="Times New Roman"/>
                <w:bCs/>
                <w:spacing w:val="-3"/>
                <w:szCs w:val="21"/>
                <w:lang w:val="en-GB"/>
              </w:rPr>
            </w:pPr>
          </w:p>
        </w:tc>
        <w:tc>
          <w:tcPr>
            <w:tcW w:w="735" w:type="dxa"/>
            <w:vAlign w:val="center"/>
          </w:tcPr>
          <w:p w14:paraId="14F137B5">
            <w:pPr>
              <w:snapToGrid w:val="0"/>
              <w:ind w:left="212" w:hanging="212" w:hangingChars="104"/>
              <w:jc w:val="center"/>
              <w:rPr>
                <w:rFonts w:ascii="Times New Roman" w:hAnsi="Times New Roman" w:eastAsia="仿宋" w:cs="Times New Roman"/>
                <w:bCs/>
                <w:spacing w:val="-3"/>
                <w:szCs w:val="21"/>
                <w:lang w:val="en-GB"/>
              </w:rPr>
            </w:pPr>
            <w:r>
              <w:rPr>
                <w:rFonts w:ascii="Times New Roman" w:hAnsi="Times New Roman" w:eastAsia="仿宋" w:cs="Times New Roman"/>
                <w:bCs/>
                <w:spacing w:val="-3"/>
                <w:szCs w:val="21"/>
              </w:rPr>
              <w:t>√</w:t>
            </w:r>
          </w:p>
        </w:tc>
        <w:tc>
          <w:tcPr>
            <w:tcW w:w="739" w:type="dxa"/>
            <w:vAlign w:val="center"/>
          </w:tcPr>
          <w:p w14:paraId="2FB497A2">
            <w:pPr>
              <w:snapToGrid w:val="0"/>
              <w:ind w:left="212" w:hanging="212" w:hangingChars="104"/>
              <w:jc w:val="center"/>
              <w:rPr>
                <w:rFonts w:ascii="Times New Roman" w:hAnsi="Times New Roman" w:eastAsia="仿宋" w:cs="Times New Roman"/>
                <w:bCs/>
                <w:spacing w:val="-3"/>
                <w:szCs w:val="21"/>
                <w:lang w:val="en-GB"/>
              </w:rPr>
            </w:pPr>
          </w:p>
        </w:tc>
      </w:tr>
      <w:tr w14:paraId="5AA41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2026" w:type="dxa"/>
            <w:vAlign w:val="center"/>
          </w:tcPr>
          <w:p w14:paraId="277D5DCD">
            <w:pPr>
              <w:adjustRightInd w:val="0"/>
              <w:snapToGrid w:val="0"/>
              <w:jc w:val="center"/>
              <w:rPr>
                <w:rFonts w:ascii="Times New Roman" w:hAnsi="Times New Roman" w:eastAsia="仿宋" w:cs="Times New Roman"/>
                <w:bCs/>
                <w:szCs w:val="21"/>
              </w:rPr>
            </w:pPr>
            <w:r>
              <w:rPr>
                <w:rFonts w:ascii="Times New Roman" w:hAnsi="Times New Roman" w:eastAsia="仿宋" w:cs="Times New Roman"/>
                <w:bCs/>
                <w:szCs w:val="21"/>
              </w:rPr>
              <w:t>Offline lectures</w:t>
            </w:r>
          </w:p>
        </w:tc>
        <w:tc>
          <w:tcPr>
            <w:tcW w:w="3927" w:type="dxa"/>
            <w:vAlign w:val="center"/>
          </w:tcPr>
          <w:p w14:paraId="2AC7C447">
            <w:pPr>
              <w:adjustRightInd w:val="0"/>
              <w:snapToGrid w:val="0"/>
              <w:jc w:val="center"/>
              <w:rPr>
                <w:rFonts w:ascii="Times New Roman" w:hAnsi="Times New Roman" w:eastAsia="仿宋" w:cs="Times New Roman"/>
                <w:bCs/>
                <w:szCs w:val="21"/>
              </w:rPr>
            </w:pPr>
            <w:r>
              <w:rPr>
                <w:rFonts w:ascii="Times New Roman" w:hAnsi="Times New Roman" w:eastAsia="仿宋" w:cs="Times New Roman"/>
                <w:bCs/>
                <w:szCs w:val="21"/>
              </w:rPr>
              <w:t>Professional practice lectures for students by substitute teachers or experts from enterprises</w:t>
            </w:r>
          </w:p>
        </w:tc>
        <w:tc>
          <w:tcPr>
            <w:tcW w:w="735" w:type="dxa"/>
          </w:tcPr>
          <w:p w14:paraId="2D7E5138">
            <w:pPr>
              <w:snapToGrid w:val="0"/>
              <w:ind w:left="181" w:hanging="180" w:hangingChars="104"/>
              <w:jc w:val="center"/>
              <w:rPr>
                <w:rFonts w:ascii="Times New Roman" w:hAnsi="Times New Roman" w:eastAsia="仿宋" w:cs="Times New Roman"/>
                <w:bCs/>
                <w:spacing w:val="-3"/>
                <w:sz w:val="18"/>
                <w:szCs w:val="18"/>
              </w:rPr>
            </w:pPr>
            <w:r>
              <w:rPr>
                <w:rFonts w:hint="eastAsia" w:ascii="Times New Roman" w:hAnsi="Times New Roman" w:eastAsia="仿宋" w:cs="Times New Roman"/>
                <w:bCs/>
                <w:spacing w:val="-3"/>
                <w:sz w:val="18"/>
                <w:szCs w:val="18"/>
              </w:rPr>
              <w:t>1</w:t>
            </w:r>
            <w:r>
              <w:rPr>
                <w:rFonts w:ascii="Times New Roman" w:hAnsi="Times New Roman" w:eastAsia="仿宋" w:cs="Times New Roman"/>
                <w:bCs/>
                <w:spacing w:val="-3"/>
                <w:sz w:val="18"/>
                <w:szCs w:val="18"/>
              </w:rPr>
              <w:t>6</w:t>
            </w:r>
          </w:p>
        </w:tc>
        <w:tc>
          <w:tcPr>
            <w:tcW w:w="735" w:type="dxa"/>
            <w:vAlign w:val="center"/>
          </w:tcPr>
          <w:p w14:paraId="2A3A691A">
            <w:pPr>
              <w:snapToGrid w:val="0"/>
              <w:ind w:left="181" w:hanging="180" w:hangingChars="104"/>
              <w:jc w:val="center"/>
              <w:rPr>
                <w:rFonts w:ascii="Times New Roman" w:hAnsi="Times New Roman" w:eastAsia="仿宋" w:cs="Times New Roman"/>
                <w:bCs/>
                <w:spacing w:val="-3"/>
                <w:sz w:val="18"/>
                <w:szCs w:val="18"/>
              </w:rPr>
            </w:pPr>
          </w:p>
        </w:tc>
        <w:tc>
          <w:tcPr>
            <w:tcW w:w="735" w:type="dxa"/>
            <w:vAlign w:val="center"/>
          </w:tcPr>
          <w:p w14:paraId="01F0211A">
            <w:pPr>
              <w:snapToGrid w:val="0"/>
              <w:ind w:left="212" w:hanging="212" w:hangingChars="104"/>
              <w:jc w:val="center"/>
              <w:rPr>
                <w:rFonts w:ascii="Times New Roman" w:hAnsi="Times New Roman" w:eastAsia="仿宋" w:cs="Times New Roman"/>
                <w:bCs/>
                <w:spacing w:val="-3"/>
                <w:szCs w:val="21"/>
                <w:lang w:val="en-GB"/>
              </w:rPr>
            </w:pPr>
          </w:p>
        </w:tc>
        <w:tc>
          <w:tcPr>
            <w:tcW w:w="735" w:type="dxa"/>
            <w:vAlign w:val="center"/>
          </w:tcPr>
          <w:p w14:paraId="071F8C5D">
            <w:pPr>
              <w:snapToGrid w:val="0"/>
              <w:ind w:left="212" w:hanging="212" w:hangingChars="104"/>
              <w:jc w:val="center"/>
              <w:rPr>
                <w:rFonts w:ascii="Times New Roman" w:hAnsi="Times New Roman" w:eastAsia="仿宋" w:cs="Times New Roman"/>
                <w:bCs/>
                <w:spacing w:val="-3"/>
                <w:szCs w:val="21"/>
                <w:lang w:val="en-GB"/>
              </w:rPr>
            </w:pPr>
            <w:r>
              <w:rPr>
                <w:rFonts w:ascii="Times New Roman" w:hAnsi="Times New Roman" w:eastAsia="仿宋" w:cs="Times New Roman"/>
                <w:bCs/>
                <w:spacing w:val="-3"/>
                <w:szCs w:val="21"/>
              </w:rPr>
              <w:t>√</w:t>
            </w:r>
          </w:p>
        </w:tc>
        <w:tc>
          <w:tcPr>
            <w:tcW w:w="739" w:type="dxa"/>
            <w:vAlign w:val="center"/>
          </w:tcPr>
          <w:p w14:paraId="0F4294A9">
            <w:pPr>
              <w:snapToGrid w:val="0"/>
              <w:ind w:left="212" w:hanging="212" w:hangingChars="104"/>
              <w:jc w:val="center"/>
              <w:rPr>
                <w:rFonts w:ascii="Times New Roman" w:hAnsi="Times New Roman" w:eastAsia="仿宋" w:cs="Times New Roman"/>
                <w:bCs/>
                <w:spacing w:val="-3"/>
                <w:szCs w:val="21"/>
              </w:rPr>
            </w:pPr>
          </w:p>
        </w:tc>
      </w:tr>
    </w:tbl>
    <w:p w14:paraId="1C5D7F53">
      <w:pPr>
        <w:rPr>
          <w:rFonts w:ascii="Times New Roman" w:hAnsi="Times New Roman" w:eastAsia="黑体" w:cs="Times New Roman"/>
          <w:b/>
          <w:szCs w:val="21"/>
          <w:lang w:val="en-GB"/>
        </w:rPr>
      </w:pPr>
      <w:r>
        <w:rPr>
          <w:rFonts w:ascii="Times New Roman" w:hAnsi="Times New Roman" w:eastAsia="黑体" w:cs="Times New Roman"/>
          <w:b/>
          <w:szCs w:val="21"/>
          <w:lang w:val="en-GB"/>
        </w:rPr>
        <w:t>V. Safety Education</w:t>
      </w:r>
    </w:p>
    <w:p w14:paraId="49EA5863">
      <w:pPr>
        <w:rPr>
          <w:rFonts w:ascii="Times New Roman" w:hAnsi="Times New Roman" w:eastAsia="仿宋" w:cs="Times New Roman"/>
          <w:szCs w:val="21"/>
          <w:lang w:val="en-GB"/>
        </w:rPr>
      </w:pPr>
      <w:r>
        <w:rPr>
          <w:rFonts w:ascii="Times New Roman" w:hAnsi="Times New Roman" w:eastAsia="仿宋" w:cs="Times New Roman"/>
          <w:szCs w:val="21"/>
          <w:lang w:val="en-GB"/>
        </w:rPr>
        <w:t>Attend class on time, do not miss class, do not leave early, and listen carefully to the teacher's explanations.</w:t>
      </w:r>
    </w:p>
    <w:p w14:paraId="3E4DA183">
      <w:pPr>
        <w:rPr>
          <w:rFonts w:ascii="Times New Roman" w:hAnsi="Times New Roman" w:eastAsia="黑体" w:cs="Times New Roman"/>
          <w:b/>
          <w:szCs w:val="21"/>
          <w:lang w:val="en-GB"/>
        </w:rPr>
      </w:pPr>
      <w:r>
        <w:rPr>
          <w:rFonts w:ascii="Times New Roman" w:hAnsi="Times New Roman" w:eastAsia="黑体" w:cs="Times New Roman"/>
          <w:b/>
          <w:szCs w:val="21"/>
          <w:lang w:val="en-GB"/>
        </w:rPr>
        <w:t>VI. Evaluation</w:t>
      </w:r>
    </w:p>
    <w:p w14:paraId="4339E65F">
      <w:pPr>
        <w:rPr>
          <w:rFonts w:ascii="Times New Roman" w:hAnsi="Times New Roman" w:eastAsia="仿宋" w:cs="Times New Roman"/>
          <w:szCs w:val="21"/>
          <w:lang w:val="en-GB"/>
        </w:rPr>
      </w:pPr>
      <w:r>
        <w:rPr>
          <w:rFonts w:ascii="Times New Roman" w:hAnsi="Times New Roman" w:eastAsia="仿宋" w:cs="Times New Roman"/>
          <w:szCs w:val="21"/>
          <w:lang w:val="en-GB"/>
        </w:rPr>
        <w:t xml:space="preserve">Intern unit attendance is 10%, lecture </w:t>
      </w:r>
      <w:r>
        <w:rPr>
          <w:rFonts w:hint="eastAsia" w:ascii="Times New Roman" w:hAnsi="Times New Roman" w:eastAsia="仿宋" w:cs="Times New Roman"/>
          <w:szCs w:val="21"/>
          <w:lang w:val="en-GB"/>
        </w:rPr>
        <w:t>report</w:t>
      </w:r>
      <w:r>
        <w:rPr>
          <w:rFonts w:ascii="Times New Roman" w:hAnsi="Times New Roman" w:eastAsia="仿宋" w:cs="Times New Roman"/>
          <w:szCs w:val="21"/>
          <w:lang w:val="en-GB"/>
        </w:rPr>
        <w:t xml:space="preserve"> accounts for 20% of the total score, and final report score accounts for 70% of the total score.</w:t>
      </w:r>
    </w:p>
    <w:p w14:paraId="1F47A4CD">
      <w:pPr>
        <w:rPr>
          <w:rFonts w:ascii="Times New Roman" w:hAnsi="Times New Roman" w:eastAsia="仿宋" w:cs="Times New Roman"/>
          <w:szCs w:val="21"/>
          <w:lang w:val="en-GB"/>
        </w:rPr>
      </w:pPr>
      <w:r>
        <w:rPr>
          <w:rFonts w:ascii="Times New Roman" w:hAnsi="Times New Roman" w:eastAsia="仿宋" w:cs="Times New Roman"/>
          <w:szCs w:val="21"/>
          <w:lang w:val="en-GB"/>
        </w:rPr>
        <w:t>Combining cognitive internships and lecture content, choose one direction to conduct in-depth research and analysis (current situation, problems, suggestions, etc.), and form a group of 6-7 students to write a course report through division of labor and cooperation.</w:t>
      </w:r>
    </w:p>
    <w:p w14:paraId="1A8A2198">
      <w:pPr>
        <w:rPr>
          <w:rFonts w:ascii="Times New Roman" w:hAnsi="Times New Roman" w:eastAsia="黑体" w:cs="Times New Roman"/>
          <w:b/>
          <w:szCs w:val="21"/>
          <w:lang w:val="en-GB"/>
        </w:rPr>
      </w:pPr>
      <w:r>
        <w:rPr>
          <w:rFonts w:ascii="Times New Roman" w:hAnsi="Times New Roman" w:eastAsia="黑体" w:cs="Times New Roman"/>
          <w:b/>
          <w:szCs w:val="21"/>
          <w:lang w:val="en-GB"/>
        </w:rPr>
        <w:t>VII. Specific requirements:</w:t>
      </w:r>
    </w:p>
    <w:p w14:paraId="403784E2">
      <w:pPr>
        <w:rPr>
          <w:rFonts w:ascii="Times New Roman" w:hAnsi="Times New Roman" w:eastAsia="仿宋" w:cs="Times New Roman"/>
          <w:szCs w:val="21"/>
          <w:lang w:val="en-GB"/>
        </w:rPr>
      </w:pPr>
      <w:r>
        <w:rPr>
          <w:rFonts w:ascii="Times New Roman" w:hAnsi="Times New Roman" w:eastAsia="仿宋" w:cs="Times New Roman"/>
          <w:szCs w:val="21"/>
          <w:lang w:val="en-GB"/>
        </w:rPr>
        <w:t>1.Curriculum report covers (electronic versions) issued by teachers shall be uniformly formatted; the title and content are in Song typeface 4 and small 4, respectively, and the line spacing is 1.5 times. Chart format specification; the cover is printed one side, and the content is printed both ways;</w:t>
      </w:r>
    </w:p>
    <w:p w14:paraId="2CF1A293">
      <w:pPr>
        <w:rPr>
          <w:rFonts w:ascii="Times New Roman" w:hAnsi="Times New Roman" w:eastAsia="仿宋" w:cs="Times New Roman"/>
          <w:szCs w:val="21"/>
          <w:lang w:val="en-GB"/>
        </w:rPr>
      </w:pPr>
      <w:r>
        <w:rPr>
          <w:rFonts w:ascii="Times New Roman" w:hAnsi="Times New Roman" w:eastAsia="仿宋" w:cs="Times New Roman"/>
          <w:szCs w:val="21"/>
          <w:lang w:val="en-GB"/>
        </w:rPr>
        <w:t>2. A clear structure and hierarchy, clear logic, fluent language, and clear views, reflecting a high level of professionalism;</w:t>
      </w:r>
    </w:p>
    <w:p w14:paraId="4CF6BE63">
      <w:pPr>
        <w:rPr>
          <w:rFonts w:ascii="Times New Roman" w:hAnsi="Times New Roman" w:eastAsia="仿宋" w:cs="Times New Roman"/>
          <w:szCs w:val="21"/>
          <w:lang w:val="en-GB"/>
        </w:rPr>
      </w:pPr>
      <w:r>
        <w:rPr>
          <w:rFonts w:ascii="Times New Roman" w:hAnsi="Times New Roman" w:eastAsia="仿宋" w:cs="Times New Roman"/>
          <w:szCs w:val="21"/>
          <w:lang w:val="en-GB"/>
        </w:rPr>
        <w:t>3. The content is substantial, the argument is convincing, and the conclusion is true. Cite the source of any literature citations;</w:t>
      </w:r>
    </w:p>
    <w:p w14:paraId="30F2C5C4">
      <w:pPr>
        <w:rPr>
          <w:rFonts w:ascii="Times New Roman" w:hAnsi="Times New Roman" w:eastAsia="仿宋" w:cs="Times New Roman"/>
          <w:szCs w:val="21"/>
          <w:lang w:val="en-GB"/>
        </w:rPr>
      </w:pPr>
      <w:r>
        <w:rPr>
          <w:rFonts w:ascii="Times New Roman" w:hAnsi="Times New Roman" w:eastAsia="仿宋" w:cs="Times New Roman"/>
          <w:szCs w:val="21"/>
          <w:lang w:val="en-GB"/>
        </w:rPr>
        <w:t>4. The report must not be less than 5000 words in length.</w:t>
      </w:r>
    </w:p>
    <w:p w14:paraId="6C99B5F5">
      <w:pPr>
        <w:rPr>
          <w:rFonts w:ascii="Times New Roman" w:hAnsi="Times New Roman" w:eastAsia="黑体" w:cs="Times New Roman"/>
          <w:b/>
          <w:szCs w:val="21"/>
          <w:lang w:val="en-GB"/>
        </w:rPr>
      </w:pPr>
      <w:r>
        <w:rPr>
          <w:rFonts w:ascii="Times New Roman" w:hAnsi="Times New Roman" w:eastAsia="黑体" w:cs="Times New Roman"/>
          <w:b/>
          <w:szCs w:val="21"/>
          <w:lang w:val="en-GB"/>
        </w:rPr>
        <w:t>VII. Textbook and Reference</w:t>
      </w:r>
    </w:p>
    <w:p w14:paraId="5FE67C53">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None.</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g2N2RmNWQ5NmM5ZWE3MDE0ZGI5OWQxNTY2ZGMyMmIifQ=="/>
  </w:docVars>
  <w:rsids>
    <w:rsidRoot w:val="00BC67B7"/>
    <w:rsid w:val="000012F6"/>
    <w:rsid w:val="00016C51"/>
    <w:rsid w:val="0002163E"/>
    <w:rsid w:val="000226BF"/>
    <w:rsid w:val="00037816"/>
    <w:rsid w:val="000450CD"/>
    <w:rsid w:val="000547F8"/>
    <w:rsid w:val="00055E58"/>
    <w:rsid w:val="00073D06"/>
    <w:rsid w:val="000B6822"/>
    <w:rsid w:val="00105CF1"/>
    <w:rsid w:val="00120828"/>
    <w:rsid w:val="00127917"/>
    <w:rsid w:val="00164A0A"/>
    <w:rsid w:val="001753DB"/>
    <w:rsid w:val="001C7304"/>
    <w:rsid w:val="001F03AD"/>
    <w:rsid w:val="002276EE"/>
    <w:rsid w:val="0023022E"/>
    <w:rsid w:val="00242929"/>
    <w:rsid w:val="00252CD0"/>
    <w:rsid w:val="00260D83"/>
    <w:rsid w:val="00262E6F"/>
    <w:rsid w:val="002758A2"/>
    <w:rsid w:val="002A236D"/>
    <w:rsid w:val="002D003F"/>
    <w:rsid w:val="002E098E"/>
    <w:rsid w:val="002F1FA9"/>
    <w:rsid w:val="0030767C"/>
    <w:rsid w:val="003527E4"/>
    <w:rsid w:val="003540BA"/>
    <w:rsid w:val="003B15CF"/>
    <w:rsid w:val="003D2D07"/>
    <w:rsid w:val="003D5125"/>
    <w:rsid w:val="003F1339"/>
    <w:rsid w:val="003F7F36"/>
    <w:rsid w:val="004140B3"/>
    <w:rsid w:val="004164C0"/>
    <w:rsid w:val="004328B9"/>
    <w:rsid w:val="004617FA"/>
    <w:rsid w:val="00471C8A"/>
    <w:rsid w:val="004C62F2"/>
    <w:rsid w:val="004D4355"/>
    <w:rsid w:val="004F585A"/>
    <w:rsid w:val="0050046C"/>
    <w:rsid w:val="00503321"/>
    <w:rsid w:val="005327A3"/>
    <w:rsid w:val="00537518"/>
    <w:rsid w:val="00546B05"/>
    <w:rsid w:val="005551B7"/>
    <w:rsid w:val="00571584"/>
    <w:rsid w:val="005924A4"/>
    <w:rsid w:val="0059543E"/>
    <w:rsid w:val="00596152"/>
    <w:rsid w:val="005A0FDC"/>
    <w:rsid w:val="005A4B9D"/>
    <w:rsid w:val="005A5309"/>
    <w:rsid w:val="005C27C9"/>
    <w:rsid w:val="005D0EB7"/>
    <w:rsid w:val="00613316"/>
    <w:rsid w:val="0062645D"/>
    <w:rsid w:val="00627399"/>
    <w:rsid w:val="006761DB"/>
    <w:rsid w:val="00677F3C"/>
    <w:rsid w:val="00681917"/>
    <w:rsid w:val="00690E08"/>
    <w:rsid w:val="00691F37"/>
    <w:rsid w:val="006B2C0D"/>
    <w:rsid w:val="006C732D"/>
    <w:rsid w:val="006E7DDD"/>
    <w:rsid w:val="006F7C1D"/>
    <w:rsid w:val="0072007F"/>
    <w:rsid w:val="007276A9"/>
    <w:rsid w:val="007360AD"/>
    <w:rsid w:val="007402E0"/>
    <w:rsid w:val="00783262"/>
    <w:rsid w:val="007B3335"/>
    <w:rsid w:val="007D6466"/>
    <w:rsid w:val="007D6B6C"/>
    <w:rsid w:val="007F5EE5"/>
    <w:rsid w:val="007F70BE"/>
    <w:rsid w:val="008075C7"/>
    <w:rsid w:val="008416AB"/>
    <w:rsid w:val="008904AC"/>
    <w:rsid w:val="00893C79"/>
    <w:rsid w:val="008D00F4"/>
    <w:rsid w:val="008D1B7D"/>
    <w:rsid w:val="008D7B68"/>
    <w:rsid w:val="0091128F"/>
    <w:rsid w:val="009329EB"/>
    <w:rsid w:val="00937EB0"/>
    <w:rsid w:val="00952E43"/>
    <w:rsid w:val="00954F58"/>
    <w:rsid w:val="009823A0"/>
    <w:rsid w:val="00997260"/>
    <w:rsid w:val="009E7044"/>
    <w:rsid w:val="009F79C9"/>
    <w:rsid w:val="00A72E27"/>
    <w:rsid w:val="00A869CB"/>
    <w:rsid w:val="00A912DA"/>
    <w:rsid w:val="00AA37CA"/>
    <w:rsid w:val="00AC5BFF"/>
    <w:rsid w:val="00AF16E6"/>
    <w:rsid w:val="00B11384"/>
    <w:rsid w:val="00B20FFF"/>
    <w:rsid w:val="00B36916"/>
    <w:rsid w:val="00B41E4A"/>
    <w:rsid w:val="00B62EB5"/>
    <w:rsid w:val="00B73111"/>
    <w:rsid w:val="00B73647"/>
    <w:rsid w:val="00B83E49"/>
    <w:rsid w:val="00BB12C6"/>
    <w:rsid w:val="00BB30B6"/>
    <w:rsid w:val="00BC0B32"/>
    <w:rsid w:val="00BC67B7"/>
    <w:rsid w:val="00BD2D02"/>
    <w:rsid w:val="00BE0EE0"/>
    <w:rsid w:val="00C25C32"/>
    <w:rsid w:val="00C47CCC"/>
    <w:rsid w:val="00C80493"/>
    <w:rsid w:val="00C849E0"/>
    <w:rsid w:val="00CA7E72"/>
    <w:rsid w:val="00CE2D8A"/>
    <w:rsid w:val="00CE2E71"/>
    <w:rsid w:val="00CF5C6E"/>
    <w:rsid w:val="00CF6A0F"/>
    <w:rsid w:val="00D15DCB"/>
    <w:rsid w:val="00D17364"/>
    <w:rsid w:val="00D2734E"/>
    <w:rsid w:val="00D3236B"/>
    <w:rsid w:val="00D37EE4"/>
    <w:rsid w:val="00D97DB8"/>
    <w:rsid w:val="00DA1966"/>
    <w:rsid w:val="00DA6CFF"/>
    <w:rsid w:val="00DC4214"/>
    <w:rsid w:val="00DD3DC1"/>
    <w:rsid w:val="00DE78C4"/>
    <w:rsid w:val="00E02CD4"/>
    <w:rsid w:val="00E1410B"/>
    <w:rsid w:val="00E16DCA"/>
    <w:rsid w:val="00E6192A"/>
    <w:rsid w:val="00E673C9"/>
    <w:rsid w:val="00E8509C"/>
    <w:rsid w:val="00EA66BF"/>
    <w:rsid w:val="00EB4605"/>
    <w:rsid w:val="00F10D28"/>
    <w:rsid w:val="00F12F8F"/>
    <w:rsid w:val="00F22B8D"/>
    <w:rsid w:val="00F25791"/>
    <w:rsid w:val="00F30218"/>
    <w:rsid w:val="00F51BDD"/>
    <w:rsid w:val="00F76782"/>
    <w:rsid w:val="00F83B47"/>
    <w:rsid w:val="00F9273B"/>
    <w:rsid w:val="00F934F8"/>
    <w:rsid w:val="00F97AED"/>
    <w:rsid w:val="00FA103F"/>
    <w:rsid w:val="14515DD5"/>
    <w:rsid w:val="159C3EAD"/>
    <w:rsid w:val="22F32E79"/>
    <w:rsid w:val="2C862667"/>
    <w:rsid w:val="32BD0642"/>
    <w:rsid w:val="3FC25A31"/>
    <w:rsid w:val="40B72AFB"/>
    <w:rsid w:val="46420DB4"/>
    <w:rsid w:val="4E396E11"/>
    <w:rsid w:val="5192449B"/>
    <w:rsid w:val="565151E5"/>
    <w:rsid w:val="5FE96F45"/>
    <w:rsid w:val="636649C5"/>
    <w:rsid w:val="75AC5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character" w:customStyle="1" w:styleId="10">
    <w:name w:val="批注框文本 字符"/>
    <w:basedOn w:val="7"/>
    <w:link w:val="2"/>
    <w:semiHidden/>
    <w:qFormat/>
    <w:uiPriority w:val="99"/>
    <w:rPr>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1770</Words>
  <Characters>4949</Characters>
  <Lines>46</Lines>
  <Paragraphs>13</Paragraphs>
  <TotalTime>4</TotalTime>
  <ScaleCrop>false</ScaleCrop>
  <LinksUpToDate>false</LinksUpToDate>
  <CharactersWithSpaces>5552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2024-08-26T05:50:00Z</dcterms:created>
  <dc:creator>Admin</dc:creator>
  <cp:lastModifiedBy>人间不值得</cp:lastModifiedBy>
  <dcterms:modified xsi:type="dcterms:W3CDTF">2024-08-31T07:41:50Z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13F90DCE804D46FE8DC8C61149C9505B_13</vt:lpwstr>
  </property>
</Properties>
</file>