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1138D">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3A47B0C2">
      <w:pPr>
        <w:spacing w:line="480" w:lineRule="auto"/>
        <w:rPr>
          <w:rFonts w:ascii="宋体" w:hAnsi="宋体"/>
          <w:color w:val="000000"/>
          <w:sz w:val="44"/>
          <w:szCs w:val="20"/>
        </w:rPr>
      </w:pPr>
    </w:p>
    <w:p w14:paraId="6B54E694">
      <w:pPr>
        <w:tabs>
          <w:tab w:val="left" w:pos="880"/>
        </w:tabs>
        <w:spacing w:line="480" w:lineRule="auto"/>
        <w:rPr>
          <w:rFonts w:ascii="宋体" w:hAnsi="宋体"/>
          <w:color w:val="000000"/>
          <w:sz w:val="44"/>
          <w:szCs w:val="20"/>
        </w:rPr>
      </w:pPr>
      <w:r>
        <w:rPr>
          <w:rFonts w:ascii="宋体" w:hAnsi="宋体"/>
          <w:color w:val="000000"/>
          <w:sz w:val="44"/>
          <w:szCs w:val="20"/>
        </w:rPr>
        <w:tab/>
      </w:r>
    </w:p>
    <w:p w14:paraId="331EAF62">
      <w:pPr>
        <w:spacing w:line="480" w:lineRule="auto"/>
        <w:rPr>
          <w:rFonts w:ascii="宋体" w:hAnsi="宋体"/>
          <w:color w:val="000000"/>
          <w:sz w:val="44"/>
          <w:szCs w:val="20"/>
        </w:rPr>
      </w:pPr>
    </w:p>
    <w:p w14:paraId="3B3B0091">
      <w:pPr>
        <w:spacing w:line="480" w:lineRule="auto"/>
        <w:jc w:val="center"/>
        <w:rPr>
          <w:rFonts w:eastAsia="黑体"/>
          <w:color w:val="000000"/>
          <w:sz w:val="44"/>
        </w:rPr>
      </w:pPr>
      <w:r>
        <w:rPr>
          <w:rFonts w:hint="eastAsia" w:eastAsia="黑体"/>
          <w:color w:val="000000"/>
          <w:sz w:val="44"/>
        </w:rPr>
        <w:t>《</w:t>
      </w:r>
      <w:r>
        <w:rPr>
          <w:rFonts w:hint="eastAsia" w:eastAsia="黑体"/>
          <w:color w:val="000000" w:themeColor="text1"/>
          <w:sz w:val="44"/>
          <w14:textFill>
            <w14:solidFill>
              <w14:schemeClr w14:val="tx1"/>
            </w14:solidFill>
          </w14:textFill>
        </w:rPr>
        <w:t>政治经济学</w:t>
      </w:r>
      <w:r>
        <w:rPr>
          <w:rFonts w:hint="eastAsia" w:eastAsia="黑体"/>
          <w:color w:val="000000"/>
          <w:sz w:val="44"/>
        </w:rPr>
        <w:t>》教学大纲</w:t>
      </w:r>
    </w:p>
    <w:p w14:paraId="61919CD5">
      <w:pPr>
        <w:spacing w:line="480" w:lineRule="auto"/>
        <w:jc w:val="center"/>
        <w:rPr>
          <w:rFonts w:ascii="仿宋" w:hAnsi="仿宋" w:eastAsia="仿宋"/>
          <w:color w:val="000000"/>
          <w:sz w:val="28"/>
          <w:u w:val="single"/>
        </w:rPr>
      </w:pPr>
      <w:r>
        <w:rPr>
          <w:rFonts w:hint="eastAsia" w:ascii="仿宋" w:hAnsi="仿宋" w:eastAsia="仿宋"/>
          <w:color w:val="000000"/>
          <w:sz w:val="28"/>
          <w:u w:val="single"/>
        </w:rPr>
        <w:t>（第一版）</w:t>
      </w:r>
    </w:p>
    <w:p w14:paraId="2A3A6F45">
      <w:pPr>
        <w:spacing w:line="480" w:lineRule="auto"/>
        <w:rPr>
          <w:color w:val="000000"/>
          <w:sz w:val="32"/>
          <w:szCs w:val="20"/>
        </w:rPr>
      </w:pPr>
    </w:p>
    <w:p w14:paraId="1ECB8661">
      <w:pPr>
        <w:spacing w:line="480" w:lineRule="auto"/>
        <w:rPr>
          <w:color w:val="000000"/>
          <w:sz w:val="32"/>
          <w:szCs w:val="20"/>
        </w:rPr>
      </w:pPr>
    </w:p>
    <w:p w14:paraId="00EF08B1">
      <w:pPr>
        <w:spacing w:line="480" w:lineRule="auto"/>
        <w:rPr>
          <w:color w:val="000000"/>
          <w:sz w:val="32"/>
          <w:szCs w:val="20"/>
        </w:rPr>
      </w:pPr>
    </w:p>
    <w:p w14:paraId="6D2D0C6B">
      <w:pPr>
        <w:spacing w:line="480" w:lineRule="auto"/>
        <w:rPr>
          <w:color w:val="000000"/>
          <w:sz w:val="32"/>
          <w:szCs w:val="20"/>
        </w:rPr>
      </w:pPr>
    </w:p>
    <w:p w14:paraId="744265D2">
      <w:pPr>
        <w:spacing w:line="480" w:lineRule="auto"/>
        <w:rPr>
          <w:color w:val="000000"/>
          <w:sz w:val="32"/>
          <w:szCs w:val="20"/>
        </w:rPr>
      </w:pPr>
    </w:p>
    <w:p w14:paraId="324925E5">
      <w:pPr>
        <w:spacing w:line="480" w:lineRule="auto"/>
        <w:rPr>
          <w:color w:val="000000"/>
          <w:sz w:val="32"/>
          <w:szCs w:val="20"/>
        </w:rPr>
      </w:pPr>
    </w:p>
    <w:p w14:paraId="3B3F9EBA">
      <w:pPr>
        <w:spacing w:line="480" w:lineRule="auto"/>
        <w:rPr>
          <w:color w:val="000000"/>
          <w:sz w:val="32"/>
          <w:szCs w:val="20"/>
        </w:rPr>
      </w:pPr>
    </w:p>
    <w:p w14:paraId="12B92BED">
      <w:pPr>
        <w:spacing w:line="480" w:lineRule="auto"/>
        <w:rPr>
          <w:color w:val="000000"/>
          <w:sz w:val="28"/>
          <w:u w:val="single"/>
        </w:rPr>
      </w:pPr>
    </w:p>
    <w:tbl>
      <w:tblPr>
        <w:tblStyle w:val="10"/>
        <w:tblW w:w="0" w:type="auto"/>
        <w:jc w:val="center"/>
        <w:tblLayout w:type="autofit"/>
        <w:tblCellMar>
          <w:top w:w="0" w:type="dxa"/>
          <w:left w:w="108" w:type="dxa"/>
          <w:bottom w:w="0" w:type="dxa"/>
          <w:right w:w="108" w:type="dxa"/>
        </w:tblCellMar>
      </w:tblPr>
      <w:tblGrid>
        <w:gridCol w:w="2376"/>
        <w:gridCol w:w="3969"/>
      </w:tblGrid>
      <w:tr w14:paraId="4AA83283">
        <w:tblPrEx>
          <w:tblCellMar>
            <w:top w:w="0" w:type="dxa"/>
            <w:left w:w="108" w:type="dxa"/>
            <w:bottom w:w="0" w:type="dxa"/>
            <w:right w:w="108" w:type="dxa"/>
          </w:tblCellMar>
        </w:tblPrEx>
        <w:trPr>
          <w:jc w:val="center"/>
        </w:trPr>
        <w:tc>
          <w:tcPr>
            <w:tcW w:w="2376" w:type="dxa"/>
            <w:shd w:val="clear" w:color="auto" w:fill="auto"/>
            <w:vAlign w:val="bottom"/>
          </w:tcPr>
          <w:p w14:paraId="64D6DB38">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21A4CF0F">
            <w:pPr>
              <w:spacing w:line="480" w:lineRule="auto"/>
              <w:jc w:val="center"/>
              <w:rPr>
                <w:color w:val="000000"/>
                <w:sz w:val="28"/>
              </w:rPr>
            </w:pPr>
            <w:r>
              <w:rPr>
                <w:rFonts w:hint="eastAsia"/>
                <w:color w:val="000000"/>
                <w:sz w:val="28"/>
              </w:rPr>
              <w:t>王其猛</w:t>
            </w:r>
            <w:r>
              <w:rPr>
                <w:color w:val="000000"/>
                <w:sz w:val="28"/>
              </w:rPr>
              <w:t xml:space="preserve"> </w:t>
            </w:r>
          </w:p>
        </w:tc>
      </w:tr>
      <w:tr w14:paraId="3182C34C">
        <w:tblPrEx>
          <w:tblCellMar>
            <w:top w:w="0" w:type="dxa"/>
            <w:left w:w="108" w:type="dxa"/>
            <w:bottom w:w="0" w:type="dxa"/>
            <w:right w:w="108" w:type="dxa"/>
          </w:tblCellMar>
        </w:tblPrEx>
        <w:trPr>
          <w:jc w:val="center"/>
        </w:trPr>
        <w:tc>
          <w:tcPr>
            <w:tcW w:w="2376" w:type="dxa"/>
            <w:shd w:val="clear" w:color="auto" w:fill="auto"/>
            <w:vAlign w:val="bottom"/>
          </w:tcPr>
          <w:p w14:paraId="31A6B10B">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62E2CA96">
            <w:pPr>
              <w:spacing w:line="480" w:lineRule="auto"/>
              <w:jc w:val="center"/>
              <w:rPr>
                <w:color w:val="000000"/>
                <w:sz w:val="28"/>
              </w:rPr>
            </w:pPr>
            <w:r>
              <w:rPr>
                <w:rFonts w:hint="eastAsia"/>
                <w:color w:val="000000"/>
                <w:sz w:val="28"/>
              </w:rPr>
              <w:t>张海霞</w:t>
            </w:r>
          </w:p>
        </w:tc>
      </w:tr>
    </w:tbl>
    <w:p w14:paraId="008AF62E">
      <w:pPr>
        <w:jc w:val="center"/>
        <w:rPr>
          <w:rFonts w:ascii="仿宋" w:hAnsi="仿宋" w:eastAsia="仿宋"/>
          <w:color w:val="000000"/>
          <w:sz w:val="28"/>
          <w:u w:val="single"/>
        </w:rPr>
      </w:pPr>
    </w:p>
    <w:p w14:paraId="6E1305B2">
      <w:pPr>
        <w:jc w:val="center"/>
        <w:rPr>
          <w:rFonts w:ascii="仿宋" w:hAnsi="仿宋" w:eastAsia="仿宋"/>
          <w:color w:val="000000"/>
          <w:sz w:val="28"/>
          <w:u w:val="single"/>
        </w:rPr>
      </w:pPr>
    </w:p>
    <w:p w14:paraId="6ACE6656">
      <w:pPr>
        <w:jc w:val="center"/>
        <w:rPr>
          <w:rFonts w:ascii="仿宋" w:hAnsi="仿宋" w:eastAsia="仿宋"/>
          <w:color w:val="0070C0"/>
        </w:rPr>
      </w:pPr>
      <w:r>
        <w:rPr>
          <w:rFonts w:hint="eastAsia" w:ascii="仿宋" w:hAnsi="仿宋" w:eastAsia="仿宋"/>
          <w:color w:val="000000"/>
          <w:sz w:val="28"/>
          <w:u w:val="single"/>
        </w:rPr>
        <w:t>2024年06月修订</w:t>
      </w:r>
      <w:r>
        <w:rPr>
          <w:rFonts w:ascii="仿宋_GB2312" w:eastAsia="仿宋_GB2312"/>
          <w:b/>
          <w:bCs/>
          <w:color w:val="000000"/>
          <w:sz w:val="28"/>
          <w:szCs w:val="28"/>
        </w:rPr>
        <w:br w:type="page"/>
      </w:r>
      <w:bookmarkStart w:id="0" w:name="_Toc231228604"/>
    </w:p>
    <w:p w14:paraId="0B38F38C">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10"/>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11AF5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2E3F08B">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1D8FBE31">
            <w:pPr>
              <w:jc w:val="center"/>
              <w:rPr>
                <w:rFonts w:ascii="仿宋" w:hAnsi="仿宋" w:eastAsia="仿宋"/>
                <w:color w:val="000000" w:themeColor="text1"/>
                <w:sz w:val="24"/>
                <w14:textFill>
                  <w14:solidFill>
                    <w14:schemeClr w14:val="tx1"/>
                  </w14:solidFill>
                </w14:textFill>
              </w:rPr>
            </w:pPr>
            <w:r>
              <w:rPr>
                <w:rFonts w:hint="eastAsia" w:ascii="仿宋" w:hAnsi="仿宋" w:eastAsia="仿宋"/>
                <w:szCs w:val="21"/>
              </w:rPr>
              <w:t>160719T022</w:t>
            </w:r>
          </w:p>
        </w:tc>
        <w:tc>
          <w:tcPr>
            <w:tcW w:w="1446" w:type="dxa"/>
            <w:vAlign w:val="center"/>
          </w:tcPr>
          <w:p w14:paraId="2E803265">
            <w:pPr>
              <w:jc w:val="center"/>
              <w:rPr>
                <w:rFonts w:ascii="仿宋" w:hAnsi="仿宋" w:eastAsia="仿宋"/>
                <w:b/>
                <w:color w:val="000000" w:themeColor="text1"/>
                <w:sz w:val="24"/>
                <w14:textFill>
                  <w14:solidFill>
                    <w14:schemeClr w14:val="tx1"/>
                  </w14:solidFill>
                </w14:textFill>
              </w:rPr>
            </w:pPr>
            <w:r>
              <w:rPr>
                <w:rFonts w:ascii="仿宋" w:hAnsi="仿宋" w:eastAsia="仿宋"/>
                <w:b/>
                <w:color w:val="000000" w:themeColor="text1"/>
                <w:sz w:val="24"/>
                <w14:textFill>
                  <w14:solidFill>
                    <w14:schemeClr w14:val="tx1"/>
                  </w14:solidFill>
                </w14:textFill>
              </w:rPr>
              <w:t>开课</w:t>
            </w:r>
            <w:r>
              <w:rPr>
                <w:rFonts w:hint="eastAsia" w:ascii="仿宋" w:hAnsi="仿宋" w:eastAsia="仿宋"/>
                <w:b/>
                <w:color w:val="000000" w:themeColor="text1"/>
                <w:sz w:val="24"/>
                <w14:textFill>
                  <w14:solidFill>
                    <w14:schemeClr w14:val="tx1"/>
                  </w14:solidFill>
                </w14:textFill>
              </w:rPr>
              <w:t>单位</w:t>
            </w:r>
          </w:p>
        </w:tc>
        <w:tc>
          <w:tcPr>
            <w:tcW w:w="2314" w:type="dxa"/>
            <w:gridSpan w:val="2"/>
            <w:vAlign w:val="center"/>
          </w:tcPr>
          <w:p w14:paraId="071A294E">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工商管理学院</w:t>
            </w:r>
          </w:p>
        </w:tc>
      </w:tr>
      <w:tr w14:paraId="3C6D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F74839D">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03E9D3C3">
            <w:pPr>
              <w:jc w:val="center"/>
              <w:rPr>
                <w:rFonts w:ascii="仿宋" w:hAnsi="仿宋" w:eastAsia="仿宋"/>
                <w:color w:val="000000" w:themeColor="text1"/>
                <w:sz w:val="24"/>
                <w14:textFill>
                  <w14:solidFill>
                    <w14:schemeClr w14:val="tx1"/>
                  </w14:solidFill>
                </w14:textFill>
              </w:rPr>
            </w:pPr>
            <w:r>
              <w:rPr>
                <w:rFonts w:hint="eastAsia" w:ascii="仿宋" w:hAnsi="仿宋" w:eastAsia="仿宋"/>
                <w:szCs w:val="21"/>
              </w:rPr>
              <w:t>政治经济学</w:t>
            </w:r>
          </w:p>
        </w:tc>
      </w:tr>
      <w:tr w14:paraId="663D4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4152C73">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4B57113E">
            <w:pPr>
              <w:jc w:val="center"/>
              <w:rPr>
                <w:rFonts w:ascii="仿宋" w:hAnsi="仿宋" w:eastAsia="仿宋"/>
                <w:color w:val="000000" w:themeColor="text1"/>
                <w:sz w:val="24"/>
                <w14:textFill>
                  <w14:solidFill>
                    <w14:schemeClr w14:val="tx1"/>
                  </w14:solidFill>
                </w14:textFill>
              </w:rPr>
            </w:pPr>
            <w:r>
              <w:rPr>
                <w:rFonts w:hint="eastAsia" w:ascii="仿宋" w:hAnsi="仿宋" w:eastAsia="仿宋"/>
                <w:szCs w:val="21"/>
              </w:rPr>
              <w:t xml:space="preserve">The </w:t>
            </w:r>
            <w:r>
              <w:rPr>
                <w:rFonts w:hint="eastAsia" w:ascii="仿宋" w:hAnsi="仿宋" w:eastAsia="仿宋"/>
                <w:szCs w:val="21"/>
                <w:lang w:val="en-GB"/>
              </w:rPr>
              <w:t>political economics</w:t>
            </w:r>
          </w:p>
        </w:tc>
      </w:tr>
      <w:tr w14:paraId="5C1C0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8B4F679">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316072AC">
            <w:pPr>
              <w:jc w:val="left"/>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经济学、金融学专业必修课</w:t>
            </w:r>
          </w:p>
        </w:tc>
      </w:tr>
      <w:tr w14:paraId="0C360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B4BFDBF">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6D525FE7">
            <w:pPr>
              <w:jc w:val="left"/>
              <w:rPr>
                <w:rFonts w:ascii="仿宋" w:hAnsi="仿宋" w:eastAsia="仿宋"/>
                <w:color w:val="0070C0"/>
                <w:sz w:val="24"/>
              </w:rPr>
            </w:pPr>
            <w:r>
              <w:rPr>
                <w:rFonts w:hint="eastAsia" w:ascii="仿宋" w:hAnsi="仿宋" w:eastAsia="仿宋"/>
                <w:color w:val="000000" w:themeColor="text1"/>
                <w:sz w:val="24"/>
                <w14:textFill>
                  <w14:solidFill>
                    <w14:schemeClr w14:val="tx1"/>
                  </w14:solidFill>
                </w14:textFill>
              </w:rPr>
              <w:t>经济学、金融学</w:t>
            </w:r>
          </w:p>
        </w:tc>
      </w:tr>
      <w:tr w14:paraId="27ED5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EC7ABE1">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1D19A052">
            <w:pPr>
              <w:jc w:val="center"/>
              <w:rPr>
                <w:rFonts w:ascii="仿宋" w:hAnsi="仿宋" w:eastAsia="仿宋"/>
                <w:color w:val="000000"/>
                <w:sz w:val="24"/>
              </w:rPr>
            </w:pPr>
            <w:r>
              <w:rPr>
                <w:rFonts w:ascii="仿宋" w:hAnsi="仿宋" w:eastAsia="仿宋"/>
                <w:color w:val="000000"/>
                <w:sz w:val="24"/>
              </w:rPr>
              <w:t>4</w:t>
            </w:r>
          </w:p>
        </w:tc>
        <w:tc>
          <w:tcPr>
            <w:tcW w:w="1693" w:type="dxa"/>
            <w:gridSpan w:val="2"/>
            <w:vAlign w:val="center"/>
          </w:tcPr>
          <w:p w14:paraId="7B282B7F">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4F19B2CD">
            <w:pPr>
              <w:jc w:val="center"/>
              <w:rPr>
                <w:rFonts w:ascii="仿宋" w:hAnsi="仿宋" w:eastAsia="仿宋"/>
                <w:color w:val="000000"/>
                <w:sz w:val="24"/>
              </w:rPr>
            </w:pPr>
            <w:r>
              <w:rPr>
                <w:rFonts w:ascii="仿宋" w:hAnsi="仿宋" w:eastAsia="仿宋"/>
                <w:color w:val="000000"/>
                <w:sz w:val="24"/>
              </w:rPr>
              <w:t>64</w:t>
            </w:r>
          </w:p>
        </w:tc>
      </w:tr>
      <w:tr w14:paraId="10E4E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6827474">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65BA6752">
            <w:pPr>
              <w:jc w:val="center"/>
              <w:rPr>
                <w:rFonts w:ascii="仿宋" w:hAnsi="仿宋" w:eastAsia="仿宋"/>
                <w:color w:val="000000"/>
                <w:sz w:val="24"/>
              </w:rPr>
            </w:pPr>
            <w:r>
              <w:rPr>
                <w:rFonts w:ascii="仿宋" w:hAnsi="仿宋" w:eastAsia="仿宋"/>
                <w:color w:val="000000"/>
                <w:sz w:val="24"/>
              </w:rPr>
              <w:t>64</w:t>
            </w:r>
          </w:p>
        </w:tc>
        <w:tc>
          <w:tcPr>
            <w:tcW w:w="1693" w:type="dxa"/>
            <w:gridSpan w:val="2"/>
            <w:vAlign w:val="center"/>
          </w:tcPr>
          <w:p w14:paraId="3B1AA52F">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083FC13D">
            <w:pPr>
              <w:jc w:val="center"/>
              <w:rPr>
                <w:rFonts w:ascii="仿宋" w:hAnsi="仿宋" w:eastAsia="仿宋"/>
                <w:color w:val="000000"/>
                <w:sz w:val="24"/>
              </w:rPr>
            </w:pPr>
            <w:r>
              <w:rPr>
                <w:rFonts w:hint="eastAsia" w:ascii="仿宋" w:hAnsi="仿宋" w:eastAsia="仿宋"/>
                <w:color w:val="000000"/>
                <w:sz w:val="24"/>
              </w:rPr>
              <w:t>0</w:t>
            </w:r>
          </w:p>
        </w:tc>
      </w:tr>
      <w:tr w14:paraId="400FE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88D19C7">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1822C136">
            <w:pPr>
              <w:jc w:val="center"/>
              <w:rPr>
                <w:rFonts w:ascii="仿宋" w:hAnsi="仿宋" w:eastAsia="仿宋"/>
                <w:color w:val="000000"/>
                <w:sz w:val="24"/>
              </w:rPr>
            </w:pPr>
            <w:r>
              <w:rPr>
                <w:rFonts w:hint="eastAsia" w:ascii="仿宋" w:hAnsi="仿宋" w:eastAsia="仿宋"/>
                <w:color w:val="000000"/>
                <w:sz w:val="24"/>
              </w:rPr>
              <w:t>0</w:t>
            </w:r>
          </w:p>
        </w:tc>
        <w:tc>
          <w:tcPr>
            <w:tcW w:w="1693" w:type="dxa"/>
            <w:gridSpan w:val="2"/>
            <w:vAlign w:val="center"/>
          </w:tcPr>
          <w:p w14:paraId="085AE6E6">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2258B476">
            <w:pPr>
              <w:jc w:val="center"/>
              <w:rPr>
                <w:rFonts w:ascii="仿宋" w:hAnsi="仿宋" w:eastAsia="仿宋"/>
                <w:color w:val="000000"/>
                <w:sz w:val="24"/>
              </w:rPr>
            </w:pPr>
            <w:r>
              <w:rPr>
                <w:rFonts w:hint="eastAsia" w:ascii="仿宋" w:hAnsi="仿宋" w:eastAsia="仿宋"/>
                <w:color w:val="000000"/>
                <w:sz w:val="24"/>
              </w:rPr>
              <w:t>0</w:t>
            </w:r>
          </w:p>
        </w:tc>
      </w:tr>
      <w:tr w14:paraId="2DE2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C4980D3">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6ADFFC63">
            <w:pPr>
              <w:jc w:val="center"/>
              <w:rPr>
                <w:rFonts w:ascii="仿宋" w:hAnsi="仿宋" w:eastAsia="仿宋"/>
                <w:color w:val="000000"/>
                <w:sz w:val="24"/>
              </w:rPr>
            </w:pPr>
            <w:r>
              <w:rPr>
                <w:rFonts w:hint="eastAsia" w:ascii="仿宋" w:hAnsi="仿宋" w:eastAsia="仿宋"/>
                <w:color w:val="000000"/>
                <w:sz w:val="24"/>
              </w:rPr>
              <w:t>无</w:t>
            </w:r>
          </w:p>
        </w:tc>
      </w:tr>
    </w:tbl>
    <w:p w14:paraId="5C73304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65BA0C9F">
      <w:pPr>
        <w:tabs>
          <w:tab w:val="left" w:pos="-5670"/>
          <w:tab w:val="left" w:pos="-5245"/>
          <w:tab w:val="left" w:pos="1134"/>
        </w:tabs>
        <w:spacing w:before="156" w:beforeLines="50" w:after="156" w:afterLines="50"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政治经济学》是高等学校经济学类核心课程之一。政治经济学是关于人类经济活动的系统化、理论化的认识，是关于经济活动的基础理论。政治经济学是无产阶级进行社会经济革命的指导思想，也是我国进行社会经济建设的理论依据，更是人类知识结构的基础学科。政治经济学是马克思《资本论》的重要组成部分，其蕴含的经济基础及哲学分析方法具有前瞻性的指导意义，其基础知识与每个公民的就业、收入、财产、投资、消费等日常生活，与生活在其中的商品交换、货币流通、生产方式、所有制、经济全球化、国际安全等，均是密切相关的，其对当代大学生的价值观养成、意识形态的培养具有非常重要的作用。本课程力图介绍政治经济学的基本原理，让同学们懂得经济运行的规律及内涵。</w:t>
      </w:r>
    </w:p>
    <w:p w14:paraId="52217289">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6833C131">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24876352">
      <w:pPr>
        <w:spacing w:line="360" w:lineRule="auto"/>
        <w:ind w:firstLine="482" w:firstLineChars="200"/>
        <w:rPr>
          <w:rFonts w:ascii="仿宋" w:hAnsi="仿宋" w:eastAsia="仿宋"/>
          <w:bCs/>
          <w:color w:val="000000" w:themeColor="text1"/>
          <w:sz w:val="24"/>
          <w14:textFill>
            <w14:solidFill>
              <w14:schemeClr w14:val="tx1"/>
            </w14:solidFill>
          </w14:textFill>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hint="eastAsia" w:ascii="仿宋" w:hAnsi="仿宋" w:eastAsia="仿宋"/>
          <w:bCs/>
          <w:color w:val="000000" w:themeColor="text1"/>
          <w:sz w:val="24"/>
          <w14:textFill>
            <w14:solidFill>
              <w14:schemeClr w14:val="tx1"/>
            </w14:solidFill>
          </w14:textFill>
        </w:rPr>
        <w:t>《政治经济学》课程作为对学生进行社会主义核心价值观教育的课程，要求学生掌握马克思主义政治经济学的基本原理、基本观点、基本方法，培养学生具备坚定正确的政治方向和较高的政治素质，以马克思主义方法论的指导，坚持“马克思主义基本原理与中国实际相结合”的原则，引导学生理解国外市场经济经验只能借鉴不能照搬，并立足本国国情和实际，有选择地引用西方经济学基础知识，让学生学会思考西方经济学的局限之处，深入理解中国特色的社会主义市场经济，推动中国政治经济学实践向前发展。</w:t>
      </w:r>
    </w:p>
    <w:p w14:paraId="2D668977">
      <w:pPr>
        <w:spacing w:line="360" w:lineRule="auto"/>
        <w:ind w:firstLine="482" w:firstLineChars="200"/>
        <w:rPr>
          <w:rFonts w:ascii="仿宋" w:hAnsi="仿宋" w:eastAsia="仿宋"/>
          <w:bCs/>
          <w:color w:val="000000" w:themeColor="text1"/>
          <w:sz w:val="24"/>
          <w:lang w:val="en-GB"/>
          <w14:textFill>
            <w14:solidFill>
              <w14:schemeClr w14:val="tx1"/>
            </w14:solidFill>
          </w14:textFill>
        </w:rPr>
      </w:pPr>
      <w:r>
        <w:rPr>
          <w:rFonts w:hint="eastAsia" w:ascii="仿宋" w:hAnsi="仿宋" w:eastAsia="仿宋"/>
          <w:b/>
          <w:color w:val="000000"/>
          <w:sz w:val="24"/>
        </w:rPr>
        <w:t>课程目标</w:t>
      </w:r>
      <w:r>
        <w:rPr>
          <w:rFonts w:ascii="仿宋" w:hAnsi="仿宋" w:eastAsia="仿宋"/>
          <w:b/>
          <w:color w:val="000000"/>
          <w:sz w:val="24"/>
        </w:rPr>
        <w:t>2</w:t>
      </w:r>
      <w:r>
        <w:rPr>
          <w:rFonts w:hint="eastAsia" w:ascii="仿宋" w:hAnsi="仿宋" w:eastAsia="仿宋"/>
          <w:b/>
          <w:color w:val="000000"/>
          <w:sz w:val="24"/>
        </w:rPr>
        <w:t>：</w:t>
      </w:r>
      <w:r>
        <w:rPr>
          <w:rFonts w:hint="eastAsia" w:ascii="仿宋" w:hAnsi="仿宋" w:eastAsia="仿宋"/>
          <w:bCs/>
          <w:color w:val="000000" w:themeColor="text1"/>
          <w:sz w:val="24"/>
          <w:lang w:val="en-GB"/>
          <w14:textFill>
            <w14:solidFill>
              <w14:schemeClr w14:val="tx1"/>
            </w14:solidFill>
          </w14:textFill>
        </w:rPr>
        <w:t>通过本课程的学习，要求学生掌握政治经济学的基本理论和基本知识，包括商品、使用价值、价值、资本、再生产、垄断利润、利息、地租等范畴的本质、发展演变和相互关系的基本理论；加强研究和探索，加强对规律性认识的总结，全面系统地比较西方经济学与马克思主义政治经济学地不同。</w:t>
      </w:r>
    </w:p>
    <w:p w14:paraId="51B45CD7">
      <w:pPr>
        <w:spacing w:line="360" w:lineRule="auto"/>
        <w:ind w:firstLine="482" w:firstLineChars="200"/>
        <w:rPr>
          <w:rFonts w:ascii="仿宋" w:hAnsi="仿宋" w:eastAsia="仿宋"/>
          <w:bCs/>
          <w:sz w:val="24"/>
          <w:lang w:val="en-GB"/>
        </w:rPr>
      </w:pPr>
      <w:r>
        <w:rPr>
          <w:rFonts w:hint="eastAsia" w:ascii="仿宋" w:hAnsi="仿宋" w:eastAsia="仿宋"/>
          <w:b/>
          <w:sz w:val="24"/>
        </w:rPr>
        <w:t>课程目标</w:t>
      </w:r>
      <w:r>
        <w:rPr>
          <w:rFonts w:ascii="仿宋" w:hAnsi="仿宋" w:eastAsia="仿宋"/>
          <w:b/>
          <w:sz w:val="24"/>
        </w:rPr>
        <w:t>3</w:t>
      </w:r>
      <w:r>
        <w:rPr>
          <w:rFonts w:hint="eastAsia" w:ascii="仿宋" w:hAnsi="仿宋" w:eastAsia="仿宋"/>
          <w:b/>
          <w:sz w:val="24"/>
        </w:rPr>
        <w:t>：</w:t>
      </w:r>
      <w:r>
        <w:rPr>
          <w:rFonts w:hint="eastAsia" w:ascii="仿宋" w:hAnsi="仿宋" w:eastAsia="仿宋"/>
          <w:bCs/>
          <w:sz w:val="24"/>
          <w:lang w:val="en-GB"/>
        </w:rPr>
        <w:t>能够运用有关理论知识分析改革开放以来中国经济取得的巨大成就与发展过程中的现实问题，使所学知识具有系统性和实用性，培养学生的政治经济学理论素质和解决实际问题的能力；要求学生能够既借鉴外国经验，又紧密结合中国国情，分析中国特色社会主义市场经济的新情况和新问题，为学习其他专业课程打下必要的理论基础，并使学生毕业后能够较好地适应经济管理工作和经济问题研究工作地需要。</w:t>
      </w:r>
    </w:p>
    <w:p w14:paraId="727A2C9B">
      <w:pPr>
        <w:spacing w:line="360" w:lineRule="auto"/>
        <w:ind w:firstLine="480" w:firstLineChars="200"/>
        <w:rPr>
          <w:rFonts w:ascii="仿宋" w:hAnsi="仿宋" w:eastAsia="仿宋"/>
          <w:bCs/>
          <w:color w:val="000000" w:themeColor="text1"/>
          <w:sz w:val="24"/>
          <w:lang w:val="en-GB"/>
          <w14:textFill>
            <w14:solidFill>
              <w14:schemeClr w14:val="tx1"/>
            </w14:solidFill>
          </w14:textFill>
        </w:rPr>
      </w:pPr>
    </w:p>
    <w:p w14:paraId="0F5A904E">
      <w:pPr>
        <w:numPr>
          <w:ilvl w:val="0"/>
          <w:numId w:val="1"/>
        </w:numPr>
        <w:snapToGrid w:val="0"/>
        <w:spacing w:line="360" w:lineRule="auto"/>
        <w:ind w:firstLine="482" w:firstLineChars="200"/>
        <w:rPr>
          <w:rFonts w:ascii="仿宋" w:hAnsi="仿宋" w:eastAsia="仿宋"/>
          <w:b/>
          <w:bCs/>
          <w:sz w:val="24"/>
        </w:rPr>
      </w:pPr>
      <w:r>
        <w:rPr>
          <w:rFonts w:hint="eastAsia" w:ascii="仿宋" w:hAnsi="仿宋" w:eastAsia="仿宋"/>
          <w:b/>
          <w:bCs/>
          <w:sz w:val="24"/>
        </w:rPr>
        <w:t>课程目标对毕业要求的支撑</w:t>
      </w:r>
    </w:p>
    <w:tbl>
      <w:tblPr>
        <w:tblStyle w:val="10"/>
        <w:tblW w:w="5000" w:type="pct"/>
        <w:jc w:val="center"/>
        <w:tblLayout w:type="autofit"/>
        <w:tblCellMar>
          <w:top w:w="0" w:type="dxa"/>
          <w:left w:w="108" w:type="dxa"/>
          <w:bottom w:w="0" w:type="dxa"/>
          <w:right w:w="108" w:type="dxa"/>
        </w:tblCellMar>
      </w:tblPr>
      <w:tblGrid>
        <w:gridCol w:w="2519"/>
        <w:gridCol w:w="2408"/>
        <w:gridCol w:w="2129"/>
        <w:gridCol w:w="1466"/>
      </w:tblGrid>
      <w:tr w14:paraId="5EFD2DFE">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205EBEE7">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6DCE7117">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观测点</w:t>
            </w:r>
          </w:p>
        </w:tc>
        <w:tc>
          <w:tcPr>
            <w:tcW w:w="1249" w:type="pct"/>
            <w:tcBorders>
              <w:top w:val="single" w:color="auto" w:sz="4" w:space="0"/>
              <w:left w:val="nil"/>
              <w:bottom w:val="single" w:color="auto" w:sz="4" w:space="0"/>
              <w:right w:val="single" w:color="auto" w:sz="4" w:space="0"/>
            </w:tcBorders>
          </w:tcPr>
          <w:p w14:paraId="23D58302">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课程目标</w:t>
            </w:r>
          </w:p>
        </w:tc>
        <w:tc>
          <w:tcPr>
            <w:tcW w:w="860" w:type="pct"/>
            <w:tcBorders>
              <w:top w:val="single" w:color="auto" w:sz="4" w:space="0"/>
              <w:left w:val="nil"/>
              <w:bottom w:val="single" w:color="auto" w:sz="4" w:space="0"/>
              <w:right w:val="single" w:color="auto" w:sz="4" w:space="0"/>
            </w:tcBorders>
          </w:tcPr>
          <w:p w14:paraId="510F9CBF">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支撑强度</w:t>
            </w:r>
          </w:p>
        </w:tc>
      </w:tr>
      <w:tr w14:paraId="785B292A">
        <w:tblPrEx>
          <w:tblCellMar>
            <w:top w:w="0" w:type="dxa"/>
            <w:left w:w="108" w:type="dxa"/>
            <w:bottom w:w="0" w:type="dxa"/>
            <w:right w:w="108" w:type="dxa"/>
          </w:tblCellMar>
        </w:tblPrEx>
        <w:trPr>
          <w:trHeight w:val="1425" w:hRule="atLeast"/>
          <w:jc w:val="center"/>
        </w:trPr>
        <w:tc>
          <w:tcPr>
            <w:tcW w:w="1478" w:type="pct"/>
            <w:tcBorders>
              <w:top w:val="single" w:color="auto" w:sz="4" w:space="0"/>
              <w:left w:val="single" w:color="auto" w:sz="4" w:space="0"/>
              <w:bottom w:val="single" w:color="auto" w:sz="4" w:space="0"/>
              <w:right w:val="single" w:color="auto" w:sz="4" w:space="0"/>
            </w:tcBorders>
          </w:tcPr>
          <w:p w14:paraId="31DA449D">
            <w:pPr>
              <w:widowControl/>
              <w:spacing w:line="276" w:lineRule="auto"/>
              <w:rPr>
                <w:rFonts w:ascii="仿宋" w:hAnsi="仿宋" w:eastAsia="仿宋"/>
                <w:color w:val="000000" w:themeColor="text1"/>
                <w:kern w:val="0"/>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毕业要求1：</w:t>
            </w:r>
            <w:r>
              <w:rPr>
                <w:rFonts w:hint="eastAsia" w:ascii="仿宋" w:hAnsi="仿宋" w:eastAsia="仿宋"/>
                <w:color w:val="000000" w:themeColor="text1"/>
                <w:sz w:val="24"/>
                <w14:textFill>
                  <w14:solidFill>
                    <w14:schemeClr w14:val="tx1"/>
                  </w14:solidFill>
                </w14:textFill>
              </w:rPr>
              <w:t>具有较强的爱国主义精神和科学精神、拥有较高的职业素养和强烈的社会责任感，了解国情社情民情。</w:t>
            </w:r>
          </w:p>
        </w:tc>
        <w:tc>
          <w:tcPr>
            <w:tcW w:w="1413" w:type="pct"/>
            <w:tcBorders>
              <w:top w:val="single" w:color="auto" w:sz="4" w:space="0"/>
              <w:left w:val="nil"/>
              <w:bottom w:val="single" w:color="auto" w:sz="4" w:space="0"/>
              <w:right w:val="single" w:color="auto" w:sz="4" w:space="0"/>
            </w:tcBorders>
          </w:tcPr>
          <w:p w14:paraId="1D86FE9F">
            <w:pPr>
              <w:spacing w:line="276" w:lineRule="auto"/>
              <w:rPr>
                <w:rFonts w:ascii="仿宋" w:hAnsi="仿宋" w:eastAsia="仿宋"/>
                <w:color w:val="000000" w:themeColor="text1"/>
                <w:sz w:val="24"/>
                <w14:textFill>
                  <w14:solidFill>
                    <w14:schemeClr w14:val="tx1"/>
                  </w14:solidFill>
                </w14:textFill>
              </w:rPr>
            </w:pPr>
            <w:r>
              <w:rPr>
                <w:rFonts w:ascii="仿宋" w:hAnsi="仿宋" w:eastAsia="仿宋"/>
                <w:b/>
                <w:bCs/>
                <w:color w:val="000000" w:themeColor="text1"/>
                <w:sz w:val="24"/>
                <w14:textFill>
                  <w14:solidFill>
                    <w14:schemeClr w14:val="tx1"/>
                  </w14:solidFill>
                </w14:textFill>
              </w:rPr>
              <w:t>观测点</w:t>
            </w:r>
            <w:r>
              <w:rPr>
                <w:rFonts w:hint="eastAsia" w:ascii="仿宋" w:hAnsi="仿宋" w:eastAsia="仿宋"/>
                <w:b/>
                <w:bCs/>
                <w:color w:val="000000" w:themeColor="text1"/>
                <w:sz w:val="24"/>
                <w14:textFill>
                  <w14:solidFill>
                    <w14:schemeClr w14:val="tx1"/>
                  </w14:solidFill>
                </w14:textFill>
              </w:rPr>
              <w:t>1</w:t>
            </w:r>
            <w:r>
              <w:rPr>
                <w:rFonts w:ascii="仿宋" w:hAnsi="仿宋" w:eastAsia="仿宋"/>
                <w:b/>
                <w:bCs/>
                <w:color w:val="000000" w:themeColor="text1"/>
                <w:sz w:val="24"/>
                <w14:textFill>
                  <w14:solidFill>
                    <w14:schemeClr w14:val="tx1"/>
                  </w14:solidFill>
                </w14:textFill>
              </w:rPr>
              <w:t>.3</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了解从事经济学类的职业特点，具有较强的职业使命感与社会责任感。理解职业道德与学术诚信的含义及意义，并能在学习工作中严格遵守，具备良好的身体素质。</w:t>
            </w:r>
          </w:p>
        </w:tc>
        <w:tc>
          <w:tcPr>
            <w:tcW w:w="1249" w:type="pct"/>
            <w:tcBorders>
              <w:top w:val="single" w:color="auto" w:sz="4" w:space="0"/>
              <w:left w:val="nil"/>
              <w:bottom w:val="single" w:color="auto" w:sz="4" w:space="0"/>
              <w:right w:val="single" w:color="auto" w:sz="4" w:space="0"/>
            </w:tcBorders>
            <w:vAlign w:val="center"/>
          </w:tcPr>
          <w:p w14:paraId="5EE2ED74">
            <w:pPr>
              <w:spacing w:line="276" w:lineRule="auto"/>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课程目标</w:t>
            </w:r>
            <w:r>
              <w:rPr>
                <w:rFonts w:ascii="仿宋" w:hAnsi="仿宋" w:eastAsia="仿宋"/>
                <w:color w:val="000000" w:themeColor="text1"/>
                <w:sz w:val="24"/>
                <w14:textFill>
                  <w14:solidFill>
                    <w14:schemeClr w14:val="tx1"/>
                  </w14:solidFill>
                </w14:textFill>
              </w:rPr>
              <w:t>1</w:t>
            </w:r>
            <w:r>
              <w:rPr>
                <w:rFonts w:hint="eastAsia" w:ascii="仿宋" w:hAnsi="仿宋" w:eastAsia="仿宋"/>
                <w:color w:val="000000" w:themeColor="text1"/>
                <w:sz w:val="24"/>
                <w14:textFill>
                  <w14:solidFill>
                    <w14:schemeClr w14:val="tx1"/>
                  </w14:solidFill>
                </w14:textFill>
              </w:rPr>
              <w:t>、</w:t>
            </w:r>
            <w:r>
              <w:rPr>
                <w:rFonts w:ascii="仿宋" w:hAnsi="仿宋" w:eastAsia="仿宋"/>
                <w:color w:val="000000" w:themeColor="text1"/>
                <w:sz w:val="24"/>
                <w14:textFill>
                  <w14:solidFill>
                    <w14:schemeClr w14:val="tx1"/>
                  </w14:solidFill>
                </w14:textFill>
              </w:rPr>
              <w:t>2</w:t>
            </w:r>
          </w:p>
        </w:tc>
        <w:tc>
          <w:tcPr>
            <w:tcW w:w="860" w:type="pct"/>
            <w:tcBorders>
              <w:top w:val="single" w:color="auto" w:sz="4" w:space="0"/>
              <w:left w:val="nil"/>
              <w:bottom w:val="single" w:color="auto" w:sz="4" w:space="0"/>
              <w:right w:val="single" w:color="auto" w:sz="4" w:space="0"/>
            </w:tcBorders>
            <w:vAlign w:val="center"/>
          </w:tcPr>
          <w:p w14:paraId="42BC7739">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H</w:t>
            </w:r>
          </w:p>
          <w:p w14:paraId="533697C1">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M</w:t>
            </w:r>
          </w:p>
          <w:p w14:paraId="70689CFA">
            <w:pPr>
              <w:spacing w:line="276" w:lineRule="auto"/>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xml:space="preserve">  □ L</w:t>
            </w:r>
          </w:p>
        </w:tc>
      </w:tr>
      <w:tr w14:paraId="20B94DA8">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5C472452">
            <w:pPr>
              <w:widowControl/>
              <w:spacing w:line="276" w:lineRule="auto"/>
              <w:rPr>
                <w:rFonts w:ascii="仿宋" w:hAnsi="仿宋" w:eastAsia="仿宋"/>
                <w:b/>
                <w:bCs/>
                <w:color w:val="000000" w:themeColor="text1"/>
                <w:kern w:val="0"/>
                <w:sz w:val="24"/>
                <w14:textFill>
                  <w14:solidFill>
                    <w14:schemeClr w14:val="tx1"/>
                  </w14:solidFill>
                </w14:textFill>
              </w:rPr>
            </w:pPr>
            <w:r>
              <w:rPr>
                <w:rFonts w:hint="eastAsia" w:ascii="仿宋" w:hAnsi="仿宋" w:eastAsia="仿宋"/>
                <w:b/>
                <w:bCs/>
                <w:color w:val="000000" w:themeColor="text1"/>
                <w:kern w:val="0"/>
                <w:sz w:val="24"/>
                <w14:textFill>
                  <w14:solidFill>
                    <w14:schemeClr w14:val="tx1"/>
                  </w14:solidFill>
                </w14:textFill>
              </w:rPr>
              <w:t>毕业要求</w:t>
            </w:r>
            <w:r>
              <w:rPr>
                <w:rFonts w:ascii="仿宋" w:hAnsi="仿宋" w:eastAsia="仿宋"/>
                <w:b/>
                <w:bCs/>
                <w:color w:val="000000" w:themeColor="text1"/>
                <w:kern w:val="0"/>
                <w:sz w:val="24"/>
                <w14:textFill>
                  <w14:solidFill>
                    <w14:schemeClr w14:val="tx1"/>
                  </w14:solidFill>
                </w14:textFill>
              </w:rPr>
              <w:t>5</w:t>
            </w:r>
            <w:r>
              <w:rPr>
                <w:rFonts w:hint="eastAsia" w:ascii="仿宋" w:hAnsi="仿宋" w:eastAsia="仿宋"/>
                <w:b/>
                <w:bCs/>
                <w:color w:val="000000" w:themeColor="text1"/>
                <w:kern w:val="0"/>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掌握具有国际视野、熟练运用经济学和外语等技能从事工作报告及学术文章撰写的能力，通过本专业的学术创意大赛、学术拓展训练等实现该能力的培养。</w:t>
            </w:r>
          </w:p>
        </w:tc>
        <w:tc>
          <w:tcPr>
            <w:tcW w:w="1413" w:type="pct"/>
            <w:tcBorders>
              <w:top w:val="single" w:color="auto" w:sz="4" w:space="0"/>
              <w:left w:val="nil"/>
              <w:bottom w:val="single" w:color="auto" w:sz="4" w:space="0"/>
              <w:right w:val="single" w:color="auto" w:sz="4" w:space="0"/>
            </w:tcBorders>
            <w:vAlign w:val="center"/>
          </w:tcPr>
          <w:p w14:paraId="102BB37B">
            <w:pPr>
              <w:spacing w:line="276" w:lineRule="auto"/>
              <w:rPr>
                <w:rFonts w:ascii="仿宋" w:hAnsi="仿宋" w:eastAsia="仿宋"/>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观测点5</w:t>
            </w:r>
            <w:r>
              <w:rPr>
                <w:rFonts w:ascii="仿宋" w:hAnsi="仿宋" w:eastAsia="仿宋"/>
                <w:b/>
                <w:bCs/>
                <w:color w:val="000000" w:themeColor="text1"/>
                <w:sz w:val="24"/>
                <w14:textFill>
                  <w14:solidFill>
                    <w14:schemeClr w14:val="tx1"/>
                  </w14:solidFill>
                </w14:textFill>
              </w:rPr>
              <w:t>.2</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能够根据前沿问题进行分析。</w:t>
            </w:r>
          </w:p>
          <w:p w14:paraId="30494591">
            <w:pPr>
              <w:spacing w:line="276" w:lineRule="auto"/>
              <w:rPr>
                <w:rFonts w:ascii="仿宋" w:hAnsi="仿宋" w:eastAsia="仿宋"/>
                <w:b/>
                <w:bCs/>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观测点5</w:t>
            </w:r>
            <w:r>
              <w:rPr>
                <w:rFonts w:ascii="仿宋" w:hAnsi="仿宋" w:eastAsia="仿宋"/>
                <w:b/>
                <w:bCs/>
                <w:color w:val="000000" w:themeColor="text1"/>
                <w:sz w:val="24"/>
                <w14:textFill>
                  <w14:solidFill>
                    <w14:schemeClr w14:val="tx1"/>
                  </w14:solidFill>
                </w14:textFill>
              </w:rPr>
              <w:t>.3</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能够了解学科发展状态。</w:t>
            </w:r>
          </w:p>
        </w:tc>
        <w:tc>
          <w:tcPr>
            <w:tcW w:w="1249" w:type="pct"/>
            <w:tcBorders>
              <w:top w:val="single" w:color="auto" w:sz="4" w:space="0"/>
              <w:left w:val="nil"/>
              <w:bottom w:val="single" w:color="auto" w:sz="4" w:space="0"/>
              <w:right w:val="single" w:color="auto" w:sz="4" w:space="0"/>
            </w:tcBorders>
            <w:vAlign w:val="center"/>
          </w:tcPr>
          <w:p w14:paraId="05FE951C">
            <w:pPr>
              <w:spacing w:line="276" w:lineRule="auto"/>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课程目标</w:t>
            </w:r>
            <w:r>
              <w:rPr>
                <w:rFonts w:ascii="仿宋" w:hAnsi="仿宋" w:eastAsia="仿宋"/>
                <w:color w:val="000000" w:themeColor="text1"/>
                <w:kern w:val="0"/>
                <w:sz w:val="24"/>
                <w14:textFill>
                  <w14:solidFill>
                    <w14:schemeClr w14:val="tx1"/>
                  </w14:solidFill>
                </w14:textFill>
              </w:rPr>
              <w:t>2</w:t>
            </w:r>
            <w:r>
              <w:rPr>
                <w:rFonts w:hint="eastAsia" w:ascii="仿宋" w:hAnsi="仿宋" w:eastAsia="仿宋"/>
                <w:color w:val="000000" w:themeColor="text1"/>
                <w:sz w:val="24"/>
                <w14:textFill>
                  <w14:solidFill>
                    <w14:schemeClr w14:val="tx1"/>
                  </w14:solidFill>
                </w14:textFill>
              </w:rPr>
              <w:t>、</w:t>
            </w:r>
            <w:r>
              <w:rPr>
                <w:rFonts w:ascii="仿宋" w:hAnsi="仿宋" w:eastAsia="仿宋"/>
                <w:color w:val="000000" w:themeColor="text1"/>
                <w:sz w:val="24"/>
                <w14:textFill>
                  <w14:solidFill>
                    <w14:schemeClr w14:val="tx1"/>
                  </w14:solidFill>
                </w14:textFill>
              </w:rPr>
              <w:t>3</w:t>
            </w:r>
          </w:p>
        </w:tc>
        <w:tc>
          <w:tcPr>
            <w:tcW w:w="860" w:type="pct"/>
            <w:tcBorders>
              <w:top w:val="single" w:color="auto" w:sz="4" w:space="0"/>
              <w:left w:val="nil"/>
              <w:bottom w:val="single" w:color="auto" w:sz="4" w:space="0"/>
              <w:right w:val="single" w:color="auto" w:sz="4" w:space="0"/>
            </w:tcBorders>
            <w:vAlign w:val="center"/>
          </w:tcPr>
          <w:p w14:paraId="12AB06F3">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H</w:t>
            </w:r>
          </w:p>
          <w:p w14:paraId="46365F76">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M</w:t>
            </w:r>
          </w:p>
          <w:p w14:paraId="2EF8FAC6">
            <w:pPr>
              <w:spacing w:line="276" w:lineRule="auto"/>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xml:space="preserve">  □ L</w:t>
            </w:r>
          </w:p>
        </w:tc>
      </w:tr>
      <w:tr w14:paraId="22B7A9B0">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7FE4E3B2">
            <w:pPr>
              <w:widowControl/>
              <w:spacing w:line="276" w:lineRule="auto"/>
              <w:rPr>
                <w:rFonts w:ascii="仿宋" w:hAnsi="仿宋" w:eastAsia="仿宋"/>
                <w:color w:val="000000" w:themeColor="text1"/>
                <w:kern w:val="0"/>
                <w:sz w:val="24"/>
                <w14:textFill>
                  <w14:solidFill>
                    <w14:schemeClr w14:val="tx1"/>
                  </w14:solidFill>
                </w14:textFill>
              </w:rPr>
            </w:pPr>
            <w:r>
              <w:rPr>
                <w:rFonts w:hint="eastAsia" w:ascii="仿宋" w:hAnsi="仿宋" w:eastAsia="仿宋"/>
                <w:b/>
                <w:bCs/>
                <w:color w:val="000000" w:themeColor="text1"/>
                <w:kern w:val="0"/>
                <w:sz w:val="24"/>
                <w14:textFill>
                  <w14:solidFill>
                    <w14:schemeClr w14:val="tx1"/>
                  </w14:solidFill>
                </w14:textFill>
              </w:rPr>
              <w:t>毕业要求</w:t>
            </w:r>
            <w:r>
              <w:rPr>
                <w:rFonts w:ascii="仿宋" w:hAnsi="仿宋" w:eastAsia="仿宋"/>
                <w:b/>
                <w:bCs/>
                <w:color w:val="000000" w:themeColor="text1"/>
                <w:kern w:val="0"/>
                <w:sz w:val="24"/>
                <w14:textFill>
                  <w14:solidFill>
                    <w14:schemeClr w14:val="tx1"/>
                  </w14:solidFill>
                </w14:textFill>
              </w:rPr>
              <w:t>6</w:t>
            </w:r>
            <w:r>
              <w:rPr>
                <w:rFonts w:hint="eastAsia" w:ascii="仿宋" w:hAnsi="仿宋" w:eastAsia="仿宋"/>
                <w:b/>
                <w:bCs/>
                <w:color w:val="000000" w:themeColor="text1"/>
                <w:kern w:val="0"/>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熟悉国内外经济理论与经济政策和法规；具有较强的语言与文字表达、人际沟通、信息获取能力及分析和解决经济问题的基本能力。</w:t>
            </w:r>
          </w:p>
        </w:tc>
        <w:tc>
          <w:tcPr>
            <w:tcW w:w="1413" w:type="pct"/>
            <w:tcBorders>
              <w:top w:val="single" w:color="auto" w:sz="4" w:space="0"/>
              <w:left w:val="nil"/>
              <w:bottom w:val="single" w:color="auto" w:sz="4" w:space="0"/>
              <w:right w:val="single" w:color="auto" w:sz="4" w:space="0"/>
            </w:tcBorders>
            <w:vAlign w:val="center"/>
          </w:tcPr>
          <w:p w14:paraId="17AE86E9">
            <w:pPr>
              <w:spacing w:line="276" w:lineRule="auto"/>
              <w:rPr>
                <w:rFonts w:ascii="仿宋" w:hAnsi="仿宋" w:eastAsia="仿宋"/>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观测点6</w:t>
            </w:r>
            <w:r>
              <w:rPr>
                <w:rFonts w:ascii="仿宋" w:hAnsi="仿宋" w:eastAsia="仿宋"/>
                <w:b/>
                <w:bCs/>
                <w:color w:val="000000" w:themeColor="text1"/>
                <w:sz w:val="24"/>
                <w14:textFill>
                  <w14:solidFill>
                    <w14:schemeClr w14:val="tx1"/>
                  </w14:solidFill>
                </w14:textFill>
              </w:rPr>
              <w:t>.1</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能够针对特定问题，完成经济学研究。</w:t>
            </w:r>
          </w:p>
          <w:p w14:paraId="0B001050">
            <w:pPr>
              <w:spacing w:line="276" w:lineRule="auto"/>
              <w:rPr>
                <w:rFonts w:ascii="仿宋" w:hAnsi="仿宋" w:eastAsia="仿宋"/>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观测点6</w:t>
            </w:r>
            <w:r>
              <w:rPr>
                <w:rFonts w:ascii="仿宋" w:hAnsi="仿宋" w:eastAsia="仿宋"/>
                <w:b/>
                <w:bCs/>
                <w:color w:val="000000" w:themeColor="text1"/>
                <w:sz w:val="24"/>
                <w14:textFill>
                  <w14:solidFill>
                    <w14:schemeClr w14:val="tx1"/>
                  </w14:solidFill>
                </w14:textFill>
              </w:rPr>
              <w:t>.2</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能够进行现实数据分析和具备创新意识。</w:t>
            </w:r>
          </w:p>
        </w:tc>
        <w:tc>
          <w:tcPr>
            <w:tcW w:w="1249" w:type="pct"/>
            <w:tcBorders>
              <w:top w:val="single" w:color="auto" w:sz="4" w:space="0"/>
              <w:left w:val="nil"/>
              <w:bottom w:val="single" w:color="auto" w:sz="4" w:space="0"/>
              <w:right w:val="single" w:color="auto" w:sz="4" w:space="0"/>
            </w:tcBorders>
            <w:vAlign w:val="center"/>
          </w:tcPr>
          <w:p w14:paraId="1C7E8F3A">
            <w:pPr>
              <w:spacing w:line="276" w:lineRule="auto"/>
              <w:rPr>
                <w:rFonts w:ascii="仿宋" w:hAnsi="仿宋" w:eastAsia="仿宋"/>
                <w:color w:val="000000" w:themeColor="text1"/>
                <w:kern w:val="0"/>
                <w:sz w:val="24"/>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课程目标</w:t>
            </w:r>
            <w:r>
              <w:rPr>
                <w:rFonts w:ascii="仿宋" w:hAnsi="仿宋" w:eastAsia="仿宋"/>
                <w:color w:val="000000" w:themeColor="text1"/>
                <w:kern w:val="0"/>
                <w:sz w:val="24"/>
                <w14:textFill>
                  <w14:solidFill>
                    <w14:schemeClr w14:val="tx1"/>
                  </w14:solidFill>
                </w14:textFill>
              </w:rPr>
              <w:t>2</w:t>
            </w:r>
            <w:r>
              <w:rPr>
                <w:rFonts w:hint="eastAsia" w:ascii="仿宋" w:hAnsi="仿宋" w:eastAsia="仿宋"/>
                <w:color w:val="000000" w:themeColor="text1"/>
                <w:sz w:val="24"/>
                <w14:textFill>
                  <w14:solidFill>
                    <w14:schemeClr w14:val="tx1"/>
                  </w14:solidFill>
                </w14:textFill>
              </w:rPr>
              <w:t>、</w:t>
            </w:r>
            <w:r>
              <w:rPr>
                <w:rFonts w:ascii="仿宋" w:hAnsi="仿宋" w:eastAsia="仿宋"/>
                <w:color w:val="000000" w:themeColor="text1"/>
                <w:sz w:val="24"/>
                <w14:textFill>
                  <w14:solidFill>
                    <w14:schemeClr w14:val="tx1"/>
                  </w14:solidFill>
                </w14:textFill>
              </w:rPr>
              <w:t>3</w:t>
            </w:r>
          </w:p>
        </w:tc>
        <w:tc>
          <w:tcPr>
            <w:tcW w:w="860" w:type="pct"/>
            <w:tcBorders>
              <w:top w:val="single" w:color="auto" w:sz="4" w:space="0"/>
              <w:left w:val="nil"/>
              <w:bottom w:val="single" w:color="auto" w:sz="4" w:space="0"/>
              <w:right w:val="single" w:color="auto" w:sz="4" w:space="0"/>
            </w:tcBorders>
            <w:vAlign w:val="center"/>
          </w:tcPr>
          <w:p w14:paraId="3E496675">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H</w:t>
            </w:r>
          </w:p>
          <w:p w14:paraId="20EC6DCC">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M</w:t>
            </w:r>
          </w:p>
          <w:p w14:paraId="293CF60A">
            <w:pPr>
              <w:spacing w:line="276" w:lineRule="auto"/>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xml:space="preserve">  □ L</w:t>
            </w:r>
          </w:p>
        </w:tc>
      </w:tr>
      <w:tr w14:paraId="157D1EDA">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7AF5866C">
            <w:pPr>
              <w:widowControl/>
              <w:spacing w:line="276" w:lineRule="auto"/>
              <w:rPr>
                <w:rFonts w:ascii="仿宋" w:hAnsi="仿宋" w:eastAsia="仿宋"/>
                <w:color w:val="000000" w:themeColor="text1"/>
                <w:kern w:val="0"/>
                <w:sz w:val="24"/>
                <w14:textFill>
                  <w14:solidFill>
                    <w14:schemeClr w14:val="tx1"/>
                  </w14:solidFill>
                </w14:textFill>
              </w:rPr>
            </w:pPr>
            <w:r>
              <w:rPr>
                <w:rFonts w:hint="eastAsia" w:ascii="仿宋" w:hAnsi="仿宋" w:eastAsia="仿宋"/>
                <w:b/>
                <w:bCs/>
                <w:color w:val="000000" w:themeColor="text1"/>
                <w:kern w:val="0"/>
                <w:sz w:val="24"/>
                <w14:textFill>
                  <w14:solidFill>
                    <w14:schemeClr w14:val="tx1"/>
                  </w14:solidFill>
                </w14:textFill>
              </w:rPr>
              <w:t>毕业要求</w:t>
            </w:r>
            <w:r>
              <w:rPr>
                <w:rFonts w:ascii="仿宋" w:hAnsi="仿宋" w:eastAsia="仿宋"/>
                <w:b/>
                <w:bCs/>
                <w:color w:val="000000" w:themeColor="text1"/>
                <w:kern w:val="0"/>
                <w:sz w:val="24"/>
                <w14:textFill>
                  <w14:solidFill>
                    <w14:schemeClr w14:val="tx1"/>
                  </w14:solidFill>
                </w14:textFill>
              </w:rPr>
              <w:t>7</w:t>
            </w:r>
            <w:r>
              <w:rPr>
                <w:rFonts w:hint="eastAsia" w:ascii="仿宋" w:hAnsi="仿宋" w:eastAsia="仿宋"/>
                <w:b/>
                <w:bCs/>
                <w:color w:val="000000" w:themeColor="text1"/>
                <w:kern w:val="0"/>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培养具有团队协作意识、终身学习能力、德智体健康全面发展的时代新人。</w:t>
            </w:r>
          </w:p>
        </w:tc>
        <w:tc>
          <w:tcPr>
            <w:tcW w:w="1413" w:type="pct"/>
            <w:tcBorders>
              <w:top w:val="single" w:color="auto" w:sz="4" w:space="0"/>
              <w:left w:val="nil"/>
              <w:bottom w:val="single" w:color="auto" w:sz="4" w:space="0"/>
              <w:right w:val="single" w:color="auto" w:sz="4" w:space="0"/>
            </w:tcBorders>
            <w:vAlign w:val="center"/>
          </w:tcPr>
          <w:p w14:paraId="3832D3FF">
            <w:pPr>
              <w:spacing w:line="276" w:lineRule="auto"/>
              <w:rPr>
                <w:rFonts w:ascii="仿宋" w:hAnsi="仿宋" w:eastAsia="仿宋"/>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观测点7</w:t>
            </w:r>
            <w:r>
              <w:rPr>
                <w:rFonts w:ascii="仿宋" w:hAnsi="仿宋" w:eastAsia="仿宋"/>
                <w:b/>
                <w:bCs/>
                <w:color w:val="000000" w:themeColor="text1"/>
                <w:sz w:val="24"/>
                <w14:textFill>
                  <w14:solidFill>
                    <w14:schemeClr w14:val="tx1"/>
                  </w14:solidFill>
                </w14:textFill>
              </w:rPr>
              <w:t>.2</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关注前沿、具备终身获取和追踪新知识的意识，具有自主学习和适应发展的能力，保持思维的活跃性与先进性。</w:t>
            </w:r>
          </w:p>
        </w:tc>
        <w:tc>
          <w:tcPr>
            <w:tcW w:w="1249" w:type="pct"/>
            <w:tcBorders>
              <w:top w:val="single" w:color="auto" w:sz="4" w:space="0"/>
              <w:left w:val="nil"/>
              <w:bottom w:val="single" w:color="auto" w:sz="4" w:space="0"/>
              <w:right w:val="single" w:color="auto" w:sz="4" w:space="0"/>
            </w:tcBorders>
            <w:vAlign w:val="center"/>
          </w:tcPr>
          <w:p w14:paraId="10FBB3BC">
            <w:pPr>
              <w:spacing w:line="276" w:lineRule="auto"/>
              <w:rPr>
                <w:rFonts w:ascii="仿宋" w:hAnsi="仿宋" w:eastAsia="仿宋"/>
                <w:color w:val="000000" w:themeColor="text1"/>
                <w:kern w:val="0"/>
                <w:sz w:val="24"/>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课程目标1、</w:t>
            </w:r>
            <w:r>
              <w:rPr>
                <w:rFonts w:ascii="仿宋" w:hAnsi="仿宋" w:eastAsia="仿宋"/>
                <w:color w:val="000000" w:themeColor="text1"/>
                <w:kern w:val="0"/>
                <w:sz w:val="24"/>
                <w14:textFill>
                  <w14:solidFill>
                    <w14:schemeClr w14:val="tx1"/>
                  </w14:solidFill>
                </w14:textFill>
              </w:rPr>
              <w:t>3</w:t>
            </w:r>
          </w:p>
        </w:tc>
        <w:tc>
          <w:tcPr>
            <w:tcW w:w="860" w:type="pct"/>
            <w:tcBorders>
              <w:top w:val="single" w:color="auto" w:sz="4" w:space="0"/>
              <w:left w:val="nil"/>
              <w:bottom w:val="single" w:color="auto" w:sz="4" w:space="0"/>
              <w:right w:val="single" w:color="auto" w:sz="4" w:space="0"/>
            </w:tcBorders>
            <w:vAlign w:val="center"/>
          </w:tcPr>
          <w:p w14:paraId="232ADB76">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H</w:t>
            </w:r>
          </w:p>
          <w:p w14:paraId="3E31FF21">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M</w:t>
            </w:r>
          </w:p>
          <w:p w14:paraId="1F1576D9">
            <w:pPr>
              <w:spacing w:line="276" w:lineRule="auto"/>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xml:space="preserve">  □ L</w:t>
            </w:r>
          </w:p>
        </w:tc>
      </w:tr>
    </w:tbl>
    <w:p w14:paraId="5727337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10"/>
        <w:tblW w:w="50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056"/>
        <w:gridCol w:w="1345"/>
        <w:gridCol w:w="455"/>
        <w:gridCol w:w="2843"/>
        <w:gridCol w:w="783"/>
        <w:gridCol w:w="776"/>
        <w:gridCol w:w="803"/>
      </w:tblGrid>
      <w:tr w14:paraId="6456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 w:type="pct"/>
            <w:shd w:val="clear" w:color="auto" w:fill="auto"/>
            <w:vAlign w:val="center"/>
          </w:tcPr>
          <w:p w14:paraId="15EE4C1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618" w:type="pct"/>
            <w:shd w:val="clear" w:color="auto" w:fill="auto"/>
            <w:vAlign w:val="center"/>
          </w:tcPr>
          <w:p w14:paraId="71EA3C30">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787" w:type="pct"/>
            <w:shd w:val="clear" w:color="auto" w:fill="auto"/>
            <w:vAlign w:val="center"/>
          </w:tcPr>
          <w:p w14:paraId="4213E6D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266" w:type="pct"/>
            <w:vAlign w:val="center"/>
          </w:tcPr>
          <w:p w14:paraId="108C75A5">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663" w:type="pct"/>
            <w:vAlign w:val="center"/>
          </w:tcPr>
          <w:p w14:paraId="7789E7B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008C7C0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13"/>
                <w:szCs w:val="13"/>
                <w:lang w:val="en-GB"/>
              </w:rPr>
              <w:t>（重点、难点、课程思政元素等）</w:t>
            </w:r>
          </w:p>
        </w:tc>
        <w:tc>
          <w:tcPr>
            <w:tcW w:w="458" w:type="pct"/>
            <w:vAlign w:val="center"/>
          </w:tcPr>
          <w:p w14:paraId="287FEDB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454" w:type="pct"/>
            <w:vAlign w:val="center"/>
          </w:tcPr>
          <w:p w14:paraId="4ECE798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470" w:type="pct"/>
            <w:vAlign w:val="center"/>
          </w:tcPr>
          <w:p w14:paraId="6218969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05515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284" w:type="pct"/>
            <w:shd w:val="clear" w:color="auto" w:fill="auto"/>
            <w:vAlign w:val="center"/>
          </w:tcPr>
          <w:p w14:paraId="673D3878">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p>
        </w:tc>
        <w:tc>
          <w:tcPr>
            <w:tcW w:w="618" w:type="pct"/>
            <w:shd w:val="clear" w:color="auto" w:fill="auto"/>
            <w:vAlign w:val="center"/>
          </w:tcPr>
          <w:p w14:paraId="32AC3201">
            <w:pPr>
              <w:suppressAutoHyphens/>
              <w:spacing w:before="156" w:beforeLines="50" w:after="156" w:afterLines="50" w:line="276" w:lineRule="auto"/>
              <w:rPr>
                <w:rFonts w:eastAsia="仿宋"/>
                <w:bCs/>
                <w:spacing w:val="-3"/>
                <w:sz w:val="24"/>
              </w:rPr>
            </w:pPr>
            <w:r>
              <w:rPr>
                <w:rFonts w:hint="eastAsia" w:eastAsia="仿宋"/>
                <w:bCs/>
                <w:spacing w:val="-3"/>
                <w:sz w:val="24"/>
              </w:rPr>
              <w:t>导论</w:t>
            </w:r>
          </w:p>
        </w:tc>
        <w:tc>
          <w:tcPr>
            <w:tcW w:w="787" w:type="pct"/>
            <w:shd w:val="clear" w:color="auto" w:fill="auto"/>
            <w:vAlign w:val="center"/>
          </w:tcPr>
          <w:p w14:paraId="6A481D41">
            <w:pPr>
              <w:adjustRightInd w:val="0"/>
              <w:snapToGrid w:val="0"/>
              <w:jc w:val="left"/>
              <w:rPr>
                <w:rFonts w:ascii="仿宋" w:hAnsi="仿宋" w:eastAsia="仿宋" w:cs="仿宋"/>
                <w:bCs/>
                <w:szCs w:val="21"/>
              </w:rPr>
            </w:pPr>
            <w:r>
              <w:rPr>
                <w:rFonts w:hint="eastAsia" w:ascii="仿宋" w:hAnsi="仿宋" w:eastAsia="仿宋" w:cs="仿宋"/>
                <w:bCs/>
                <w:szCs w:val="21"/>
              </w:rPr>
              <w:t>政治经济学的产生与发展；政治经济学的研究对象与范围</w:t>
            </w:r>
          </w:p>
          <w:p w14:paraId="1307251C">
            <w:pPr>
              <w:suppressAutoHyphens/>
              <w:spacing w:before="156" w:beforeLines="50" w:after="156" w:afterLines="50" w:line="276" w:lineRule="auto"/>
              <w:rPr>
                <w:rFonts w:eastAsia="仿宋"/>
                <w:bCs/>
                <w:spacing w:val="-3"/>
                <w:sz w:val="24"/>
              </w:rPr>
            </w:pPr>
          </w:p>
        </w:tc>
        <w:tc>
          <w:tcPr>
            <w:tcW w:w="266" w:type="pct"/>
            <w:vAlign w:val="center"/>
          </w:tcPr>
          <w:p w14:paraId="1427675C">
            <w:pPr>
              <w:suppressAutoHyphens/>
              <w:spacing w:before="156" w:beforeLines="50" w:after="156" w:afterLines="50" w:line="276" w:lineRule="auto"/>
              <w:rPr>
                <w:rFonts w:eastAsia="仿宋"/>
                <w:bCs/>
                <w:spacing w:val="-3"/>
                <w:sz w:val="24"/>
              </w:rPr>
            </w:pPr>
            <w:r>
              <w:rPr>
                <w:rFonts w:eastAsia="仿宋"/>
                <w:bCs/>
                <w:spacing w:val="-3"/>
                <w:sz w:val="24"/>
              </w:rPr>
              <w:t>4</w:t>
            </w:r>
          </w:p>
        </w:tc>
        <w:tc>
          <w:tcPr>
            <w:tcW w:w="1663" w:type="pct"/>
            <w:vAlign w:val="center"/>
          </w:tcPr>
          <w:p w14:paraId="46B4F323">
            <w:pPr>
              <w:adjustRightInd w:val="0"/>
              <w:snapToGrid w:val="0"/>
              <w:jc w:val="left"/>
              <w:rPr>
                <w:rFonts w:ascii="仿宋" w:hAnsi="仿宋" w:eastAsia="仿宋"/>
                <w:b/>
                <w:sz w:val="18"/>
                <w:szCs w:val="18"/>
              </w:rPr>
            </w:pPr>
            <w:r>
              <w:rPr>
                <w:rFonts w:hint="eastAsia" w:ascii="仿宋" w:hAnsi="仿宋" w:eastAsia="仿宋" w:cs="仿宋"/>
                <w:bCs/>
                <w:szCs w:val="21"/>
              </w:rPr>
              <w:t>政治经济学的形成，西方经济学与政治经济学的对比；生产力与生产关系，经济基础与上层建筑；生产关系贯穿于人类活动的生产、交换、分配和消费环节。</w:t>
            </w:r>
          </w:p>
        </w:tc>
        <w:tc>
          <w:tcPr>
            <w:tcW w:w="458" w:type="pct"/>
            <w:vAlign w:val="center"/>
          </w:tcPr>
          <w:p w14:paraId="26E060D4">
            <w:pPr>
              <w:suppressAutoHyphens/>
              <w:spacing w:before="156" w:beforeLines="50" w:after="156" w:afterLines="50" w:line="276" w:lineRule="auto"/>
              <w:rPr>
                <w:rFonts w:eastAsia="仿宋"/>
                <w:bCs/>
                <w:spacing w:val="-3"/>
                <w:sz w:val="24"/>
              </w:rPr>
            </w:pPr>
            <w:r>
              <w:rPr>
                <w:rFonts w:hint="eastAsia" w:eastAsia="仿宋"/>
                <w:bCs/>
                <w:spacing w:val="-3"/>
                <w:sz w:val="24"/>
              </w:rPr>
              <w:t>线下课堂讲授8</w:t>
            </w:r>
            <w:r>
              <w:rPr>
                <w:rFonts w:eastAsia="仿宋"/>
                <w:bCs/>
                <w:spacing w:val="-3"/>
                <w:sz w:val="24"/>
              </w:rPr>
              <w:t>0%+</w:t>
            </w:r>
            <w:r>
              <w:rPr>
                <w:rFonts w:hint="eastAsia" w:eastAsia="仿宋"/>
                <w:bCs/>
                <w:spacing w:val="-3"/>
                <w:sz w:val="24"/>
              </w:rPr>
              <w:t>课堂讨论2</w:t>
            </w:r>
            <w:r>
              <w:rPr>
                <w:rFonts w:eastAsia="仿宋"/>
                <w:bCs/>
                <w:spacing w:val="-3"/>
                <w:sz w:val="24"/>
              </w:rPr>
              <w:t>0%</w:t>
            </w:r>
          </w:p>
        </w:tc>
        <w:tc>
          <w:tcPr>
            <w:tcW w:w="454" w:type="pct"/>
            <w:vAlign w:val="center"/>
          </w:tcPr>
          <w:p w14:paraId="08EF7A10">
            <w:pPr>
              <w:suppressAutoHyphens/>
              <w:spacing w:before="156" w:beforeLines="50" w:after="156" w:afterLines="50" w:line="276" w:lineRule="auto"/>
              <w:rPr>
                <w:rFonts w:eastAsia="仿宋"/>
                <w:bCs/>
                <w:spacing w:val="-3"/>
                <w:sz w:val="24"/>
              </w:rPr>
            </w:pPr>
          </w:p>
        </w:tc>
        <w:tc>
          <w:tcPr>
            <w:tcW w:w="470" w:type="pct"/>
            <w:vAlign w:val="center"/>
          </w:tcPr>
          <w:p w14:paraId="662A7181">
            <w:pPr>
              <w:suppressAutoHyphens/>
              <w:spacing w:before="156" w:beforeLines="50" w:after="156" w:afterLines="50" w:line="276" w:lineRule="auto"/>
              <w:rPr>
                <w:rFonts w:eastAsia="仿宋"/>
                <w:bCs/>
                <w:spacing w:val="-3"/>
                <w:sz w:val="24"/>
              </w:rPr>
            </w:pPr>
            <w:r>
              <w:rPr>
                <w:rFonts w:hint="eastAsia" w:eastAsia="仿宋"/>
                <w:bCs/>
                <w:spacing w:val="-3"/>
                <w:sz w:val="24"/>
              </w:rPr>
              <w:t>课程目标1、2、3</w:t>
            </w:r>
          </w:p>
        </w:tc>
      </w:tr>
      <w:tr w14:paraId="6842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 w:type="pct"/>
            <w:shd w:val="clear" w:color="auto" w:fill="auto"/>
            <w:vAlign w:val="center"/>
          </w:tcPr>
          <w:p w14:paraId="1D62C0E7">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2</w:t>
            </w:r>
          </w:p>
        </w:tc>
        <w:tc>
          <w:tcPr>
            <w:tcW w:w="618" w:type="pct"/>
            <w:shd w:val="clear" w:color="auto" w:fill="auto"/>
            <w:vAlign w:val="center"/>
          </w:tcPr>
          <w:p w14:paraId="708F24DF">
            <w:pPr>
              <w:suppressAutoHyphens/>
              <w:spacing w:before="156" w:beforeLines="50" w:after="156" w:afterLines="50" w:line="276" w:lineRule="auto"/>
              <w:rPr>
                <w:rFonts w:eastAsia="仿宋"/>
                <w:bCs/>
                <w:spacing w:val="-3"/>
                <w:sz w:val="24"/>
                <w:lang w:val="en-GB"/>
              </w:rPr>
            </w:pPr>
            <w:r>
              <w:rPr>
                <w:rFonts w:hint="eastAsia" w:eastAsia="仿宋"/>
                <w:bCs/>
                <w:spacing w:val="-3"/>
                <w:sz w:val="24"/>
                <w:lang w:val="zh-CN"/>
              </w:rPr>
              <w:t>第一章</w:t>
            </w:r>
            <w:r>
              <w:rPr>
                <w:rFonts w:hint="eastAsia" w:eastAsia="仿宋"/>
                <w:bCs/>
                <w:spacing w:val="-3"/>
                <w:sz w:val="24"/>
              </w:rPr>
              <w:t xml:space="preserve"> 商品</w:t>
            </w:r>
          </w:p>
        </w:tc>
        <w:tc>
          <w:tcPr>
            <w:tcW w:w="787" w:type="pct"/>
            <w:shd w:val="clear" w:color="auto" w:fill="auto"/>
            <w:vAlign w:val="center"/>
          </w:tcPr>
          <w:p w14:paraId="3E867FBD">
            <w:pPr>
              <w:suppressAutoHyphens/>
              <w:spacing w:before="156" w:beforeLines="50" w:after="156" w:afterLines="50" w:line="276" w:lineRule="auto"/>
              <w:rPr>
                <w:rFonts w:eastAsia="仿宋"/>
                <w:bCs/>
                <w:spacing w:val="-3"/>
                <w:sz w:val="24"/>
                <w:lang w:val="en-GB"/>
              </w:rPr>
            </w:pPr>
            <w:r>
              <w:rPr>
                <w:rFonts w:hint="eastAsia" w:ascii="仿宋" w:hAnsi="仿宋" w:eastAsia="仿宋" w:cs="仿宋"/>
                <w:bCs/>
                <w:szCs w:val="21"/>
              </w:rPr>
              <w:t>商品价值；商品的价值量</w:t>
            </w:r>
          </w:p>
        </w:tc>
        <w:tc>
          <w:tcPr>
            <w:tcW w:w="266" w:type="pct"/>
            <w:vAlign w:val="center"/>
          </w:tcPr>
          <w:p w14:paraId="48DF51E6">
            <w:pPr>
              <w:suppressAutoHyphens/>
              <w:spacing w:before="156" w:beforeLines="50" w:after="156" w:afterLines="50" w:line="276" w:lineRule="auto"/>
              <w:rPr>
                <w:rFonts w:eastAsia="仿宋"/>
                <w:bCs/>
                <w:spacing w:val="-3"/>
                <w:sz w:val="24"/>
              </w:rPr>
            </w:pPr>
            <w:r>
              <w:rPr>
                <w:rFonts w:eastAsia="仿宋"/>
                <w:bCs/>
                <w:spacing w:val="-3"/>
                <w:sz w:val="24"/>
              </w:rPr>
              <w:t>8</w:t>
            </w:r>
          </w:p>
        </w:tc>
        <w:tc>
          <w:tcPr>
            <w:tcW w:w="1663" w:type="pct"/>
            <w:vAlign w:val="center"/>
          </w:tcPr>
          <w:p w14:paraId="27704A3C">
            <w:pPr>
              <w:adjustRightInd w:val="0"/>
              <w:snapToGrid w:val="0"/>
              <w:jc w:val="left"/>
              <w:rPr>
                <w:rFonts w:ascii="仿宋" w:hAnsi="仿宋" w:eastAsia="仿宋" w:cs="仿宋"/>
                <w:bCs/>
                <w:szCs w:val="21"/>
              </w:rPr>
            </w:pPr>
            <w:r>
              <w:rPr>
                <w:rFonts w:hint="eastAsia" w:ascii="仿宋" w:hAnsi="仿宋" w:eastAsia="仿宋" w:cs="仿宋"/>
                <w:bCs/>
                <w:szCs w:val="21"/>
              </w:rPr>
              <w:t>商品二因素，劳动二重性，商品经济及其基本矛盾，商品拜物教；商品价值量的决定，价值量的变化规律</w:t>
            </w:r>
          </w:p>
          <w:p w14:paraId="19DCAE06">
            <w:pPr>
              <w:adjustRightInd w:val="0"/>
              <w:snapToGrid w:val="0"/>
              <w:jc w:val="left"/>
              <w:rPr>
                <w:rFonts w:ascii="仿宋" w:hAnsi="仿宋" w:eastAsia="仿宋"/>
                <w:b/>
                <w:sz w:val="18"/>
                <w:szCs w:val="18"/>
              </w:rPr>
            </w:pPr>
            <w:r>
              <w:rPr>
                <w:rFonts w:ascii="仿宋" w:hAnsi="仿宋" w:eastAsia="仿宋"/>
                <w:b/>
                <w:sz w:val="18"/>
                <w:szCs w:val="18"/>
                <w:lang w:val="zh-CN"/>
              </w:rPr>
              <w:t>重点</w:t>
            </w:r>
            <w:r>
              <w:rPr>
                <w:rFonts w:hint="eastAsia" w:ascii="仿宋" w:hAnsi="仿宋" w:eastAsia="仿宋"/>
                <w:b/>
                <w:sz w:val="18"/>
                <w:szCs w:val="18"/>
                <w:lang w:val="zh-CN"/>
              </w:rPr>
              <w:t>：</w:t>
            </w:r>
            <w:r>
              <w:rPr>
                <w:rFonts w:hint="eastAsia" w:ascii="仿宋" w:hAnsi="仿宋" w:eastAsia="仿宋" w:cs="仿宋"/>
                <w:bCs/>
                <w:szCs w:val="21"/>
              </w:rPr>
              <w:t>使用价值与价值，具体劳动与抽象劳动，资本主义生产方式缺陷，劳动价值论。</w:t>
            </w:r>
          </w:p>
          <w:p w14:paraId="3A55AF09">
            <w:pPr>
              <w:adjustRightInd w:val="0"/>
              <w:snapToGrid w:val="0"/>
              <w:jc w:val="left"/>
              <w:rPr>
                <w:rFonts w:ascii="仿宋" w:hAnsi="仿宋" w:eastAsia="仿宋"/>
                <w:b/>
                <w:sz w:val="18"/>
                <w:szCs w:val="18"/>
              </w:rPr>
            </w:pPr>
            <w:r>
              <w:rPr>
                <w:rFonts w:ascii="仿宋" w:hAnsi="仿宋" w:eastAsia="仿宋"/>
                <w:b/>
                <w:sz w:val="18"/>
                <w:szCs w:val="18"/>
                <w:lang w:val="zh-CN"/>
              </w:rPr>
              <w:t>难点</w:t>
            </w:r>
            <w:r>
              <w:rPr>
                <w:rFonts w:hint="eastAsia" w:ascii="仿宋" w:hAnsi="仿宋" w:eastAsia="仿宋"/>
                <w:b/>
                <w:sz w:val="18"/>
                <w:szCs w:val="18"/>
                <w:lang w:val="zh-CN"/>
              </w:rPr>
              <w:t>：</w:t>
            </w:r>
            <w:r>
              <w:rPr>
                <w:rFonts w:hint="eastAsia" w:ascii="仿宋" w:hAnsi="仿宋" w:eastAsia="仿宋" w:cs="仿宋"/>
                <w:bCs/>
                <w:szCs w:val="21"/>
              </w:rPr>
              <w:t>劳动价值论的理解及应用；学会应用社会必要劳动时间分析</w:t>
            </w:r>
          </w:p>
        </w:tc>
        <w:tc>
          <w:tcPr>
            <w:tcW w:w="458" w:type="pct"/>
            <w:vAlign w:val="center"/>
          </w:tcPr>
          <w:p w14:paraId="0428B4E1">
            <w:pPr>
              <w:suppressAutoHyphens/>
              <w:spacing w:before="156" w:beforeLines="50" w:after="156" w:afterLines="50" w:line="276" w:lineRule="auto"/>
              <w:rPr>
                <w:rFonts w:eastAsia="仿宋"/>
                <w:bCs/>
                <w:spacing w:val="-3"/>
                <w:sz w:val="24"/>
                <w:lang w:val="en-GB"/>
              </w:rPr>
            </w:pPr>
            <w:r>
              <w:rPr>
                <w:rFonts w:hint="eastAsia" w:eastAsia="仿宋"/>
                <w:bCs/>
                <w:spacing w:val="-3"/>
                <w:sz w:val="24"/>
              </w:rPr>
              <w:t>线下课堂讲授8</w:t>
            </w:r>
            <w:r>
              <w:rPr>
                <w:rFonts w:eastAsia="仿宋"/>
                <w:bCs/>
                <w:spacing w:val="-3"/>
                <w:sz w:val="24"/>
              </w:rPr>
              <w:t>0%+</w:t>
            </w:r>
            <w:r>
              <w:rPr>
                <w:rFonts w:hint="eastAsia" w:eastAsia="仿宋"/>
                <w:bCs/>
                <w:spacing w:val="-3"/>
                <w:sz w:val="24"/>
              </w:rPr>
              <w:t>课堂讨论2</w:t>
            </w:r>
            <w:r>
              <w:rPr>
                <w:rFonts w:eastAsia="仿宋"/>
                <w:bCs/>
                <w:spacing w:val="-3"/>
                <w:sz w:val="24"/>
              </w:rPr>
              <w:t>0%</w:t>
            </w:r>
          </w:p>
        </w:tc>
        <w:tc>
          <w:tcPr>
            <w:tcW w:w="454" w:type="pct"/>
            <w:vAlign w:val="center"/>
          </w:tcPr>
          <w:p w14:paraId="28AFCF97">
            <w:pPr>
              <w:suppressAutoHyphens/>
              <w:spacing w:before="156" w:beforeLines="50" w:after="156" w:afterLines="50" w:line="276" w:lineRule="auto"/>
              <w:rPr>
                <w:rFonts w:eastAsia="仿宋"/>
                <w:bCs/>
                <w:spacing w:val="-3"/>
                <w:sz w:val="24"/>
                <w:lang w:val="en-GB"/>
              </w:rPr>
            </w:pPr>
            <w:r>
              <w:rPr>
                <w:rFonts w:hint="eastAsia" w:eastAsia="仿宋"/>
                <w:bCs/>
                <w:spacing w:val="-3"/>
                <w:sz w:val="24"/>
              </w:rPr>
              <w:t>作业1</w:t>
            </w:r>
          </w:p>
        </w:tc>
        <w:tc>
          <w:tcPr>
            <w:tcW w:w="470" w:type="pct"/>
            <w:vAlign w:val="center"/>
          </w:tcPr>
          <w:p w14:paraId="7BBBA201">
            <w:pPr>
              <w:suppressAutoHyphens/>
              <w:spacing w:before="156" w:beforeLines="50" w:after="156" w:afterLines="50" w:line="276" w:lineRule="auto"/>
              <w:rPr>
                <w:rFonts w:eastAsia="仿宋"/>
                <w:bCs/>
                <w:spacing w:val="-3"/>
                <w:sz w:val="24"/>
                <w:lang w:val="en-GB"/>
              </w:rPr>
            </w:pPr>
            <w:r>
              <w:rPr>
                <w:rFonts w:hint="eastAsia" w:eastAsia="仿宋"/>
                <w:bCs/>
                <w:spacing w:val="-3"/>
                <w:sz w:val="24"/>
              </w:rPr>
              <w:t>课程目标1、2、3</w:t>
            </w:r>
          </w:p>
        </w:tc>
      </w:tr>
      <w:tr w14:paraId="6F9D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 w:type="pct"/>
            <w:shd w:val="clear" w:color="auto" w:fill="auto"/>
            <w:vAlign w:val="center"/>
          </w:tcPr>
          <w:p w14:paraId="6A51D0D6">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3</w:t>
            </w:r>
          </w:p>
        </w:tc>
        <w:tc>
          <w:tcPr>
            <w:tcW w:w="618" w:type="pct"/>
            <w:shd w:val="clear" w:color="auto" w:fill="auto"/>
            <w:vAlign w:val="center"/>
          </w:tcPr>
          <w:p w14:paraId="5FC5902F">
            <w:pPr>
              <w:suppressAutoHyphens/>
              <w:spacing w:before="156" w:beforeLines="50" w:after="156" w:afterLines="50" w:line="276" w:lineRule="auto"/>
              <w:rPr>
                <w:rFonts w:eastAsia="仿宋"/>
                <w:bCs/>
                <w:spacing w:val="-3"/>
                <w:sz w:val="24"/>
                <w:lang w:val="en-GB"/>
              </w:rPr>
            </w:pPr>
            <w:r>
              <w:rPr>
                <w:rFonts w:hint="eastAsia" w:eastAsia="仿宋"/>
                <w:bCs/>
                <w:spacing w:val="-3"/>
                <w:sz w:val="24"/>
              </w:rPr>
              <w:t>第二章 货币</w:t>
            </w:r>
          </w:p>
        </w:tc>
        <w:tc>
          <w:tcPr>
            <w:tcW w:w="787" w:type="pct"/>
            <w:shd w:val="clear" w:color="auto" w:fill="auto"/>
            <w:vAlign w:val="center"/>
          </w:tcPr>
          <w:p w14:paraId="3939513D">
            <w:pPr>
              <w:suppressAutoHyphens/>
              <w:spacing w:before="156" w:beforeLines="50" w:after="156" w:afterLines="50" w:line="276" w:lineRule="auto"/>
              <w:rPr>
                <w:rFonts w:eastAsia="仿宋"/>
                <w:bCs/>
                <w:spacing w:val="-3"/>
                <w:sz w:val="24"/>
                <w:lang w:val="en-GB"/>
              </w:rPr>
            </w:pPr>
            <w:r>
              <w:rPr>
                <w:rFonts w:hint="eastAsia" w:ascii="仿宋" w:hAnsi="仿宋" w:eastAsia="仿宋" w:cs="仿宋"/>
                <w:bCs/>
                <w:szCs w:val="21"/>
              </w:rPr>
              <w:t>价值形式的演变与货币的起源；货币的职能与流通规律；商品经济的基本规律</w:t>
            </w:r>
          </w:p>
        </w:tc>
        <w:tc>
          <w:tcPr>
            <w:tcW w:w="266" w:type="pct"/>
            <w:vAlign w:val="center"/>
          </w:tcPr>
          <w:p w14:paraId="66EE55CB">
            <w:pPr>
              <w:suppressAutoHyphens/>
              <w:spacing w:before="156" w:beforeLines="50" w:after="156" w:afterLines="50" w:line="276" w:lineRule="auto"/>
              <w:rPr>
                <w:rFonts w:eastAsia="仿宋"/>
                <w:bCs/>
                <w:spacing w:val="-3"/>
                <w:sz w:val="24"/>
              </w:rPr>
            </w:pPr>
            <w:r>
              <w:rPr>
                <w:rFonts w:eastAsia="仿宋"/>
                <w:bCs/>
                <w:spacing w:val="-3"/>
                <w:sz w:val="24"/>
              </w:rPr>
              <w:t>8</w:t>
            </w:r>
          </w:p>
        </w:tc>
        <w:tc>
          <w:tcPr>
            <w:tcW w:w="1663" w:type="pct"/>
            <w:vAlign w:val="center"/>
          </w:tcPr>
          <w:p w14:paraId="080C07EE">
            <w:pPr>
              <w:adjustRightInd w:val="0"/>
              <w:snapToGrid w:val="0"/>
              <w:jc w:val="left"/>
              <w:rPr>
                <w:rFonts w:ascii="仿宋" w:hAnsi="仿宋" w:eastAsia="仿宋" w:cs="仿宋"/>
                <w:bCs/>
                <w:szCs w:val="21"/>
              </w:rPr>
            </w:pPr>
            <w:r>
              <w:rPr>
                <w:rFonts w:hint="eastAsia" w:ascii="仿宋" w:hAnsi="仿宋" w:eastAsia="仿宋" w:cs="仿宋"/>
                <w:bCs/>
                <w:szCs w:val="21"/>
              </w:rPr>
              <w:t>价值形式的演变，货币的职能，流通规律，价值规律的基本内容，表现形式</w:t>
            </w:r>
          </w:p>
          <w:p w14:paraId="598A6FB6">
            <w:pPr>
              <w:adjustRightInd w:val="0"/>
              <w:snapToGrid w:val="0"/>
              <w:jc w:val="left"/>
              <w:rPr>
                <w:rFonts w:ascii="仿宋" w:hAnsi="仿宋" w:eastAsia="仿宋" w:cs="仿宋"/>
                <w:bCs/>
                <w:szCs w:val="21"/>
              </w:rPr>
            </w:pPr>
            <w:r>
              <w:rPr>
                <w:rFonts w:ascii="仿宋" w:hAnsi="仿宋" w:eastAsia="仿宋"/>
                <w:b/>
                <w:sz w:val="18"/>
                <w:szCs w:val="18"/>
                <w:lang w:val="zh-CN"/>
              </w:rPr>
              <w:t>重点</w:t>
            </w:r>
            <w:r>
              <w:rPr>
                <w:rFonts w:hint="eastAsia" w:ascii="仿宋" w:hAnsi="仿宋" w:eastAsia="仿宋"/>
                <w:b/>
                <w:sz w:val="18"/>
                <w:szCs w:val="18"/>
                <w:lang w:val="zh-CN"/>
              </w:rPr>
              <w:t>：</w:t>
            </w:r>
            <w:r>
              <w:rPr>
                <w:rFonts w:hint="eastAsia" w:ascii="仿宋" w:hAnsi="仿宋" w:eastAsia="仿宋" w:cs="仿宋"/>
                <w:bCs/>
                <w:szCs w:val="21"/>
              </w:rPr>
              <w:t>价值尺度，流通手段，贮藏手段，支付手段，世界货币，货币流通规律</w:t>
            </w:r>
          </w:p>
          <w:p w14:paraId="2EEC7E93">
            <w:pPr>
              <w:adjustRightInd w:val="0"/>
              <w:snapToGrid w:val="0"/>
              <w:jc w:val="left"/>
              <w:rPr>
                <w:rFonts w:ascii="仿宋" w:hAnsi="仿宋" w:eastAsia="仿宋"/>
                <w:b/>
                <w:sz w:val="18"/>
                <w:szCs w:val="18"/>
              </w:rPr>
            </w:pPr>
            <w:r>
              <w:rPr>
                <w:rFonts w:ascii="仿宋" w:hAnsi="仿宋" w:eastAsia="仿宋"/>
                <w:b/>
                <w:sz w:val="18"/>
                <w:szCs w:val="18"/>
                <w:lang w:val="zh-CN"/>
              </w:rPr>
              <w:t>难点</w:t>
            </w:r>
            <w:r>
              <w:rPr>
                <w:rFonts w:hint="eastAsia" w:ascii="仿宋" w:hAnsi="仿宋" w:eastAsia="仿宋"/>
                <w:b/>
                <w:sz w:val="18"/>
                <w:szCs w:val="18"/>
                <w:lang w:val="zh-CN"/>
              </w:rPr>
              <w:t>：</w:t>
            </w:r>
            <w:r>
              <w:rPr>
                <w:rFonts w:hint="eastAsia" w:ascii="仿宋" w:hAnsi="仿宋" w:eastAsia="仿宋" w:cs="仿宋"/>
                <w:bCs/>
                <w:szCs w:val="21"/>
              </w:rPr>
              <w:t>学会区分货币的不同职能，并利用货币流通规律分析日常经济现象；学会应用价值规律分析经济现象。</w:t>
            </w:r>
          </w:p>
          <w:p w14:paraId="605E3545">
            <w:pPr>
              <w:suppressAutoHyphens/>
              <w:spacing w:before="156" w:beforeLines="50" w:after="156" w:afterLines="50" w:line="276" w:lineRule="auto"/>
              <w:rPr>
                <w:rFonts w:eastAsia="仿宋"/>
                <w:bCs/>
                <w:spacing w:val="-3"/>
                <w:sz w:val="24"/>
              </w:rPr>
            </w:pPr>
          </w:p>
        </w:tc>
        <w:tc>
          <w:tcPr>
            <w:tcW w:w="458" w:type="pct"/>
            <w:vAlign w:val="center"/>
          </w:tcPr>
          <w:p w14:paraId="192E80D2">
            <w:pPr>
              <w:suppressAutoHyphens/>
              <w:spacing w:before="156" w:beforeLines="50" w:after="156" w:afterLines="50" w:line="276" w:lineRule="auto"/>
              <w:rPr>
                <w:rFonts w:eastAsia="仿宋"/>
                <w:bCs/>
                <w:spacing w:val="-3"/>
                <w:sz w:val="24"/>
                <w:lang w:val="en-GB"/>
              </w:rPr>
            </w:pPr>
            <w:r>
              <w:rPr>
                <w:rFonts w:hint="eastAsia" w:eastAsia="仿宋"/>
                <w:bCs/>
                <w:spacing w:val="-3"/>
                <w:sz w:val="24"/>
              </w:rPr>
              <w:t>线下课堂讲授8</w:t>
            </w:r>
            <w:r>
              <w:rPr>
                <w:rFonts w:eastAsia="仿宋"/>
                <w:bCs/>
                <w:spacing w:val="-3"/>
                <w:sz w:val="24"/>
              </w:rPr>
              <w:t>0%+</w:t>
            </w:r>
            <w:r>
              <w:rPr>
                <w:rFonts w:hint="eastAsia" w:eastAsia="仿宋"/>
                <w:bCs/>
                <w:spacing w:val="-3"/>
                <w:sz w:val="24"/>
              </w:rPr>
              <w:t>课堂讨论2</w:t>
            </w:r>
            <w:r>
              <w:rPr>
                <w:rFonts w:eastAsia="仿宋"/>
                <w:bCs/>
                <w:spacing w:val="-3"/>
                <w:sz w:val="24"/>
              </w:rPr>
              <w:t>0%</w:t>
            </w:r>
          </w:p>
        </w:tc>
        <w:tc>
          <w:tcPr>
            <w:tcW w:w="454" w:type="pct"/>
            <w:vAlign w:val="center"/>
          </w:tcPr>
          <w:p w14:paraId="2810A938">
            <w:pPr>
              <w:suppressAutoHyphens/>
              <w:spacing w:before="156" w:beforeLines="50" w:after="156" w:afterLines="50" w:line="276" w:lineRule="auto"/>
              <w:rPr>
                <w:rFonts w:eastAsia="仿宋"/>
                <w:bCs/>
                <w:spacing w:val="-3"/>
                <w:sz w:val="24"/>
                <w:lang w:val="en-GB"/>
              </w:rPr>
            </w:pPr>
          </w:p>
        </w:tc>
        <w:tc>
          <w:tcPr>
            <w:tcW w:w="470" w:type="pct"/>
            <w:vAlign w:val="center"/>
          </w:tcPr>
          <w:p w14:paraId="22389446">
            <w:pPr>
              <w:suppressAutoHyphens/>
              <w:spacing w:before="156" w:beforeLines="50" w:after="156" w:afterLines="50" w:line="276" w:lineRule="auto"/>
              <w:rPr>
                <w:rFonts w:eastAsia="仿宋"/>
                <w:bCs/>
                <w:spacing w:val="-3"/>
                <w:sz w:val="24"/>
              </w:rPr>
            </w:pPr>
            <w:r>
              <w:rPr>
                <w:rFonts w:hint="eastAsia" w:eastAsia="仿宋"/>
                <w:bCs/>
                <w:spacing w:val="-3"/>
                <w:sz w:val="24"/>
              </w:rPr>
              <w:t>课程目标1、2、3</w:t>
            </w:r>
          </w:p>
        </w:tc>
      </w:tr>
      <w:tr w14:paraId="3DF8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 w:type="pct"/>
            <w:shd w:val="clear" w:color="auto" w:fill="auto"/>
            <w:vAlign w:val="center"/>
          </w:tcPr>
          <w:p w14:paraId="771B0F88">
            <w:pPr>
              <w:suppressAutoHyphens/>
              <w:spacing w:before="156" w:beforeLines="50" w:after="156" w:afterLines="50" w:line="276" w:lineRule="auto"/>
              <w:jc w:val="center"/>
              <w:rPr>
                <w:rFonts w:eastAsia="仿宋"/>
                <w:bCs/>
                <w:spacing w:val="-3"/>
                <w:sz w:val="24"/>
              </w:rPr>
            </w:pPr>
            <w:r>
              <w:rPr>
                <w:rFonts w:hint="eastAsia" w:eastAsia="仿宋"/>
                <w:bCs/>
                <w:spacing w:val="-3"/>
                <w:sz w:val="24"/>
              </w:rPr>
              <w:t>4</w:t>
            </w:r>
          </w:p>
        </w:tc>
        <w:tc>
          <w:tcPr>
            <w:tcW w:w="618" w:type="pct"/>
            <w:shd w:val="clear" w:color="auto" w:fill="auto"/>
            <w:vAlign w:val="center"/>
          </w:tcPr>
          <w:p w14:paraId="5129C8FA">
            <w:pPr>
              <w:adjustRightInd w:val="0"/>
              <w:snapToGrid w:val="0"/>
              <w:jc w:val="left"/>
              <w:rPr>
                <w:rFonts w:ascii="仿宋" w:hAnsi="仿宋" w:eastAsia="仿宋" w:cs="仿宋"/>
                <w:bCs/>
                <w:szCs w:val="21"/>
              </w:rPr>
            </w:pPr>
            <w:r>
              <w:rPr>
                <w:rFonts w:hint="eastAsia" w:eastAsia="仿宋"/>
                <w:bCs/>
                <w:spacing w:val="-3"/>
                <w:sz w:val="24"/>
              </w:rPr>
              <w:t>第三章</w:t>
            </w:r>
            <w:r>
              <w:rPr>
                <w:rFonts w:hint="eastAsia" w:ascii="仿宋" w:hAnsi="仿宋" w:eastAsia="仿宋" w:cs="仿宋"/>
                <w:bCs/>
                <w:szCs w:val="21"/>
              </w:rPr>
              <w:t>资本和剩余价值</w:t>
            </w:r>
          </w:p>
          <w:p w14:paraId="642FCB51">
            <w:pPr>
              <w:suppressAutoHyphens/>
              <w:spacing w:before="156" w:beforeLines="50" w:after="156" w:afterLines="50" w:line="276" w:lineRule="auto"/>
              <w:rPr>
                <w:rFonts w:eastAsia="仿宋"/>
                <w:bCs/>
                <w:spacing w:val="-3"/>
                <w:sz w:val="24"/>
                <w:lang w:val="en-GB"/>
              </w:rPr>
            </w:pPr>
          </w:p>
        </w:tc>
        <w:tc>
          <w:tcPr>
            <w:tcW w:w="787" w:type="pct"/>
            <w:shd w:val="clear" w:color="auto" w:fill="auto"/>
            <w:vAlign w:val="center"/>
          </w:tcPr>
          <w:p w14:paraId="1897C675">
            <w:pPr>
              <w:suppressAutoHyphens/>
              <w:spacing w:before="156" w:beforeLines="50" w:after="156" w:afterLines="50" w:line="276" w:lineRule="auto"/>
              <w:rPr>
                <w:rFonts w:eastAsia="仿宋"/>
                <w:bCs/>
                <w:spacing w:val="-3"/>
                <w:sz w:val="24"/>
                <w:lang w:val="en-GB"/>
              </w:rPr>
            </w:pPr>
            <w:r>
              <w:rPr>
                <w:rFonts w:hint="eastAsia" w:ascii="仿宋" w:hAnsi="仿宋" w:eastAsia="仿宋" w:cs="仿宋"/>
                <w:bCs/>
                <w:szCs w:val="21"/>
              </w:rPr>
              <w:t>货币转化为资本；剩余价值的源泉与资本的属性；剩余价值的生产方法；工资的本质和形式</w:t>
            </w:r>
          </w:p>
        </w:tc>
        <w:tc>
          <w:tcPr>
            <w:tcW w:w="266" w:type="pct"/>
            <w:vAlign w:val="center"/>
          </w:tcPr>
          <w:p w14:paraId="11A53CCA">
            <w:pPr>
              <w:suppressAutoHyphens/>
              <w:spacing w:before="156" w:beforeLines="50" w:after="156" w:afterLines="50" w:line="276" w:lineRule="auto"/>
              <w:rPr>
                <w:rFonts w:eastAsia="仿宋"/>
                <w:bCs/>
                <w:spacing w:val="-3"/>
                <w:sz w:val="24"/>
              </w:rPr>
            </w:pPr>
            <w:r>
              <w:rPr>
                <w:rFonts w:eastAsia="仿宋"/>
                <w:bCs/>
                <w:spacing w:val="-3"/>
                <w:sz w:val="24"/>
              </w:rPr>
              <w:t>8</w:t>
            </w:r>
          </w:p>
        </w:tc>
        <w:tc>
          <w:tcPr>
            <w:tcW w:w="1663" w:type="pct"/>
            <w:vAlign w:val="center"/>
          </w:tcPr>
          <w:p w14:paraId="321C6662">
            <w:pPr>
              <w:adjustRightInd w:val="0"/>
              <w:snapToGrid w:val="0"/>
              <w:jc w:val="left"/>
              <w:rPr>
                <w:rFonts w:ascii="仿宋" w:hAnsi="仿宋" w:eastAsia="仿宋" w:cs="仿宋"/>
                <w:bCs/>
                <w:szCs w:val="21"/>
              </w:rPr>
            </w:pPr>
            <w:r>
              <w:rPr>
                <w:rFonts w:hint="eastAsia" w:ascii="仿宋" w:hAnsi="仿宋" w:eastAsia="仿宋" w:cs="仿宋"/>
                <w:bCs/>
                <w:szCs w:val="21"/>
              </w:rPr>
              <w:t>资本总公式及其矛盾，商品流通和资本流通，劳动力的买和卖，剩余价值的生产，工资的本质，形式</w:t>
            </w:r>
          </w:p>
          <w:p w14:paraId="06907E91">
            <w:pPr>
              <w:adjustRightInd w:val="0"/>
              <w:snapToGrid w:val="0"/>
              <w:jc w:val="left"/>
              <w:rPr>
                <w:rFonts w:ascii="仿宋" w:hAnsi="仿宋" w:eastAsia="仿宋" w:cs="仿宋"/>
                <w:bCs/>
                <w:szCs w:val="21"/>
              </w:rPr>
            </w:pPr>
            <w:r>
              <w:rPr>
                <w:rFonts w:ascii="仿宋" w:hAnsi="仿宋" w:eastAsia="仿宋"/>
                <w:b/>
                <w:sz w:val="18"/>
                <w:szCs w:val="18"/>
                <w:lang w:val="zh-CN"/>
              </w:rPr>
              <w:t>重点</w:t>
            </w:r>
            <w:r>
              <w:rPr>
                <w:rFonts w:hint="eastAsia" w:ascii="仿宋" w:hAnsi="仿宋" w:eastAsia="仿宋"/>
                <w:b/>
                <w:sz w:val="18"/>
                <w:szCs w:val="18"/>
                <w:lang w:val="zh-CN"/>
              </w:rPr>
              <w:t>：</w:t>
            </w:r>
            <w:r>
              <w:rPr>
                <w:rFonts w:hint="eastAsia" w:ascii="仿宋" w:hAnsi="仿宋" w:eastAsia="仿宋" w:cs="仿宋"/>
                <w:bCs/>
                <w:szCs w:val="21"/>
              </w:rPr>
              <w:t>资本总公式的矛盾，劳动力、劳动、劳动商品的区分；商品的价值构成，剩余价值率与剩余价值量，绝对剩余价值生产，相对剩余价值生产，剩余价值规律</w:t>
            </w:r>
          </w:p>
          <w:p w14:paraId="0B19D366">
            <w:pPr>
              <w:adjustRightInd w:val="0"/>
              <w:snapToGrid w:val="0"/>
              <w:jc w:val="left"/>
              <w:rPr>
                <w:rFonts w:ascii="仿宋" w:hAnsi="仿宋" w:eastAsia="仿宋"/>
                <w:b/>
                <w:sz w:val="18"/>
                <w:szCs w:val="18"/>
              </w:rPr>
            </w:pPr>
            <w:r>
              <w:rPr>
                <w:rFonts w:ascii="仿宋" w:hAnsi="仿宋" w:eastAsia="仿宋"/>
                <w:b/>
                <w:sz w:val="18"/>
                <w:szCs w:val="18"/>
                <w:lang w:val="zh-CN"/>
              </w:rPr>
              <w:t>难点</w:t>
            </w:r>
            <w:r>
              <w:rPr>
                <w:rFonts w:hint="eastAsia" w:ascii="仿宋" w:hAnsi="仿宋" w:eastAsia="仿宋"/>
                <w:b/>
                <w:sz w:val="18"/>
                <w:szCs w:val="18"/>
                <w:lang w:val="zh-CN"/>
              </w:rPr>
              <w:t>：</w:t>
            </w:r>
            <w:r>
              <w:rPr>
                <w:rFonts w:hint="eastAsia" w:ascii="仿宋" w:hAnsi="仿宋" w:eastAsia="仿宋" w:cs="仿宋"/>
                <w:bCs/>
                <w:szCs w:val="21"/>
              </w:rPr>
              <w:t>学会应用资本总公式及劳动力这一特殊商品分析经济现象；分清两种不同的剩余价值生产，并能利用当代剩余价值特点分析当代资本主义生产现象；区分劳动与劳动力商品，尤其要理解劳动力作为一种特殊的商品，揭示了资本主义生产的剥削。</w:t>
            </w:r>
          </w:p>
        </w:tc>
        <w:tc>
          <w:tcPr>
            <w:tcW w:w="458" w:type="pct"/>
            <w:vAlign w:val="center"/>
          </w:tcPr>
          <w:p w14:paraId="78CFA480">
            <w:pPr>
              <w:suppressAutoHyphens/>
              <w:spacing w:before="156" w:beforeLines="50" w:after="156" w:afterLines="50" w:line="276" w:lineRule="auto"/>
              <w:rPr>
                <w:rFonts w:eastAsia="仿宋"/>
                <w:bCs/>
                <w:spacing w:val="-3"/>
                <w:sz w:val="24"/>
                <w:lang w:val="en-GB"/>
              </w:rPr>
            </w:pPr>
            <w:r>
              <w:rPr>
                <w:rFonts w:hint="eastAsia" w:eastAsia="仿宋"/>
                <w:bCs/>
                <w:spacing w:val="-3"/>
                <w:sz w:val="24"/>
              </w:rPr>
              <w:t>线下课堂讲授8</w:t>
            </w:r>
            <w:r>
              <w:rPr>
                <w:rFonts w:eastAsia="仿宋"/>
                <w:bCs/>
                <w:spacing w:val="-3"/>
                <w:sz w:val="24"/>
              </w:rPr>
              <w:t>0%+</w:t>
            </w:r>
            <w:r>
              <w:rPr>
                <w:rFonts w:hint="eastAsia" w:eastAsia="仿宋"/>
                <w:bCs/>
                <w:spacing w:val="-3"/>
                <w:sz w:val="24"/>
              </w:rPr>
              <w:t>课堂讨论2</w:t>
            </w:r>
            <w:r>
              <w:rPr>
                <w:rFonts w:eastAsia="仿宋"/>
                <w:bCs/>
                <w:spacing w:val="-3"/>
                <w:sz w:val="24"/>
              </w:rPr>
              <w:t>0%</w:t>
            </w:r>
          </w:p>
        </w:tc>
        <w:tc>
          <w:tcPr>
            <w:tcW w:w="454" w:type="pct"/>
            <w:vAlign w:val="center"/>
          </w:tcPr>
          <w:p w14:paraId="50E6C865">
            <w:pPr>
              <w:suppressAutoHyphens/>
              <w:spacing w:before="156" w:beforeLines="50" w:after="156" w:afterLines="50" w:line="276" w:lineRule="auto"/>
              <w:rPr>
                <w:rFonts w:eastAsia="仿宋"/>
                <w:bCs/>
                <w:spacing w:val="-3"/>
                <w:sz w:val="24"/>
                <w:lang w:val="en-GB"/>
              </w:rPr>
            </w:pPr>
          </w:p>
        </w:tc>
        <w:tc>
          <w:tcPr>
            <w:tcW w:w="470" w:type="pct"/>
            <w:vAlign w:val="center"/>
          </w:tcPr>
          <w:p w14:paraId="40A2BB4F">
            <w:pPr>
              <w:suppressAutoHyphens/>
              <w:spacing w:before="156" w:beforeLines="50" w:after="156" w:afterLines="50" w:line="276" w:lineRule="auto"/>
              <w:rPr>
                <w:rFonts w:eastAsia="仿宋"/>
                <w:bCs/>
                <w:spacing w:val="-3"/>
                <w:sz w:val="24"/>
              </w:rPr>
            </w:pPr>
            <w:r>
              <w:rPr>
                <w:rFonts w:hint="eastAsia" w:eastAsia="仿宋"/>
                <w:bCs/>
                <w:spacing w:val="-3"/>
                <w:sz w:val="24"/>
              </w:rPr>
              <w:t>课程目标1、2、3</w:t>
            </w:r>
          </w:p>
        </w:tc>
      </w:tr>
      <w:tr w14:paraId="3A8B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 w:type="pct"/>
            <w:shd w:val="clear" w:color="auto" w:fill="auto"/>
            <w:vAlign w:val="center"/>
          </w:tcPr>
          <w:p w14:paraId="0615E26C">
            <w:pPr>
              <w:suppressAutoHyphens/>
              <w:spacing w:before="156" w:beforeLines="50" w:after="156" w:afterLines="50" w:line="276" w:lineRule="auto"/>
              <w:jc w:val="center"/>
              <w:rPr>
                <w:rFonts w:eastAsia="仿宋"/>
                <w:bCs/>
                <w:spacing w:val="-3"/>
                <w:sz w:val="24"/>
              </w:rPr>
            </w:pPr>
            <w:r>
              <w:rPr>
                <w:rFonts w:hint="eastAsia" w:eastAsia="仿宋"/>
                <w:bCs/>
                <w:spacing w:val="-3"/>
                <w:sz w:val="24"/>
              </w:rPr>
              <w:t>5</w:t>
            </w:r>
          </w:p>
        </w:tc>
        <w:tc>
          <w:tcPr>
            <w:tcW w:w="618" w:type="pct"/>
            <w:shd w:val="clear" w:color="auto" w:fill="auto"/>
            <w:vAlign w:val="center"/>
          </w:tcPr>
          <w:p w14:paraId="109BEFE7">
            <w:pPr>
              <w:suppressAutoHyphens/>
              <w:spacing w:before="156" w:beforeLines="50" w:after="156" w:afterLines="50" w:line="276" w:lineRule="auto"/>
              <w:rPr>
                <w:rFonts w:eastAsia="仿宋"/>
                <w:bCs/>
                <w:spacing w:val="-3"/>
                <w:sz w:val="24"/>
              </w:rPr>
            </w:pPr>
            <w:r>
              <w:rPr>
                <w:rFonts w:hint="eastAsia" w:eastAsia="仿宋"/>
                <w:bCs/>
                <w:spacing w:val="-3"/>
                <w:sz w:val="24"/>
              </w:rPr>
              <w:t>第四章 资本积累</w:t>
            </w:r>
          </w:p>
        </w:tc>
        <w:tc>
          <w:tcPr>
            <w:tcW w:w="787" w:type="pct"/>
            <w:shd w:val="clear" w:color="auto" w:fill="auto"/>
            <w:vAlign w:val="center"/>
          </w:tcPr>
          <w:p w14:paraId="494F19E7">
            <w:pPr>
              <w:suppressAutoHyphens/>
              <w:spacing w:before="156" w:beforeLines="50" w:after="156" w:afterLines="50" w:line="276" w:lineRule="auto"/>
              <w:rPr>
                <w:rFonts w:eastAsia="仿宋"/>
                <w:bCs/>
                <w:spacing w:val="-3"/>
                <w:sz w:val="24"/>
                <w:lang w:val="en-GB"/>
              </w:rPr>
            </w:pPr>
            <w:r>
              <w:rPr>
                <w:rFonts w:hint="eastAsia" w:ascii="仿宋" w:hAnsi="仿宋" w:eastAsia="仿宋" w:cs="仿宋"/>
                <w:bCs/>
                <w:szCs w:val="21"/>
              </w:rPr>
              <w:t>资本有机构成与相对过剩人口；资本积累的一般规律与历史趋势</w:t>
            </w:r>
          </w:p>
        </w:tc>
        <w:tc>
          <w:tcPr>
            <w:tcW w:w="266" w:type="pct"/>
            <w:vAlign w:val="center"/>
          </w:tcPr>
          <w:p w14:paraId="7AA19A77">
            <w:pPr>
              <w:suppressAutoHyphens/>
              <w:spacing w:before="156" w:beforeLines="50" w:after="156" w:afterLines="50" w:line="276" w:lineRule="auto"/>
              <w:rPr>
                <w:rFonts w:eastAsia="仿宋"/>
                <w:bCs/>
                <w:spacing w:val="-3"/>
                <w:sz w:val="24"/>
              </w:rPr>
            </w:pPr>
            <w:r>
              <w:rPr>
                <w:rFonts w:eastAsia="仿宋"/>
                <w:bCs/>
                <w:spacing w:val="-3"/>
                <w:sz w:val="24"/>
              </w:rPr>
              <w:t>8</w:t>
            </w:r>
          </w:p>
        </w:tc>
        <w:tc>
          <w:tcPr>
            <w:tcW w:w="1663" w:type="pct"/>
            <w:vAlign w:val="center"/>
          </w:tcPr>
          <w:p w14:paraId="38377163">
            <w:pPr>
              <w:adjustRightInd w:val="0"/>
              <w:snapToGrid w:val="0"/>
              <w:jc w:val="left"/>
              <w:rPr>
                <w:rFonts w:ascii="仿宋" w:hAnsi="仿宋" w:eastAsia="仿宋" w:cs="仿宋"/>
                <w:bCs/>
                <w:szCs w:val="21"/>
              </w:rPr>
            </w:pPr>
            <w:r>
              <w:rPr>
                <w:rFonts w:hint="eastAsia" w:ascii="仿宋" w:hAnsi="仿宋" w:eastAsia="仿宋" w:cs="仿宋"/>
                <w:bCs/>
                <w:szCs w:val="21"/>
              </w:rPr>
              <w:t>资本有机构成，相对过剩人口；资本积累的一般规律</w:t>
            </w:r>
          </w:p>
          <w:p w14:paraId="4205A2E1">
            <w:pPr>
              <w:adjustRightInd w:val="0"/>
              <w:snapToGrid w:val="0"/>
              <w:jc w:val="left"/>
              <w:rPr>
                <w:rFonts w:ascii="仿宋" w:hAnsi="仿宋" w:eastAsia="仿宋" w:cs="仿宋"/>
                <w:bCs/>
                <w:szCs w:val="21"/>
              </w:rPr>
            </w:pPr>
            <w:r>
              <w:rPr>
                <w:rFonts w:ascii="仿宋" w:hAnsi="仿宋" w:eastAsia="仿宋"/>
                <w:b/>
                <w:sz w:val="18"/>
                <w:szCs w:val="18"/>
                <w:lang w:val="zh-CN"/>
              </w:rPr>
              <w:t>重点</w:t>
            </w:r>
            <w:r>
              <w:rPr>
                <w:rFonts w:hint="eastAsia" w:ascii="仿宋" w:hAnsi="仿宋" w:eastAsia="仿宋"/>
                <w:b/>
                <w:sz w:val="18"/>
                <w:szCs w:val="18"/>
                <w:lang w:val="zh-CN"/>
              </w:rPr>
              <w:t>：</w:t>
            </w:r>
            <w:r>
              <w:rPr>
                <w:rFonts w:hint="eastAsia" w:ascii="仿宋" w:hAnsi="仿宋" w:eastAsia="仿宋" w:cs="仿宋"/>
                <w:bCs/>
                <w:szCs w:val="21"/>
              </w:rPr>
              <w:t>相对过剩人口的形成，资本有机构成的定义；再生产是生产资料、资本价值及经济关系的再生产，扩大再生产的源泉是剩余价值</w:t>
            </w:r>
          </w:p>
          <w:p w14:paraId="6D466941">
            <w:pPr>
              <w:adjustRightInd w:val="0"/>
              <w:snapToGrid w:val="0"/>
              <w:jc w:val="left"/>
              <w:rPr>
                <w:rFonts w:ascii="仿宋" w:hAnsi="仿宋" w:eastAsia="仿宋"/>
                <w:b/>
                <w:sz w:val="18"/>
                <w:szCs w:val="18"/>
              </w:rPr>
            </w:pPr>
            <w:r>
              <w:rPr>
                <w:rFonts w:ascii="仿宋" w:hAnsi="仿宋" w:eastAsia="仿宋"/>
                <w:b/>
                <w:sz w:val="18"/>
                <w:szCs w:val="18"/>
                <w:lang w:val="zh-CN"/>
              </w:rPr>
              <w:t>难点</w:t>
            </w:r>
            <w:r>
              <w:rPr>
                <w:rFonts w:hint="eastAsia" w:ascii="仿宋" w:hAnsi="仿宋" w:eastAsia="仿宋"/>
                <w:b/>
                <w:sz w:val="18"/>
                <w:szCs w:val="18"/>
                <w:lang w:val="zh-CN"/>
              </w:rPr>
              <w:t>：</w:t>
            </w:r>
            <w:r>
              <w:rPr>
                <w:rFonts w:hint="eastAsia" w:ascii="仿宋" w:hAnsi="仿宋" w:eastAsia="仿宋" w:cs="仿宋"/>
                <w:bCs/>
                <w:szCs w:val="21"/>
              </w:rPr>
              <w:t>利用不变资本与可变资本的变化来理解资本有机构成的不断提高，以及资本主义社会为什么一直存在相对过剩的人口现象；资本主义的原始积累是建立在暴力基础上的，资本积累的趋势是资本主义社会的消亡。</w:t>
            </w:r>
          </w:p>
          <w:p w14:paraId="24AFC87C">
            <w:pPr>
              <w:suppressAutoHyphens/>
              <w:spacing w:before="156" w:beforeLines="50" w:after="156" w:afterLines="50" w:line="276" w:lineRule="auto"/>
              <w:rPr>
                <w:rFonts w:eastAsia="仿宋"/>
                <w:bCs/>
                <w:spacing w:val="-3"/>
                <w:sz w:val="24"/>
              </w:rPr>
            </w:pPr>
          </w:p>
        </w:tc>
        <w:tc>
          <w:tcPr>
            <w:tcW w:w="458" w:type="pct"/>
            <w:vAlign w:val="center"/>
          </w:tcPr>
          <w:p w14:paraId="06AAFD44">
            <w:pPr>
              <w:suppressAutoHyphens/>
              <w:spacing w:before="156" w:beforeLines="50" w:after="156" w:afterLines="50" w:line="276" w:lineRule="auto"/>
              <w:rPr>
                <w:rFonts w:eastAsia="仿宋"/>
                <w:bCs/>
                <w:spacing w:val="-3"/>
                <w:sz w:val="24"/>
                <w:lang w:val="en-GB"/>
              </w:rPr>
            </w:pPr>
            <w:r>
              <w:rPr>
                <w:rFonts w:hint="eastAsia" w:eastAsia="仿宋"/>
                <w:bCs/>
                <w:spacing w:val="-3"/>
                <w:sz w:val="24"/>
              </w:rPr>
              <w:t>线下课堂讲授8</w:t>
            </w:r>
            <w:r>
              <w:rPr>
                <w:rFonts w:eastAsia="仿宋"/>
                <w:bCs/>
                <w:spacing w:val="-3"/>
                <w:sz w:val="24"/>
              </w:rPr>
              <w:t>0%+</w:t>
            </w:r>
            <w:r>
              <w:rPr>
                <w:rFonts w:hint="eastAsia" w:eastAsia="仿宋"/>
                <w:bCs/>
                <w:spacing w:val="-3"/>
                <w:sz w:val="24"/>
              </w:rPr>
              <w:t>课堂讨论2</w:t>
            </w:r>
            <w:r>
              <w:rPr>
                <w:rFonts w:eastAsia="仿宋"/>
                <w:bCs/>
                <w:spacing w:val="-3"/>
                <w:sz w:val="24"/>
              </w:rPr>
              <w:t>0%</w:t>
            </w:r>
          </w:p>
        </w:tc>
        <w:tc>
          <w:tcPr>
            <w:tcW w:w="454" w:type="pct"/>
            <w:vAlign w:val="center"/>
          </w:tcPr>
          <w:p w14:paraId="68C2C05D">
            <w:pPr>
              <w:suppressAutoHyphens/>
              <w:spacing w:before="156" w:beforeLines="50" w:after="156" w:afterLines="50" w:line="276" w:lineRule="auto"/>
              <w:rPr>
                <w:rFonts w:eastAsia="仿宋"/>
                <w:bCs/>
                <w:spacing w:val="-3"/>
                <w:sz w:val="24"/>
                <w:lang w:val="en-GB"/>
              </w:rPr>
            </w:pPr>
            <w:r>
              <w:rPr>
                <w:rFonts w:hint="eastAsia" w:eastAsia="仿宋"/>
                <w:bCs/>
                <w:spacing w:val="-3"/>
                <w:sz w:val="24"/>
              </w:rPr>
              <w:t>作业2</w:t>
            </w:r>
          </w:p>
        </w:tc>
        <w:tc>
          <w:tcPr>
            <w:tcW w:w="470" w:type="pct"/>
            <w:vAlign w:val="center"/>
          </w:tcPr>
          <w:p w14:paraId="125AA580">
            <w:pPr>
              <w:suppressAutoHyphens/>
              <w:spacing w:before="156" w:beforeLines="50" w:after="156" w:afterLines="50" w:line="276" w:lineRule="auto"/>
              <w:rPr>
                <w:rFonts w:eastAsia="仿宋"/>
                <w:bCs/>
                <w:spacing w:val="-3"/>
                <w:sz w:val="24"/>
                <w:lang w:val="en-GB"/>
              </w:rPr>
            </w:pPr>
            <w:r>
              <w:rPr>
                <w:rFonts w:hint="eastAsia" w:eastAsia="仿宋"/>
                <w:bCs/>
                <w:spacing w:val="-3"/>
                <w:sz w:val="24"/>
              </w:rPr>
              <w:t>课程目标1、2、3</w:t>
            </w:r>
          </w:p>
        </w:tc>
      </w:tr>
      <w:tr w14:paraId="6205F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 w:type="pct"/>
            <w:shd w:val="clear" w:color="auto" w:fill="auto"/>
            <w:vAlign w:val="center"/>
          </w:tcPr>
          <w:p w14:paraId="23379AD4">
            <w:pPr>
              <w:suppressAutoHyphens/>
              <w:spacing w:before="156" w:beforeLines="50" w:after="156" w:afterLines="50" w:line="276" w:lineRule="auto"/>
              <w:jc w:val="center"/>
              <w:rPr>
                <w:rFonts w:eastAsia="仿宋"/>
                <w:bCs/>
                <w:spacing w:val="-3"/>
                <w:sz w:val="24"/>
              </w:rPr>
            </w:pPr>
            <w:r>
              <w:rPr>
                <w:rFonts w:hint="eastAsia" w:eastAsia="仿宋"/>
                <w:bCs/>
                <w:spacing w:val="-3"/>
                <w:sz w:val="24"/>
              </w:rPr>
              <w:t>6</w:t>
            </w:r>
          </w:p>
        </w:tc>
        <w:tc>
          <w:tcPr>
            <w:tcW w:w="618" w:type="pct"/>
            <w:shd w:val="clear" w:color="auto" w:fill="auto"/>
            <w:vAlign w:val="center"/>
          </w:tcPr>
          <w:p w14:paraId="273B7728">
            <w:pPr>
              <w:suppressAutoHyphens/>
              <w:spacing w:before="156" w:beforeLines="50" w:after="156" w:afterLines="50" w:line="276" w:lineRule="auto"/>
              <w:rPr>
                <w:rFonts w:eastAsia="仿宋"/>
                <w:bCs/>
                <w:spacing w:val="-3"/>
                <w:sz w:val="24"/>
              </w:rPr>
            </w:pPr>
            <w:r>
              <w:rPr>
                <w:rFonts w:hint="eastAsia" w:eastAsia="仿宋"/>
                <w:bCs/>
                <w:spacing w:val="-3"/>
                <w:sz w:val="24"/>
              </w:rPr>
              <w:t>第五章</w:t>
            </w:r>
            <w:r>
              <w:rPr>
                <w:rFonts w:hint="eastAsia" w:ascii="仿宋" w:hAnsi="仿宋" w:eastAsia="仿宋" w:cs="仿宋"/>
                <w:bCs/>
                <w:szCs w:val="21"/>
              </w:rPr>
              <w:t>资本循环和周转</w:t>
            </w:r>
          </w:p>
        </w:tc>
        <w:tc>
          <w:tcPr>
            <w:tcW w:w="787" w:type="pct"/>
            <w:shd w:val="clear" w:color="auto" w:fill="auto"/>
            <w:vAlign w:val="center"/>
          </w:tcPr>
          <w:p w14:paraId="2F56FF97">
            <w:pPr>
              <w:suppressAutoHyphens/>
              <w:spacing w:before="156" w:beforeLines="50" w:after="156" w:afterLines="50" w:line="276" w:lineRule="auto"/>
              <w:rPr>
                <w:rFonts w:eastAsia="仿宋"/>
                <w:bCs/>
                <w:spacing w:val="-3"/>
                <w:sz w:val="24"/>
                <w:lang w:val="en-GB"/>
              </w:rPr>
            </w:pPr>
            <w:r>
              <w:rPr>
                <w:rFonts w:hint="eastAsia" w:ascii="仿宋" w:hAnsi="仿宋" w:eastAsia="仿宋" w:cs="仿宋"/>
                <w:bCs/>
                <w:szCs w:val="21"/>
              </w:rPr>
              <w:t>资本循环和周转</w:t>
            </w:r>
          </w:p>
        </w:tc>
        <w:tc>
          <w:tcPr>
            <w:tcW w:w="266" w:type="pct"/>
            <w:vAlign w:val="center"/>
          </w:tcPr>
          <w:p w14:paraId="37981754">
            <w:pPr>
              <w:suppressAutoHyphens/>
              <w:spacing w:before="156" w:beforeLines="50" w:after="156" w:afterLines="50" w:line="276" w:lineRule="auto"/>
              <w:rPr>
                <w:rFonts w:eastAsia="仿宋"/>
                <w:bCs/>
                <w:spacing w:val="-3"/>
                <w:sz w:val="24"/>
              </w:rPr>
            </w:pPr>
            <w:r>
              <w:rPr>
                <w:rFonts w:eastAsia="仿宋"/>
                <w:bCs/>
                <w:spacing w:val="-3"/>
                <w:sz w:val="24"/>
              </w:rPr>
              <w:t>8</w:t>
            </w:r>
          </w:p>
        </w:tc>
        <w:tc>
          <w:tcPr>
            <w:tcW w:w="1663" w:type="pct"/>
            <w:vAlign w:val="center"/>
          </w:tcPr>
          <w:p w14:paraId="72102DB5">
            <w:pPr>
              <w:adjustRightInd w:val="0"/>
              <w:snapToGrid w:val="0"/>
              <w:jc w:val="left"/>
              <w:rPr>
                <w:rFonts w:ascii="仿宋" w:hAnsi="仿宋" w:eastAsia="仿宋" w:cs="仿宋"/>
                <w:bCs/>
                <w:szCs w:val="21"/>
              </w:rPr>
            </w:pPr>
            <w:r>
              <w:rPr>
                <w:rFonts w:ascii="仿宋" w:hAnsi="仿宋" w:eastAsia="仿宋"/>
                <w:b/>
                <w:sz w:val="18"/>
                <w:szCs w:val="18"/>
                <w:lang w:val="zh-CN"/>
              </w:rPr>
              <w:t>重点</w:t>
            </w:r>
            <w:r>
              <w:rPr>
                <w:rFonts w:hint="eastAsia" w:ascii="仿宋" w:hAnsi="仿宋" w:eastAsia="仿宋"/>
                <w:b/>
                <w:sz w:val="18"/>
                <w:szCs w:val="18"/>
                <w:lang w:val="zh-CN"/>
              </w:rPr>
              <w:t>：</w:t>
            </w:r>
            <w:r>
              <w:rPr>
                <w:rFonts w:hint="eastAsia" w:ascii="仿宋" w:hAnsi="仿宋" w:eastAsia="仿宋" w:cs="仿宋"/>
                <w:bCs/>
                <w:szCs w:val="21"/>
              </w:rPr>
              <w:t>资本循环是三个阶段的统一生产时间与流通时间；资本周转时间和次数，区分固定资本与流动资本，资本周转速度提高的决定因素，资本的筹集与应用</w:t>
            </w:r>
          </w:p>
          <w:p w14:paraId="71B676B5">
            <w:pPr>
              <w:adjustRightInd w:val="0"/>
              <w:snapToGrid w:val="0"/>
              <w:jc w:val="left"/>
              <w:rPr>
                <w:rFonts w:ascii="仿宋" w:hAnsi="仿宋" w:eastAsia="仿宋"/>
                <w:b/>
                <w:sz w:val="18"/>
                <w:szCs w:val="18"/>
              </w:rPr>
            </w:pPr>
            <w:r>
              <w:rPr>
                <w:rFonts w:ascii="仿宋" w:hAnsi="仿宋" w:eastAsia="仿宋"/>
                <w:b/>
                <w:sz w:val="18"/>
                <w:szCs w:val="18"/>
                <w:lang w:val="zh-CN"/>
              </w:rPr>
              <w:t>难点</w:t>
            </w:r>
            <w:r>
              <w:rPr>
                <w:rFonts w:hint="eastAsia" w:ascii="仿宋" w:hAnsi="仿宋" w:eastAsia="仿宋"/>
                <w:b/>
                <w:sz w:val="18"/>
                <w:szCs w:val="18"/>
                <w:lang w:val="zh-CN"/>
              </w:rPr>
              <w:t>：</w:t>
            </w:r>
            <w:r>
              <w:rPr>
                <w:rFonts w:hint="eastAsia" w:ascii="仿宋" w:hAnsi="仿宋" w:eastAsia="仿宋" w:cs="仿宋"/>
                <w:bCs/>
                <w:szCs w:val="21"/>
              </w:rPr>
              <w:t>理解资本循环的实质是购买、生产和销售三个阶段三种资本职能形式的统一，资本流通时间的影响因素；区分固定、流动、不变、可变资本关系，理解年剩余价值量。</w:t>
            </w:r>
          </w:p>
          <w:p w14:paraId="60C3B254">
            <w:pPr>
              <w:suppressAutoHyphens/>
              <w:spacing w:before="156" w:beforeLines="50" w:after="156" w:afterLines="50" w:line="276" w:lineRule="auto"/>
              <w:rPr>
                <w:rFonts w:eastAsia="仿宋"/>
                <w:bCs/>
                <w:spacing w:val="-3"/>
                <w:sz w:val="24"/>
              </w:rPr>
            </w:pPr>
          </w:p>
        </w:tc>
        <w:tc>
          <w:tcPr>
            <w:tcW w:w="458" w:type="pct"/>
            <w:vAlign w:val="center"/>
          </w:tcPr>
          <w:p w14:paraId="4E9D1EED">
            <w:pPr>
              <w:suppressAutoHyphens/>
              <w:spacing w:before="156" w:beforeLines="50" w:after="156" w:afterLines="50" w:line="276" w:lineRule="auto"/>
              <w:rPr>
                <w:rFonts w:eastAsia="仿宋"/>
                <w:bCs/>
                <w:spacing w:val="-3"/>
                <w:sz w:val="24"/>
                <w:lang w:val="en-GB"/>
              </w:rPr>
            </w:pPr>
            <w:r>
              <w:rPr>
                <w:rFonts w:hint="eastAsia" w:eastAsia="仿宋"/>
                <w:bCs/>
                <w:spacing w:val="-3"/>
                <w:sz w:val="24"/>
              </w:rPr>
              <w:t>线下课堂讲授8</w:t>
            </w:r>
            <w:r>
              <w:rPr>
                <w:rFonts w:eastAsia="仿宋"/>
                <w:bCs/>
                <w:spacing w:val="-3"/>
                <w:sz w:val="24"/>
              </w:rPr>
              <w:t>0%+</w:t>
            </w:r>
            <w:r>
              <w:rPr>
                <w:rFonts w:hint="eastAsia" w:eastAsia="仿宋"/>
                <w:bCs/>
                <w:spacing w:val="-3"/>
                <w:sz w:val="24"/>
              </w:rPr>
              <w:t>课堂讨论2</w:t>
            </w:r>
            <w:r>
              <w:rPr>
                <w:rFonts w:eastAsia="仿宋"/>
                <w:bCs/>
                <w:spacing w:val="-3"/>
                <w:sz w:val="24"/>
              </w:rPr>
              <w:t>0%</w:t>
            </w:r>
          </w:p>
        </w:tc>
        <w:tc>
          <w:tcPr>
            <w:tcW w:w="454" w:type="pct"/>
            <w:vAlign w:val="center"/>
          </w:tcPr>
          <w:p w14:paraId="7CB83ED7">
            <w:pPr>
              <w:suppressAutoHyphens/>
              <w:spacing w:before="156" w:beforeLines="50" w:after="156" w:afterLines="50" w:line="276" w:lineRule="auto"/>
              <w:rPr>
                <w:rFonts w:eastAsia="仿宋"/>
                <w:bCs/>
                <w:spacing w:val="-3"/>
                <w:sz w:val="24"/>
                <w:lang w:val="en-GB"/>
              </w:rPr>
            </w:pPr>
          </w:p>
        </w:tc>
        <w:tc>
          <w:tcPr>
            <w:tcW w:w="470" w:type="pct"/>
            <w:vAlign w:val="center"/>
          </w:tcPr>
          <w:p w14:paraId="434FA8A7">
            <w:pPr>
              <w:suppressAutoHyphens/>
              <w:spacing w:before="156" w:beforeLines="50" w:after="156" w:afterLines="50" w:line="276" w:lineRule="auto"/>
              <w:rPr>
                <w:rFonts w:eastAsia="仿宋"/>
                <w:bCs/>
                <w:spacing w:val="-3"/>
                <w:sz w:val="24"/>
                <w:lang w:val="en-GB"/>
              </w:rPr>
            </w:pPr>
            <w:r>
              <w:rPr>
                <w:rFonts w:hint="eastAsia" w:eastAsia="仿宋"/>
                <w:bCs/>
                <w:spacing w:val="-3"/>
                <w:sz w:val="24"/>
              </w:rPr>
              <w:t>课程目标1、2、3</w:t>
            </w:r>
          </w:p>
        </w:tc>
      </w:tr>
      <w:tr w14:paraId="1D849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 w:type="pct"/>
            <w:shd w:val="clear" w:color="auto" w:fill="auto"/>
            <w:vAlign w:val="center"/>
          </w:tcPr>
          <w:p w14:paraId="196A813E">
            <w:pPr>
              <w:suppressAutoHyphens/>
              <w:spacing w:before="156" w:beforeLines="50" w:after="156" w:afterLines="50" w:line="276" w:lineRule="auto"/>
              <w:jc w:val="center"/>
              <w:rPr>
                <w:rFonts w:eastAsia="仿宋"/>
                <w:bCs/>
                <w:spacing w:val="-3"/>
                <w:sz w:val="24"/>
              </w:rPr>
            </w:pPr>
            <w:r>
              <w:rPr>
                <w:rFonts w:hint="eastAsia" w:eastAsia="仿宋"/>
                <w:bCs/>
                <w:spacing w:val="-3"/>
                <w:sz w:val="24"/>
              </w:rPr>
              <w:t>7</w:t>
            </w:r>
          </w:p>
        </w:tc>
        <w:tc>
          <w:tcPr>
            <w:tcW w:w="618" w:type="pct"/>
            <w:shd w:val="clear" w:color="auto" w:fill="auto"/>
            <w:vAlign w:val="center"/>
          </w:tcPr>
          <w:p w14:paraId="25ECF454">
            <w:pPr>
              <w:suppressAutoHyphens/>
              <w:spacing w:before="156" w:beforeLines="50" w:after="156" w:afterLines="50" w:line="276" w:lineRule="auto"/>
              <w:rPr>
                <w:rFonts w:eastAsia="仿宋"/>
                <w:bCs/>
                <w:spacing w:val="-3"/>
                <w:sz w:val="24"/>
              </w:rPr>
            </w:pPr>
            <w:r>
              <w:rPr>
                <w:rFonts w:hint="eastAsia" w:eastAsia="仿宋"/>
                <w:bCs/>
                <w:spacing w:val="-3"/>
                <w:sz w:val="24"/>
              </w:rPr>
              <w:t>第六章</w:t>
            </w:r>
            <w:r>
              <w:rPr>
                <w:rFonts w:hint="eastAsia" w:ascii="仿宋" w:hAnsi="仿宋" w:eastAsia="仿宋" w:cs="仿宋"/>
                <w:bCs/>
                <w:szCs w:val="21"/>
              </w:rPr>
              <w:t>社会总资本再生产和流通</w:t>
            </w:r>
          </w:p>
        </w:tc>
        <w:tc>
          <w:tcPr>
            <w:tcW w:w="787" w:type="pct"/>
            <w:shd w:val="clear" w:color="auto" w:fill="auto"/>
            <w:vAlign w:val="center"/>
          </w:tcPr>
          <w:p w14:paraId="0E65F4F7">
            <w:pPr>
              <w:suppressAutoHyphens/>
              <w:spacing w:before="156" w:beforeLines="50" w:after="156" w:afterLines="50" w:line="276" w:lineRule="auto"/>
              <w:rPr>
                <w:rFonts w:eastAsia="仿宋"/>
                <w:bCs/>
                <w:spacing w:val="-3"/>
                <w:sz w:val="24"/>
                <w:lang w:val="en-GB"/>
              </w:rPr>
            </w:pPr>
            <w:r>
              <w:rPr>
                <w:rFonts w:hint="eastAsia" w:ascii="仿宋" w:hAnsi="仿宋" w:eastAsia="仿宋" w:cs="仿宋"/>
                <w:bCs/>
                <w:szCs w:val="21"/>
              </w:rPr>
              <w:t>社会总产品的实现；社会总资本正常运行的条件</w:t>
            </w:r>
          </w:p>
        </w:tc>
        <w:tc>
          <w:tcPr>
            <w:tcW w:w="266" w:type="pct"/>
            <w:vAlign w:val="center"/>
          </w:tcPr>
          <w:p w14:paraId="78734EEA">
            <w:pPr>
              <w:suppressAutoHyphens/>
              <w:spacing w:before="156" w:beforeLines="50" w:after="156" w:afterLines="50" w:line="276" w:lineRule="auto"/>
              <w:rPr>
                <w:rFonts w:eastAsia="仿宋"/>
                <w:bCs/>
                <w:spacing w:val="-3"/>
                <w:sz w:val="24"/>
              </w:rPr>
            </w:pPr>
            <w:r>
              <w:rPr>
                <w:rFonts w:eastAsia="仿宋"/>
                <w:bCs/>
                <w:spacing w:val="-3"/>
                <w:sz w:val="24"/>
              </w:rPr>
              <w:t>8</w:t>
            </w:r>
          </w:p>
        </w:tc>
        <w:tc>
          <w:tcPr>
            <w:tcW w:w="1663" w:type="pct"/>
            <w:vAlign w:val="center"/>
          </w:tcPr>
          <w:p w14:paraId="7FA32D55">
            <w:pPr>
              <w:adjustRightInd w:val="0"/>
              <w:snapToGrid w:val="0"/>
              <w:jc w:val="left"/>
              <w:rPr>
                <w:rFonts w:ascii="仿宋" w:hAnsi="仿宋" w:eastAsia="仿宋" w:cs="仿宋"/>
                <w:bCs/>
                <w:szCs w:val="21"/>
              </w:rPr>
            </w:pPr>
            <w:r>
              <w:rPr>
                <w:rFonts w:hint="eastAsia" w:ascii="仿宋" w:hAnsi="仿宋" w:eastAsia="仿宋" w:cs="仿宋"/>
                <w:bCs/>
                <w:szCs w:val="21"/>
              </w:rPr>
              <w:t>社会总产品的实现，社会总资本正常运行</w:t>
            </w:r>
          </w:p>
          <w:p w14:paraId="320F09A5">
            <w:pPr>
              <w:adjustRightInd w:val="0"/>
              <w:snapToGrid w:val="0"/>
              <w:jc w:val="left"/>
              <w:rPr>
                <w:rFonts w:ascii="仿宋" w:hAnsi="仿宋" w:eastAsia="仿宋" w:cs="仿宋"/>
                <w:bCs/>
                <w:szCs w:val="21"/>
              </w:rPr>
            </w:pPr>
            <w:r>
              <w:rPr>
                <w:rFonts w:ascii="仿宋" w:hAnsi="仿宋" w:eastAsia="仿宋"/>
                <w:b/>
                <w:sz w:val="18"/>
                <w:szCs w:val="18"/>
                <w:lang w:val="zh-CN"/>
              </w:rPr>
              <w:t>重点</w:t>
            </w:r>
            <w:r>
              <w:rPr>
                <w:rFonts w:hint="eastAsia" w:ascii="仿宋" w:hAnsi="仿宋" w:eastAsia="仿宋"/>
                <w:b/>
                <w:sz w:val="18"/>
                <w:szCs w:val="18"/>
                <w:lang w:val="zh-CN"/>
              </w:rPr>
              <w:t>：</w:t>
            </w:r>
            <w:r>
              <w:rPr>
                <w:rFonts w:hint="eastAsia" w:ascii="仿宋" w:hAnsi="仿宋" w:eastAsia="仿宋" w:cs="仿宋"/>
                <w:bCs/>
                <w:szCs w:val="21"/>
              </w:rPr>
              <w:t>社会总资本，社会总资本运动的核心，社会总产品的构成及补偿；简单再生产、扩大再生产的实现条件</w:t>
            </w:r>
          </w:p>
          <w:p w14:paraId="7AA76722">
            <w:pPr>
              <w:adjustRightInd w:val="0"/>
              <w:snapToGrid w:val="0"/>
              <w:jc w:val="left"/>
              <w:rPr>
                <w:rFonts w:ascii="仿宋" w:hAnsi="仿宋" w:eastAsia="仿宋"/>
                <w:b/>
                <w:sz w:val="18"/>
                <w:szCs w:val="18"/>
              </w:rPr>
            </w:pPr>
            <w:r>
              <w:rPr>
                <w:rFonts w:ascii="仿宋" w:hAnsi="仿宋" w:eastAsia="仿宋"/>
                <w:b/>
                <w:sz w:val="18"/>
                <w:szCs w:val="18"/>
                <w:lang w:val="zh-CN"/>
              </w:rPr>
              <w:t>难点</w:t>
            </w:r>
            <w:r>
              <w:rPr>
                <w:rFonts w:hint="eastAsia" w:ascii="仿宋" w:hAnsi="仿宋" w:eastAsia="仿宋"/>
                <w:b/>
                <w:sz w:val="18"/>
                <w:szCs w:val="18"/>
                <w:lang w:val="zh-CN"/>
              </w:rPr>
              <w:t>：</w:t>
            </w:r>
            <w:r>
              <w:rPr>
                <w:rFonts w:hint="eastAsia" w:ascii="仿宋" w:hAnsi="仿宋" w:eastAsia="仿宋" w:cs="仿宋"/>
                <w:bCs/>
                <w:szCs w:val="21"/>
              </w:rPr>
              <w:t>理解社会总资本的内涵，社会总产品的实物构成和价值构成，社会生产划分为两大部类；理解简单再生产、扩大再生产的实现条件，可以计算不同条件下交换过程的数量。</w:t>
            </w:r>
          </w:p>
        </w:tc>
        <w:tc>
          <w:tcPr>
            <w:tcW w:w="458" w:type="pct"/>
            <w:vAlign w:val="center"/>
          </w:tcPr>
          <w:p w14:paraId="032C7492">
            <w:pPr>
              <w:suppressAutoHyphens/>
              <w:spacing w:before="156" w:beforeLines="50" w:after="156" w:afterLines="50" w:line="276" w:lineRule="auto"/>
              <w:rPr>
                <w:rFonts w:eastAsia="仿宋"/>
                <w:bCs/>
                <w:spacing w:val="-3"/>
                <w:sz w:val="24"/>
                <w:lang w:val="en-GB"/>
              </w:rPr>
            </w:pPr>
            <w:r>
              <w:rPr>
                <w:rFonts w:hint="eastAsia" w:eastAsia="仿宋"/>
                <w:bCs/>
                <w:spacing w:val="-3"/>
                <w:sz w:val="24"/>
              </w:rPr>
              <w:t>线下课堂讲授8</w:t>
            </w:r>
            <w:r>
              <w:rPr>
                <w:rFonts w:eastAsia="仿宋"/>
                <w:bCs/>
                <w:spacing w:val="-3"/>
                <w:sz w:val="24"/>
              </w:rPr>
              <w:t>0%+</w:t>
            </w:r>
            <w:r>
              <w:rPr>
                <w:rFonts w:hint="eastAsia" w:eastAsia="仿宋"/>
                <w:bCs/>
                <w:spacing w:val="-3"/>
                <w:sz w:val="24"/>
              </w:rPr>
              <w:t>课堂讨论2</w:t>
            </w:r>
            <w:r>
              <w:rPr>
                <w:rFonts w:eastAsia="仿宋"/>
                <w:bCs/>
                <w:spacing w:val="-3"/>
                <w:sz w:val="24"/>
              </w:rPr>
              <w:t>0%</w:t>
            </w:r>
          </w:p>
        </w:tc>
        <w:tc>
          <w:tcPr>
            <w:tcW w:w="454" w:type="pct"/>
            <w:vAlign w:val="center"/>
          </w:tcPr>
          <w:p w14:paraId="5B80CA32">
            <w:pPr>
              <w:suppressAutoHyphens/>
              <w:spacing w:before="156" w:beforeLines="50" w:after="156" w:afterLines="50" w:line="276" w:lineRule="auto"/>
              <w:rPr>
                <w:rFonts w:eastAsia="仿宋"/>
                <w:bCs/>
                <w:spacing w:val="-3"/>
                <w:sz w:val="24"/>
                <w:lang w:val="en-GB"/>
              </w:rPr>
            </w:pPr>
          </w:p>
        </w:tc>
        <w:tc>
          <w:tcPr>
            <w:tcW w:w="470" w:type="pct"/>
            <w:vAlign w:val="center"/>
          </w:tcPr>
          <w:p w14:paraId="76D9D31A">
            <w:pPr>
              <w:suppressAutoHyphens/>
              <w:spacing w:before="156" w:beforeLines="50" w:after="156" w:afterLines="50" w:line="276" w:lineRule="auto"/>
              <w:rPr>
                <w:rFonts w:eastAsia="仿宋"/>
                <w:bCs/>
                <w:spacing w:val="-3"/>
                <w:sz w:val="24"/>
                <w:lang w:val="en-GB"/>
              </w:rPr>
            </w:pPr>
            <w:r>
              <w:rPr>
                <w:rFonts w:hint="eastAsia" w:eastAsia="仿宋"/>
                <w:bCs/>
                <w:spacing w:val="-3"/>
                <w:sz w:val="24"/>
              </w:rPr>
              <w:t>课程目标1、2、3</w:t>
            </w:r>
          </w:p>
        </w:tc>
      </w:tr>
      <w:tr w14:paraId="11F38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 w:type="pct"/>
            <w:shd w:val="clear" w:color="auto" w:fill="auto"/>
            <w:vAlign w:val="center"/>
          </w:tcPr>
          <w:p w14:paraId="02705E55">
            <w:pPr>
              <w:suppressAutoHyphens/>
              <w:spacing w:before="156" w:beforeLines="50" w:after="156" w:afterLines="50" w:line="276" w:lineRule="auto"/>
              <w:jc w:val="center"/>
              <w:rPr>
                <w:rFonts w:eastAsia="仿宋"/>
                <w:bCs/>
                <w:spacing w:val="-3"/>
                <w:sz w:val="24"/>
              </w:rPr>
            </w:pPr>
            <w:r>
              <w:rPr>
                <w:rFonts w:hint="eastAsia" w:eastAsia="仿宋"/>
                <w:bCs/>
                <w:spacing w:val="-3"/>
                <w:sz w:val="24"/>
              </w:rPr>
              <w:t>8</w:t>
            </w:r>
          </w:p>
        </w:tc>
        <w:tc>
          <w:tcPr>
            <w:tcW w:w="618" w:type="pct"/>
            <w:shd w:val="clear" w:color="auto" w:fill="auto"/>
            <w:vAlign w:val="center"/>
          </w:tcPr>
          <w:p w14:paraId="2BDF95FB">
            <w:pPr>
              <w:suppressAutoHyphens/>
              <w:spacing w:before="156" w:beforeLines="50" w:after="156" w:afterLines="50" w:line="276" w:lineRule="auto"/>
              <w:rPr>
                <w:rFonts w:eastAsia="仿宋"/>
                <w:bCs/>
                <w:spacing w:val="-3"/>
                <w:sz w:val="24"/>
              </w:rPr>
            </w:pPr>
            <w:r>
              <w:rPr>
                <w:rFonts w:hint="eastAsia" w:eastAsia="仿宋"/>
                <w:bCs/>
                <w:spacing w:val="-3"/>
                <w:sz w:val="24"/>
              </w:rPr>
              <w:t>第八章</w:t>
            </w:r>
            <w:r>
              <w:rPr>
                <w:rFonts w:hint="eastAsia" w:ascii="仿宋" w:hAnsi="仿宋" w:eastAsia="仿宋" w:cs="仿宋"/>
                <w:bCs/>
                <w:szCs w:val="21"/>
              </w:rPr>
              <w:t>职能资本与平均利润</w:t>
            </w:r>
          </w:p>
        </w:tc>
        <w:tc>
          <w:tcPr>
            <w:tcW w:w="787" w:type="pct"/>
            <w:shd w:val="clear" w:color="auto" w:fill="auto"/>
            <w:vAlign w:val="center"/>
          </w:tcPr>
          <w:p w14:paraId="3B899361">
            <w:pPr>
              <w:suppressAutoHyphens/>
              <w:spacing w:before="156" w:beforeLines="50" w:after="156" w:afterLines="50" w:line="276" w:lineRule="auto"/>
              <w:rPr>
                <w:rFonts w:eastAsia="仿宋"/>
                <w:bCs/>
                <w:spacing w:val="-3"/>
                <w:sz w:val="24"/>
                <w:lang w:val="en-GB"/>
              </w:rPr>
            </w:pPr>
            <w:r>
              <w:rPr>
                <w:rFonts w:hint="eastAsia" w:ascii="仿宋" w:hAnsi="仿宋" w:eastAsia="仿宋" w:cs="仿宋"/>
                <w:bCs/>
                <w:szCs w:val="21"/>
              </w:rPr>
              <w:t>产业资本和平均利润；商业资本和平均利润</w:t>
            </w:r>
          </w:p>
        </w:tc>
        <w:tc>
          <w:tcPr>
            <w:tcW w:w="266" w:type="pct"/>
            <w:vAlign w:val="center"/>
          </w:tcPr>
          <w:p w14:paraId="27E7CEE0">
            <w:pPr>
              <w:suppressAutoHyphens/>
              <w:spacing w:before="156" w:beforeLines="50" w:after="156" w:afterLines="50" w:line="276" w:lineRule="auto"/>
              <w:rPr>
                <w:rFonts w:eastAsia="仿宋"/>
                <w:bCs/>
                <w:spacing w:val="-3"/>
                <w:sz w:val="24"/>
              </w:rPr>
            </w:pPr>
            <w:r>
              <w:rPr>
                <w:rFonts w:eastAsia="仿宋"/>
                <w:bCs/>
                <w:spacing w:val="-3"/>
                <w:sz w:val="24"/>
              </w:rPr>
              <w:t>6</w:t>
            </w:r>
          </w:p>
        </w:tc>
        <w:tc>
          <w:tcPr>
            <w:tcW w:w="1663" w:type="pct"/>
            <w:vAlign w:val="center"/>
          </w:tcPr>
          <w:p w14:paraId="0079CED5">
            <w:pPr>
              <w:adjustRightInd w:val="0"/>
              <w:snapToGrid w:val="0"/>
              <w:jc w:val="left"/>
              <w:rPr>
                <w:rFonts w:ascii="仿宋" w:hAnsi="仿宋" w:eastAsia="仿宋" w:cs="仿宋"/>
                <w:bCs/>
                <w:szCs w:val="21"/>
              </w:rPr>
            </w:pPr>
            <w:r>
              <w:rPr>
                <w:rFonts w:hint="eastAsia" w:ascii="仿宋" w:hAnsi="仿宋" w:eastAsia="仿宋" w:cs="仿宋"/>
                <w:bCs/>
                <w:szCs w:val="21"/>
              </w:rPr>
              <w:t>产业资本，平均利润</w:t>
            </w:r>
          </w:p>
          <w:p w14:paraId="5C006DBC">
            <w:pPr>
              <w:adjustRightInd w:val="0"/>
              <w:snapToGrid w:val="0"/>
              <w:jc w:val="left"/>
              <w:rPr>
                <w:rFonts w:ascii="仿宋" w:hAnsi="仿宋" w:eastAsia="仿宋" w:cs="仿宋"/>
                <w:bCs/>
                <w:szCs w:val="21"/>
              </w:rPr>
            </w:pPr>
            <w:r>
              <w:rPr>
                <w:rFonts w:ascii="仿宋" w:hAnsi="仿宋" w:eastAsia="仿宋"/>
                <w:b/>
                <w:sz w:val="18"/>
                <w:szCs w:val="18"/>
                <w:lang w:val="zh-CN"/>
              </w:rPr>
              <w:t>重点</w:t>
            </w:r>
            <w:r>
              <w:rPr>
                <w:rFonts w:hint="eastAsia" w:ascii="仿宋" w:hAnsi="仿宋" w:eastAsia="仿宋"/>
                <w:b/>
                <w:sz w:val="18"/>
                <w:szCs w:val="18"/>
                <w:lang w:val="zh-CN"/>
              </w:rPr>
              <w:t>：</w:t>
            </w:r>
            <w:r>
              <w:rPr>
                <w:rFonts w:hint="eastAsia" w:ascii="仿宋" w:hAnsi="仿宋" w:eastAsia="仿宋" w:cs="仿宋"/>
                <w:bCs/>
                <w:szCs w:val="21"/>
              </w:rPr>
              <w:t>产业资本的定义，利润转化为平均利润率，价值转为生产价格，平均利润和生产价格规律的作用；商业资本也参与平均利润的形成</w:t>
            </w:r>
          </w:p>
          <w:p w14:paraId="177EB385">
            <w:pPr>
              <w:adjustRightInd w:val="0"/>
              <w:snapToGrid w:val="0"/>
              <w:jc w:val="left"/>
              <w:rPr>
                <w:rFonts w:ascii="仿宋" w:hAnsi="仿宋" w:eastAsia="仿宋"/>
                <w:b/>
                <w:sz w:val="18"/>
                <w:szCs w:val="18"/>
              </w:rPr>
            </w:pPr>
            <w:r>
              <w:rPr>
                <w:rFonts w:ascii="仿宋" w:hAnsi="仿宋" w:eastAsia="仿宋"/>
                <w:b/>
                <w:sz w:val="18"/>
                <w:szCs w:val="18"/>
                <w:lang w:val="zh-CN"/>
              </w:rPr>
              <w:t>难点</w:t>
            </w:r>
            <w:r>
              <w:rPr>
                <w:rFonts w:hint="eastAsia" w:ascii="仿宋" w:hAnsi="仿宋" w:eastAsia="仿宋"/>
                <w:b/>
                <w:sz w:val="18"/>
                <w:szCs w:val="18"/>
                <w:lang w:val="zh-CN"/>
              </w:rPr>
              <w:t>：</w:t>
            </w:r>
            <w:r>
              <w:rPr>
                <w:rFonts w:hint="eastAsia" w:ascii="仿宋" w:hAnsi="仿宋" w:eastAsia="仿宋" w:cs="仿宋"/>
                <w:bCs/>
                <w:szCs w:val="21"/>
              </w:rPr>
              <w:t>理解现实情况中等量资本带来等量利润的矛盾，学会用生产价格规律的作用分析市场经济中的现象；商业利润的本质，商业的流通费用及其补偿。</w:t>
            </w:r>
          </w:p>
          <w:p w14:paraId="02F82AAA">
            <w:pPr>
              <w:suppressAutoHyphens/>
              <w:spacing w:before="156" w:beforeLines="50" w:after="156" w:afterLines="50" w:line="276" w:lineRule="auto"/>
              <w:rPr>
                <w:rFonts w:eastAsia="仿宋"/>
                <w:bCs/>
                <w:spacing w:val="-3"/>
                <w:sz w:val="24"/>
              </w:rPr>
            </w:pPr>
          </w:p>
        </w:tc>
        <w:tc>
          <w:tcPr>
            <w:tcW w:w="458" w:type="pct"/>
            <w:vAlign w:val="center"/>
          </w:tcPr>
          <w:p w14:paraId="05897395">
            <w:pPr>
              <w:suppressAutoHyphens/>
              <w:spacing w:before="156" w:beforeLines="50" w:after="156" w:afterLines="50" w:line="276" w:lineRule="auto"/>
              <w:rPr>
                <w:rFonts w:eastAsia="仿宋"/>
                <w:bCs/>
                <w:spacing w:val="-3"/>
                <w:sz w:val="24"/>
                <w:lang w:val="en-GB"/>
              </w:rPr>
            </w:pPr>
            <w:r>
              <w:rPr>
                <w:rFonts w:hint="eastAsia" w:eastAsia="仿宋"/>
                <w:bCs/>
                <w:spacing w:val="-3"/>
                <w:sz w:val="24"/>
              </w:rPr>
              <w:t>线下课堂讲授8</w:t>
            </w:r>
            <w:r>
              <w:rPr>
                <w:rFonts w:eastAsia="仿宋"/>
                <w:bCs/>
                <w:spacing w:val="-3"/>
                <w:sz w:val="24"/>
              </w:rPr>
              <w:t>0%+</w:t>
            </w:r>
            <w:r>
              <w:rPr>
                <w:rFonts w:hint="eastAsia" w:eastAsia="仿宋"/>
                <w:bCs/>
                <w:spacing w:val="-3"/>
                <w:sz w:val="24"/>
              </w:rPr>
              <w:t>课堂讨论2</w:t>
            </w:r>
            <w:r>
              <w:rPr>
                <w:rFonts w:eastAsia="仿宋"/>
                <w:bCs/>
                <w:spacing w:val="-3"/>
                <w:sz w:val="24"/>
              </w:rPr>
              <w:t>0%</w:t>
            </w:r>
          </w:p>
        </w:tc>
        <w:tc>
          <w:tcPr>
            <w:tcW w:w="454" w:type="pct"/>
            <w:vAlign w:val="center"/>
          </w:tcPr>
          <w:p w14:paraId="0523DAF9">
            <w:pPr>
              <w:suppressAutoHyphens/>
              <w:spacing w:before="156" w:beforeLines="50" w:after="156" w:afterLines="50" w:line="276" w:lineRule="auto"/>
              <w:rPr>
                <w:rFonts w:eastAsia="仿宋"/>
                <w:bCs/>
                <w:spacing w:val="-3"/>
                <w:sz w:val="24"/>
                <w:lang w:val="en-GB"/>
              </w:rPr>
            </w:pPr>
            <w:r>
              <w:rPr>
                <w:rFonts w:hint="eastAsia" w:eastAsia="仿宋"/>
                <w:bCs/>
                <w:spacing w:val="-3"/>
                <w:sz w:val="24"/>
              </w:rPr>
              <w:t>作业3</w:t>
            </w:r>
          </w:p>
        </w:tc>
        <w:tc>
          <w:tcPr>
            <w:tcW w:w="470" w:type="pct"/>
            <w:vAlign w:val="center"/>
          </w:tcPr>
          <w:p w14:paraId="4B9443A3">
            <w:pPr>
              <w:suppressAutoHyphens/>
              <w:spacing w:before="156" w:beforeLines="50" w:after="156" w:afterLines="50" w:line="276" w:lineRule="auto"/>
              <w:rPr>
                <w:rFonts w:eastAsia="仿宋"/>
                <w:bCs/>
                <w:spacing w:val="-3"/>
                <w:sz w:val="24"/>
                <w:lang w:val="en-GB"/>
              </w:rPr>
            </w:pPr>
            <w:r>
              <w:rPr>
                <w:rFonts w:hint="eastAsia" w:eastAsia="仿宋"/>
                <w:bCs/>
                <w:spacing w:val="-3"/>
                <w:sz w:val="24"/>
              </w:rPr>
              <w:t>课程目标1、2、3</w:t>
            </w:r>
          </w:p>
        </w:tc>
      </w:tr>
      <w:tr w14:paraId="4A4E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 w:type="pct"/>
            <w:shd w:val="clear" w:color="auto" w:fill="auto"/>
            <w:vAlign w:val="center"/>
          </w:tcPr>
          <w:p w14:paraId="3D28B968">
            <w:pPr>
              <w:suppressAutoHyphens/>
              <w:spacing w:before="156" w:beforeLines="50" w:after="156" w:afterLines="50" w:line="276" w:lineRule="auto"/>
              <w:jc w:val="center"/>
              <w:rPr>
                <w:rFonts w:eastAsia="仿宋"/>
                <w:bCs/>
                <w:spacing w:val="-3"/>
                <w:sz w:val="24"/>
              </w:rPr>
            </w:pPr>
            <w:r>
              <w:rPr>
                <w:rFonts w:hint="eastAsia" w:eastAsia="仿宋"/>
                <w:bCs/>
                <w:spacing w:val="-3"/>
                <w:sz w:val="24"/>
              </w:rPr>
              <w:t>9</w:t>
            </w:r>
          </w:p>
        </w:tc>
        <w:tc>
          <w:tcPr>
            <w:tcW w:w="618" w:type="pct"/>
            <w:shd w:val="clear" w:color="auto" w:fill="auto"/>
            <w:vAlign w:val="center"/>
          </w:tcPr>
          <w:p w14:paraId="5E5DAA8A">
            <w:pPr>
              <w:suppressAutoHyphens/>
              <w:spacing w:before="156" w:beforeLines="50" w:after="156" w:afterLines="50" w:line="276" w:lineRule="auto"/>
              <w:rPr>
                <w:rFonts w:eastAsia="仿宋"/>
                <w:bCs/>
                <w:spacing w:val="-3"/>
                <w:sz w:val="24"/>
              </w:rPr>
            </w:pPr>
            <w:r>
              <w:rPr>
                <w:rFonts w:hint="eastAsia" w:eastAsia="仿宋"/>
                <w:bCs/>
                <w:spacing w:val="-3"/>
                <w:sz w:val="24"/>
              </w:rPr>
              <w:t>第十一章土地所有权和地租</w:t>
            </w:r>
          </w:p>
        </w:tc>
        <w:tc>
          <w:tcPr>
            <w:tcW w:w="787" w:type="pct"/>
            <w:shd w:val="clear" w:color="auto" w:fill="auto"/>
            <w:vAlign w:val="center"/>
          </w:tcPr>
          <w:p w14:paraId="4A644F37">
            <w:pPr>
              <w:suppressAutoHyphens/>
              <w:spacing w:before="156" w:beforeLines="50" w:after="156" w:afterLines="50" w:line="276" w:lineRule="auto"/>
              <w:rPr>
                <w:rFonts w:ascii="仿宋" w:hAnsi="仿宋" w:eastAsia="仿宋" w:cs="仿宋"/>
                <w:bCs/>
                <w:szCs w:val="21"/>
              </w:rPr>
            </w:pPr>
            <w:r>
              <w:rPr>
                <w:rFonts w:hint="eastAsia" w:ascii="仿宋" w:hAnsi="仿宋" w:eastAsia="仿宋" w:cs="仿宋"/>
                <w:bCs/>
                <w:szCs w:val="21"/>
              </w:rPr>
              <w:t>资本主义地租的本质；土地价格</w:t>
            </w:r>
          </w:p>
        </w:tc>
        <w:tc>
          <w:tcPr>
            <w:tcW w:w="266" w:type="pct"/>
            <w:vAlign w:val="center"/>
          </w:tcPr>
          <w:p w14:paraId="053FDE14">
            <w:pPr>
              <w:suppressAutoHyphens/>
              <w:spacing w:before="156" w:beforeLines="50" w:after="156" w:afterLines="50" w:line="276" w:lineRule="auto"/>
              <w:rPr>
                <w:rFonts w:eastAsia="仿宋"/>
                <w:bCs/>
                <w:spacing w:val="-3"/>
                <w:sz w:val="24"/>
              </w:rPr>
            </w:pPr>
            <w:r>
              <w:rPr>
                <w:rFonts w:eastAsia="仿宋"/>
                <w:bCs/>
                <w:spacing w:val="-3"/>
                <w:sz w:val="24"/>
              </w:rPr>
              <w:t>6</w:t>
            </w:r>
          </w:p>
        </w:tc>
        <w:tc>
          <w:tcPr>
            <w:tcW w:w="1663" w:type="pct"/>
            <w:vAlign w:val="center"/>
          </w:tcPr>
          <w:p w14:paraId="727A50EE">
            <w:pPr>
              <w:adjustRightInd w:val="0"/>
              <w:snapToGrid w:val="0"/>
              <w:jc w:val="left"/>
              <w:rPr>
                <w:rFonts w:ascii="仿宋" w:hAnsi="仿宋" w:eastAsia="仿宋" w:cs="仿宋"/>
                <w:bCs/>
                <w:szCs w:val="21"/>
              </w:rPr>
            </w:pPr>
            <w:r>
              <w:rPr>
                <w:rFonts w:hint="eastAsia" w:ascii="仿宋" w:hAnsi="仿宋" w:eastAsia="仿宋" w:cs="仿宋"/>
                <w:bCs/>
                <w:szCs w:val="21"/>
              </w:rPr>
              <w:t>资本主义地租的本质；区分租金和地租；绝对地租；级差地租</w:t>
            </w:r>
          </w:p>
          <w:p w14:paraId="597F9E44">
            <w:pPr>
              <w:adjustRightInd w:val="0"/>
              <w:snapToGrid w:val="0"/>
              <w:jc w:val="left"/>
              <w:rPr>
                <w:rFonts w:ascii="仿宋" w:hAnsi="仿宋" w:eastAsia="仿宋" w:cs="仿宋"/>
                <w:bCs/>
                <w:szCs w:val="21"/>
              </w:rPr>
            </w:pPr>
            <w:r>
              <w:rPr>
                <w:rFonts w:ascii="仿宋" w:hAnsi="仿宋" w:eastAsia="仿宋"/>
                <w:b/>
                <w:sz w:val="18"/>
                <w:szCs w:val="18"/>
                <w:lang w:val="zh-CN"/>
              </w:rPr>
              <w:t>重点</w:t>
            </w:r>
            <w:r>
              <w:rPr>
                <w:rFonts w:hint="eastAsia" w:ascii="仿宋" w:hAnsi="仿宋" w:eastAsia="仿宋"/>
                <w:b/>
                <w:sz w:val="18"/>
                <w:szCs w:val="18"/>
                <w:lang w:val="zh-CN"/>
              </w:rPr>
              <w:t>：</w:t>
            </w:r>
            <w:r>
              <w:rPr>
                <w:rFonts w:hint="eastAsia" w:ascii="仿宋" w:hAnsi="仿宋" w:eastAsia="仿宋" w:cs="仿宋"/>
                <w:bCs/>
                <w:szCs w:val="21"/>
              </w:rPr>
              <w:t>绝对地租和级差地租的定义，区分，资本主义地租的两种基本形式，级差收益与级差地租</w:t>
            </w:r>
          </w:p>
          <w:p w14:paraId="0FE76E73">
            <w:pPr>
              <w:adjustRightInd w:val="0"/>
              <w:snapToGrid w:val="0"/>
              <w:jc w:val="left"/>
              <w:rPr>
                <w:rFonts w:ascii="仿宋" w:hAnsi="仿宋" w:eastAsia="仿宋"/>
                <w:b/>
                <w:sz w:val="18"/>
                <w:szCs w:val="18"/>
              </w:rPr>
            </w:pPr>
            <w:r>
              <w:rPr>
                <w:rFonts w:ascii="仿宋" w:hAnsi="仿宋" w:eastAsia="仿宋"/>
                <w:b/>
                <w:sz w:val="18"/>
                <w:szCs w:val="18"/>
                <w:lang w:val="zh-CN"/>
              </w:rPr>
              <w:t>难点</w:t>
            </w:r>
            <w:r>
              <w:rPr>
                <w:rFonts w:hint="eastAsia" w:ascii="仿宋" w:hAnsi="仿宋" w:eastAsia="仿宋"/>
                <w:b/>
                <w:sz w:val="18"/>
                <w:szCs w:val="18"/>
                <w:lang w:val="zh-CN"/>
              </w:rPr>
              <w:t>：</w:t>
            </w:r>
            <w:r>
              <w:rPr>
                <w:rFonts w:hint="eastAsia" w:ascii="仿宋" w:hAnsi="仿宋" w:eastAsia="仿宋" w:cs="仿宋"/>
                <w:bCs/>
                <w:szCs w:val="21"/>
              </w:rPr>
              <w:t>级差收益的形成，两种级差收益的区别，农业地租与工业地租的不同之处，土地价格的本质。</w:t>
            </w:r>
          </w:p>
          <w:p w14:paraId="7E376AB8">
            <w:pPr>
              <w:adjustRightInd w:val="0"/>
              <w:snapToGrid w:val="0"/>
              <w:jc w:val="left"/>
              <w:rPr>
                <w:rFonts w:ascii="仿宋" w:hAnsi="仿宋" w:eastAsia="仿宋" w:cs="仿宋"/>
                <w:bCs/>
                <w:szCs w:val="21"/>
              </w:rPr>
            </w:pPr>
          </w:p>
        </w:tc>
        <w:tc>
          <w:tcPr>
            <w:tcW w:w="458" w:type="pct"/>
            <w:vAlign w:val="center"/>
          </w:tcPr>
          <w:p w14:paraId="2F0623A9">
            <w:pPr>
              <w:suppressAutoHyphens/>
              <w:spacing w:before="156" w:beforeLines="50" w:after="156" w:afterLines="50" w:line="276" w:lineRule="auto"/>
              <w:rPr>
                <w:rFonts w:eastAsia="仿宋"/>
                <w:bCs/>
                <w:spacing w:val="-3"/>
                <w:sz w:val="24"/>
              </w:rPr>
            </w:pPr>
            <w:r>
              <w:rPr>
                <w:rFonts w:hint="eastAsia" w:eastAsia="仿宋"/>
                <w:bCs/>
                <w:spacing w:val="-3"/>
                <w:sz w:val="24"/>
              </w:rPr>
              <w:t>线下课堂讲授8</w:t>
            </w:r>
            <w:r>
              <w:rPr>
                <w:rFonts w:eastAsia="仿宋"/>
                <w:bCs/>
                <w:spacing w:val="-3"/>
                <w:sz w:val="24"/>
              </w:rPr>
              <w:t>0%+</w:t>
            </w:r>
            <w:r>
              <w:rPr>
                <w:rFonts w:hint="eastAsia" w:eastAsia="仿宋"/>
                <w:bCs/>
                <w:spacing w:val="-3"/>
                <w:sz w:val="24"/>
              </w:rPr>
              <w:t>课堂讨论2</w:t>
            </w:r>
            <w:r>
              <w:rPr>
                <w:rFonts w:eastAsia="仿宋"/>
                <w:bCs/>
                <w:spacing w:val="-3"/>
                <w:sz w:val="24"/>
              </w:rPr>
              <w:t>0%</w:t>
            </w:r>
          </w:p>
        </w:tc>
        <w:tc>
          <w:tcPr>
            <w:tcW w:w="454" w:type="pct"/>
            <w:vAlign w:val="center"/>
          </w:tcPr>
          <w:p w14:paraId="1992C5F7">
            <w:pPr>
              <w:suppressAutoHyphens/>
              <w:spacing w:before="156" w:beforeLines="50" w:after="156" w:afterLines="50" w:line="276" w:lineRule="auto"/>
              <w:rPr>
                <w:rFonts w:eastAsia="仿宋"/>
                <w:bCs/>
                <w:spacing w:val="-3"/>
                <w:sz w:val="24"/>
              </w:rPr>
            </w:pPr>
          </w:p>
        </w:tc>
        <w:tc>
          <w:tcPr>
            <w:tcW w:w="470" w:type="pct"/>
            <w:vAlign w:val="center"/>
          </w:tcPr>
          <w:p w14:paraId="2EC157B8">
            <w:pPr>
              <w:suppressAutoHyphens/>
              <w:spacing w:before="156" w:beforeLines="50" w:after="156" w:afterLines="50" w:line="276" w:lineRule="auto"/>
              <w:rPr>
                <w:rFonts w:eastAsia="仿宋"/>
                <w:bCs/>
                <w:spacing w:val="-3"/>
                <w:sz w:val="24"/>
              </w:rPr>
            </w:pPr>
            <w:r>
              <w:rPr>
                <w:rFonts w:hint="eastAsia" w:eastAsia="仿宋"/>
                <w:bCs/>
                <w:spacing w:val="-3"/>
                <w:sz w:val="24"/>
              </w:rPr>
              <w:t>课程目标1、2、3</w:t>
            </w:r>
          </w:p>
        </w:tc>
      </w:tr>
    </w:tbl>
    <w:p w14:paraId="380185B9">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2D73DFED">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51625925">
      <w:pPr>
        <w:snapToGrid w:val="0"/>
        <w:spacing w:line="360" w:lineRule="auto"/>
        <w:ind w:firstLine="480"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百分制</w:t>
      </w:r>
    </w:p>
    <w:p w14:paraId="4502B64F">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w:t>
      </w:r>
      <w:r>
        <w:rPr>
          <w:rFonts w:hint="eastAsia" w:eastAsia="仿宋"/>
          <w:sz w:val="24"/>
        </w:rPr>
        <w:t>0</w:t>
      </w:r>
      <w:r>
        <w:rPr>
          <w:rFonts w:eastAsia="仿宋"/>
          <w:sz w:val="24"/>
        </w:rPr>
        <w:t>%</w:t>
      </w:r>
      <w:r>
        <w:rPr>
          <w:rFonts w:hint="eastAsia" w:eastAsia="仿宋"/>
          <w:sz w:val="24"/>
        </w:rPr>
        <w:t>，实验成绩0</w:t>
      </w:r>
      <w:r>
        <w:rPr>
          <w:rFonts w:eastAsia="仿宋"/>
          <w:sz w:val="24"/>
        </w:rPr>
        <w:t>%</w:t>
      </w:r>
      <w:r>
        <w:rPr>
          <w:rFonts w:hint="eastAsia" w:eastAsia="仿宋"/>
          <w:sz w:val="24"/>
        </w:rPr>
        <w:t>，结课考核成绩</w:t>
      </w:r>
      <w:r>
        <w:rPr>
          <w:rFonts w:hint="eastAsia" w:eastAsia="仿宋"/>
          <w:sz w:val="24"/>
          <w:lang w:val="en-US" w:eastAsia="zh-CN"/>
        </w:rPr>
        <w:t>6</w:t>
      </w:r>
      <w:r>
        <w:rPr>
          <w:rFonts w:hint="eastAsia" w:eastAsia="仿宋"/>
          <w:sz w:val="24"/>
        </w:rPr>
        <w:t>0</w:t>
      </w:r>
      <w:r>
        <w:rPr>
          <w:rFonts w:eastAsia="仿宋"/>
          <w:sz w:val="24"/>
        </w:rPr>
        <w:t>%</w:t>
      </w:r>
    </w:p>
    <w:p w14:paraId="1418D4AF">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10"/>
        <w:tblW w:w="8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857"/>
        <w:gridCol w:w="806"/>
        <w:gridCol w:w="4252"/>
        <w:gridCol w:w="1932"/>
      </w:tblGrid>
      <w:tr w14:paraId="4C8D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599" w:type="dxa"/>
            <w:gridSpan w:val="2"/>
            <w:shd w:val="clear" w:color="auto" w:fill="auto"/>
            <w:vAlign w:val="center"/>
          </w:tcPr>
          <w:p w14:paraId="17A40B34">
            <w:pPr>
              <w:suppressAutoHyphens/>
              <w:spacing w:before="156" w:beforeLines="50" w:after="156" w:afterLines="50" w:line="276"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806" w:type="dxa"/>
            <w:vAlign w:val="center"/>
          </w:tcPr>
          <w:p w14:paraId="0B4E8443">
            <w:pPr>
              <w:suppressAutoHyphens/>
              <w:spacing w:before="156" w:beforeLines="50" w:after="156" w:afterLines="50" w:line="276" w:lineRule="auto"/>
              <w:jc w:val="center"/>
              <w:rPr>
                <w:rFonts w:ascii="仿宋" w:hAnsi="仿宋" w:eastAsia="仿宋"/>
                <w:b/>
                <w:color w:val="000000"/>
                <w:sz w:val="24"/>
              </w:rPr>
            </w:pPr>
            <w:r>
              <w:rPr>
                <w:rFonts w:hint="eastAsia" w:ascii="仿宋" w:hAnsi="仿宋" w:eastAsia="仿宋"/>
                <w:b/>
                <w:color w:val="000000"/>
                <w:sz w:val="24"/>
              </w:rPr>
              <w:t>分值</w:t>
            </w:r>
          </w:p>
        </w:tc>
        <w:tc>
          <w:tcPr>
            <w:tcW w:w="4252" w:type="dxa"/>
            <w:vAlign w:val="center"/>
          </w:tcPr>
          <w:p w14:paraId="5E34C4EC">
            <w:pPr>
              <w:suppressAutoHyphens/>
              <w:spacing w:before="156" w:beforeLines="50" w:after="156" w:afterLines="50" w:line="276" w:lineRule="auto"/>
              <w:jc w:val="center"/>
              <w:rPr>
                <w:rFonts w:eastAsia="仿宋"/>
                <w:bCs/>
                <w:spacing w:val="-3"/>
                <w:sz w:val="24"/>
              </w:rPr>
            </w:pPr>
            <w:r>
              <w:rPr>
                <w:rFonts w:hint="eastAsia" w:ascii="仿宋" w:hAnsi="仿宋" w:eastAsia="仿宋"/>
                <w:b/>
                <w:color w:val="000000"/>
                <w:sz w:val="24"/>
              </w:rPr>
              <w:t>考核/评价细则</w:t>
            </w:r>
          </w:p>
        </w:tc>
        <w:tc>
          <w:tcPr>
            <w:tcW w:w="1932" w:type="dxa"/>
            <w:vAlign w:val="center"/>
          </w:tcPr>
          <w:p w14:paraId="29736F9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0F017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42" w:type="dxa"/>
            <w:vMerge w:val="restart"/>
            <w:shd w:val="clear" w:color="auto" w:fill="auto"/>
            <w:vAlign w:val="center"/>
          </w:tcPr>
          <w:p w14:paraId="7C66E06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857" w:type="dxa"/>
            <w:shd w:val="clear" w:color="auto" w:fill="auto"/>
            <w:vAlign w:val="center"/>
          </w:tcPr>
          <w:p w14:paraId="11BB186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作业1</w:t>
            </w:r>
          </w:p>
        </w:tc>
        <w:tc>
          <w:tcPr>
            <w:tcW w:w="806" w:type="dxa"/>
            <w:vAlign w:val="center"/>
          </w:tcPr>
          <w:p w14:paraId="51A4B4C9">
            <w:pPr>
              <w:snapToGrid w:val="0"/>
              <w:spacing w:line="360" w:lineRule="auto"/>
              <w:rPr>
                <w:rFonts w:eastAsia="仿宋"/>
                <w:sz w:val="24"/>
              </w:rPr>
            </w:pPr>
            <w:r>
              <w:rPr>
                <w:rFonts w:hint="eastAsia" w:eastAsia="仿宋"/>
                <w:sz w:val="24"/>
              </w:rPr>
              <w:t>20</w:t>
            </w:r>
          </w:p>
        </w:tc>
        <w:tc>
          <w:tcPr>
            <w:tcW w:w="4252" w:type="dxa"/>
          </w:tcPr>
          <w:p w14:paraId="36B85CC9">
            <w:pPr>
              <w:suppressAutoHyphens/>
              <w:spacing w:before="156" w:beforeLines="50" w:after="156" w:afterLines="50" w:line="276" w:lineRule="auto"/>
              <w:rPr>
                <w:rFonts w:eastAsia="仿宋"/>
                <w:bCs/>
                <w:spacing w:val="-3"/>
                <w:sz w:val="24"/>
              </w:rPr>
            </w:pPr>
            <w:r>
              <w:rPr>
                <w:rFonts w:hint="eastAsia" w:eastAsia="仿宋"/>
                <w:bCs/>
                <w:spacing w:val="-3"/>
                <w:sz w:val="24"/>
              </w:rPr>
              <w:t>根据课程进度布置课后作业，学生完成后提交，根据学生的完成情况评定分数。</w:t>
            </w:r>
          </w:p>
        </w:tc>
        <w:tc>
          <w:tcPr>
            <w:tcW w:w="1932" w:type="dxa"/>
            <w:vAlign w:val="center"/>
          </w:tcPr>
          <w:p w14:paraId="59CC55B9">
            <w:pPr>
              <w:snapToGrid w:val="0"/>
              <w:spacing w:line="360" w:lineRule="auto"/>
              <w:jc w:val="center"/>
              <w:rPr>
                <w:rFonts w:ascii="仿宋" w:hAnsi="仿宋" w:eastAsia="仿宋"/>
                <w:b/>
                <w:color w:val="000000"/>
                <w:sz w:val="24"/>
              </w:rPr>
            </w:pPr>
            <w:r>
              <w:rPr>
                <w:rFonts w:hint="eastAsia" w:eastAsia="仿宋"/>
                <w:bCs/>
                <w:spacing w:val="-3"/>
                <w:sz w:val="24"/>
              </w:rPr>
              <w:t>课程目标</w:t>
            </w:r>
            <w:r>
              <w:rPr>
                <w:rFonts w:eastAsia="仿宋"/>
                <w:bCs/>
                <w:spacing w:val="-3"/>
                <w:sz w:val="24"/>
              </w:rPr>
              <w:t>2</w:t>
            </w:r>
            <w:r>
              <w:rPr>
                <w:rFonts w:hint="eastAsia" w:eastAsia="仿宋"/>
                <w:bCs/>
                <w:spacing w:val="-3"/>
                <w:sz w:val="24"/>
              </w:rPr>
              <w:t>、</w:t>
            </w:r>
            <w:r>
              <w:rPr>
                <w:rFonts w:eastAsia="仿宋"/>
                <w:bCs/>
                <w:spacing w:val="-3"/>
                <w:sz w:val="24"/>
              </w:rPr>
              <w:t>3</w:t>
            </w:r>
          </w:p>
        </w:tc>
      </w:tr>
      <w:tr w14:paraId="3A75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Merge w:val="continue"/>
            <w:shd w:val="clear" w:color="auto" w:fill="auto"/>
            <w:vAlign w:val="center"/>
          </w:tcPr>
          <w:p w14:paraId="465A9BB2">
            <w:pPr>
              <w:snapToGrid w:val="0"/>
              <w:spacing w:line="360" w:lineRule="auto"/>
              <w:jc w:val="center"/>
              <w:rPr>
                <w:rFonts w:ascii="仿宋" w:hAnsi="仿宋" w:eastAsia="仿宋"/>
                <w:b/>
                <w:color w:val="000000"/>
                <w:sz w:val="24"/>
              </w:rPr>
            </w:pPr>
          </w:p>
        </w:tc>
        <w:tc>
          <w:tcPr>
            <w:tcW w:w="857" w:type="dxa"/>
            <w:shd w:val="clear" w:color="auto" w:fill="auto"/>
            <w:vAlign w:val="center"/>
          </w:tcPr>
          <w:p w14:paraId="1D13CAF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作业2</w:t>
            </w:r>
          </w:p>
        </w:tc>
        <w:tc>
          <w:tcPr>
            <w:tcW w:w="806" w:type="dxa"/>
            <w:vAlign w:val="center"/>
          </w:tcPr>
          <w:p w14:paraId="1B5D39C6">
            <w:pPr>
              <w:snapToGrid w:val="0"/>
              <w:spacing w:line="360" w:lineRule="auto"/>
              <w:rPr>
                <w:rFonts w:eastAsia="仿宋"/>
                <w:sz w:val="24"/>
              </w:rPr>
            </w:pPr>
            <w:r>
              <w:rPr>
                <w:rFonts w:hint="eastAsia" w:eastAsia="仿宋"/>
                <w:sz w:val="24"/>
              </w:rPr>
              <w:t>20</w:t>
            </w:r>
          </w:p>
        </w:tc>
        <w:tc>
          <w:tcPr>
            <w:tcW w:w="4252" w:type="dxa"/>
          </w:tcPr>
          <w:p w14:paraId="627E1993">
            <w:pPr>
              <w:suppressAutoHyphens/>
              <w:spacing w:before="156" w:beforeLines="50" w:after="156" w:afterLines="50" w:line="276" w:lineRule="auto"/>
              <w:rPr>
                <w:rFonts w:eastAsia="仿宋"/>
                <w:bCs/>
                <w:spacing w:val="-3"/>
                <w:sz w:val="24"/>
              </w:rPr>
            </w:pPr>
            <w:r>
              <w:rPr>
                <w:rFonts w:hint="eastAsia" w:eastAsia="仿宋"/>
                <w:bCs/>
                <w:spacing w:val="-3"/>
                <w:sz w:val="24"/>
              </w:rPr>
              <w:t>根据课程进度布置课后作业，学生完成后提交，根据学生的完成情况评定分数。</w:t>
            </w:r>
          </w:p>
        </w:tc>
        <w:tc>
          <w:tcPr>
            <w:tcW w:w="1932" w:type="dxa"/>
            <w:vAlign w:val="center"/>
          </w:tcPr>
          <w:p w14:paraId="1AA80288">
            <w:pPr>
              <w:snapToGrid w:val="0"/>
              <w:spacing w:line="360" w:lineRule="auto"/>
              <w:jc w:val="center"/>
              <w:rPr>
                <w:rFonts w:ascii="仿宋" w:hAnsi="仿宋" w:eastAsia="仿宋"/>
                <w:b/>
                <w:color w:val="000000"/>
                <w:sz w:val="24"/>
              </w:rPr>
            </w:pPr>
            <w:r>
              <w:rPr>
                <w:rFonts w:hint="eastAsia" w:eastAsia="仿宋"/>
                <w:bCs/>
                <w:spacing w:val="-3"/>
                <w:sz w:val="24"/>
              </w:rPr>
              <w:t>课程目标</w:t>
            </w:r>
            <w:r>
              <w:rPr>
                <w:rFonts w:eastAsia="仿宋"/>
                <w:bCs/>
                <w:spacing w:val="-3"/>
                <w:sz w:val="24"/>
              </w:rPr>
              <w:t>2</w:t>
            </w:r>
            <w:r>
              <w:rPr>
                <w:rFonts w:hint="eastAsia" w:eastAsia="仿宋"/>
                <w:bCs/>
                <w:spacing w:val="-3"/>
                <w:sz w:val="24"/>
              </w:rPr>
              <w:t>、</w:t>
            </w:r>
            <w:r>
              <w:rPr>
                <w:rFonts w:eastAsia="仿宋"/>
                <w:bCs/>
                <w:spacing w:val="-3"/>
                <w:sz w:val="24"/>
              </w:rPr>
              <w:t>3</w:t>
            </w:r>
          </w:p>
        </w:tc>
      </w:tr>
      <w:tr w14:paraId="01C5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Merge w:val="continue"/>
            <w:shd w:val="clear" w:color="auto" w:fill="auto"/>
            <w:vAlign w:val="center"/>
          </w:tcPr>
          <w:p w14:paraId="57DE7F9F">
            <w:pPr>
              <w:snapToGrid w:val="0"/>
              <w:spacing w:line="360" w:lineRule="auto"/>
              <w:jc w:val="center"/>
              <w:rPr>
                <w:rFonts w:ascii="仿宋" w:hAnsi="仿宋" w:eastAsia="仿宋"/>
                <w:b/>
                <w:color w:val="000000"/>
                <w:sz w:val="24"/>
              </w:rPr>
            </w:pPr>
          </w:p>
        </w:tc>
        <w:tc>
          <w:tcPr>
            <w:tcW w:w="857" w:type="dxa"/>
            <w:shd w:val="clear" w:color="auto" w:fill="auto"/>
            <w:vAlign w:val="center"/>
          </w:tcPr>
          <w:p w14:paraId="0DD2DC1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作业3</w:t>
            </w:r>
          </w:p>
        </w:tc>
        <w:tc>
          <w:tcPr>
            <w:tcW w:w="806" w:type="dxa"/>
            <w:vAlign w:val="center"/>
          </w:tcPr>
          <w:p w14:paraId="6D5141D4">
            <w:pPr>
              <w:snapToGrid w:val="0"/>
              <w:spacing w:line="360" w:lineRule="auto"/>
              <w:rPr>
                <w:rFonts w:eastAsia="仿宋"/>
                <w:sz w:val="24"/>
              </w:rPr>
            </w:pPr>
            <w:r>
              <w:rPr>
                <w:rFonts w:hint="eastAsia" w:eastAsia="仿宋"/>
                <w:sz w:val="24"/>
              </w:rPr>
              <w:t>20</w:t>
            </w:r>
          </w:p>
        </w:tc>
        <w:tc>
          <w:tcPr>
            <w:tcW w:w="4252" w:type="dxa"/>
          </w:tcPr>
          <w:p w14:paraId="6157510F">
            <w:pPr>
              <w:snapToGrid w:val="0"/>
              <w:spacing w:line="360" w:lineRule="auto"/>
              <w:rPr>
                <w:rFonts w:eastAsia="仿宋"/>
                <w:sz w:val="24"/>
              </w:rPr>
            </w:pPr>
            <w:r>
              <w:rPr>
                <w:rFonts w:hint="eastAsia" w:eastAsia="仿宋"/>
                <w:bCs/>
                <w:spacing w:val="-3"/>
                <w:sz w:val="24"/>
              </w:rPr>
              <w:t>根据课程进度布置课后作业，学生完成后提交，根据学生的完成情况评定分数。</w:t>
            </w:r>
          </w:p>
        </w:tc>
        <w:tc>
          <w:tcPr>
            <w:tcW w:w="1932" w:type="dxa"/>
            <w:vAlign w:val="center"/>
          </w:tcPr>
          <w:p w14:paraId="6DCD8DC7">
            <w:pPr>
              <w:snapToGrid w:val="0"/>
              <w:spacing w:line="360" w:lineRule="auto"/>
              <w:jc w:val="center"/>
              <w:rPr>
                <w:rFonts w:ascii="仿宋" w:hAnsi="仿宋" w:eastAsia="仿宋"/>
                <w:b/>
                <w:color w:val="000000"/>
                <w:sz w:val="24"/>
              </w:rPr>
            </w:pPr>
            <w:r>
              <w:rPr>
                <w:rFonts w:hint="eastAsia" w:eastAsia="仿宋"/>
                <w:bCs/>
                <w:spacing w:val="-3"/>
                <w:sz w:val="24"/>
              </w:rPr>
              <w:t>课程目标</w:t>
            </w:r>
            <w:r>
              <w:rPr>
                <w:rFonts w:eastAsia="仿宋"/>
                <w:bCs/>
                <w:spacing w:val="-3"/>
                <w:sz w:val="24"/>
              </w:rPr>
              <w:t>2</w:t>
            </w:r>
            <w:r>
              <w:rPr>
                <w:rFonts w:hint="eastAsia" w:eastAsia="仿宋"/>
                <w:bCs/>
                <w:spacing w:val="-3"/>
                <w:sz w:val="24"/>
              </w:rPr>
              <w:t>、</w:t>
            </w:r>
            <w:r>
              <w:rPr>
                <w:rFonts w:eastAsia="仿宋"/>
                <w:bCs/>
                <w:spacing w:val="-3"/>
                <w:sz w:val="24"/>
              </w:rPr>
              <w:t>3</w:t>
            </w:r>
          </w:p>
        </w:tc>
      </w:tr>
      <w:tr w14:paraId="10400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742" w:type="dxa"/>
            <w:vMerge w:val="continue"/>
            <w:shd w:val="clear" w:color="auto" w:fill="auto"/>
            <w:vAlign w:val="center"/>
          </w:tcPr>
          <w:p w14:paraId="7F0EFC30">
            <w:pPr>
              <w:snapToGrid w:val="0"/>
              <w:spacing w:line="360" w:lineRule="auto"/>
              <w:jc w:val="center"/>
              <w:rPr>
                <w:rFonts w:ascii="仿宋" w:hAnsi="仿宋" w:eastAsia="仿宋"/>
                <w:b/>
                <w:color w:val="000000"/>
                <w:sz w:val="24"/>
              </w:rPr>
            </w:pPr>
          </w:p>
        </w:tc>
        <w:tc>
          <w:tcPr>
            <w:tcW w:w="857" w:type="dxa"/>
            <w:shd w:val="clear" w:color="auto" w:fill="auto"/>
            <w:vAlign w:val="center"/>
          </w:tcPr>
          <w:p w14:paraId="7CEDBF1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小组展示</w:t>
            </w:r>
          </w:p>
        </w:tc>
        <w:tc>
          <w:tcPr>
            <w:tcW w:w="806" w:type="dxa"/>
            <w:vAlign w:val="center"/>
          </w:tcPr>
          <w:p w14:paraId="47C7C2DF">
            <w:pPr>
              <w:snapToGrid w:val="0"/>
              <w:spacing w:line="360" w:lineRule="auto"/>
              <w:rPr>
                <w:rFonts w:eastAsia="仿宋"/>
                <w:sz w:val="24"/>
              </w:rPr>
            </w:pPr>
            <w:r>
              <w:rPr>
                <w:rFonts w:hint="eastAsia" w:eastAsia="仿宋"/>
                <w:sz w:val="24"/>
              </w:rPr>
              <w:t>20</w:t>
            </w:r>
          </w:p>
        </w:tc>
        <w:tc>
          <w:tcPr>
            <w:tcW w:w="4252" w:type="dxa"/>
          </w:tcPr>
          <w:p w14:paraId="558BBACE">
            <w:pPr>
              <w:snapToGrid w:val="0"/>
              <w:spacing w:line="360" w:lineRule="auto"/>
              <w:rPr>
                <w:rFonts w:eastAsia="仿宋"/>
                <w:sz w:val="24"/>
              </w:rPr>
            </w:pPr>
            <w:r>
              <w:rPr>
                <w:rFonts w:hint="eastAsia" w:eastAsia="仿宋"/>
                <w:bCs/>
                <w:spacing w:val="-3"/>
                <w:sz w:val="24"/>
              </w:rPr>
              <w:t>学生通过小组展示，将经济金融热点和实际问题与课堂所学知识有机结合，分享自己对中国特色社会主义实践向前发展的观点和看法，根据学生的完成情况评定分数。</w:t>
            </w:r>
          </w:p>
        </w:tc>
        <w:tc>
          <w:tcPr>
            <w:tcW w:w="1932" w:type="dxa"/>
            <w:vAlign w:val="center"/>
          </w:tcPr>
          <w:p w14:paraId="6C8A49D9">
            <w:pPr>
              <w:snapToGrid w:val="0"/>
              <w:spacing w:line="360" w:lineRule="auto"/>
              <w:jc w:val="center"/>
              <w:rPr>
                <w:rFonts w:ascii="仿宋" w:hAnsi="仿宋" w:eastAsia="仿宋"/>
                <w:b/>
                <w:color w:val="000000"/>
                <w:sz w:val="24"/>
              </w:rPr>
            </w:pPr>
            <w:r>
              <w:rPr>
                <w:rFonts w:hint="eastAsia" w:eastAsia="仿宋"/>
                <w:bCs/>
                <w:spacing w:val="-3"/>
                <w:sz w:val="24"/>
              </w:rPr>
              <w:t>课程目标1、2、3</w:t>
            </w:r>
          </w:p>
        </w:tc>
      </w:tr>
      <w:tr w14:paraId="3934A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742" w:type="dxa"/>
            <w:vMerge w:val="continue"/>
            <w:shd w:val="clear" w:color="auto" w:fill="auto"/>
            <w:vAlign w:val="center"/>
          </w:tcPr>
          <w:p w14:paraId="02975AFD">
            <w:pPr>
              <w:snapToGrid w:val="0"/>
              <w:spacing w:line="360" w:lineRule="auto"/>
              <w:jc w:val="center"/>
              <w:rPr>
                <w:rFonts w:ascii="仿宋" w:hAnsi="仿宋" w:eastAsia="仿宋"/>
                <w:b/>
                <w:color w:val="000000"/>
                <w:sz w:val="24"/>
              </w:rPr>
            </w:pPr>
          </w:p>
        </w:tc>
        <w:tc>
          <w:tcPr>
            <w:tcW w:w="857" w:type="dxa"/>
            <w:shd w:val="clear" w:color="auto" w:fill="auto"/>
            <w:vAlign w:val="center"/>
          </w:tcPr>
          <w:p w14:paraId="038A46A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806" w:type="dxa"/>
            <w:vAlign w:val="center"/>
          </w:tcPr>
          <w:p w14:paraId="6AC409C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20</w:t>
            </w:r>
          </w:p>
        </w:tc>
        <w:tc>
          <w:tcPr>
            <w:tcW w:w="4252" w:type="dxa"/>
          </w:tcPr>
          <w:p w14:paraId="7DB7AA63">
            <w:pPr>
              <w:snapToGrid w:val="0"/>
              <w:spacing w:line="360" w:lineRule="auto"/>
              <w:rPr>
                <w:rFonts w:ascii="仿宋" w:hAnsi="仿宋" w:eastAsia="仿宋"/>
                <w:b/>
                <w:color w:val="000000"/>
                <w:sz w:val="24"/>
              </w:rPr>
            </w:pPr>
            <w:r>
              <w:rPr>
                <w:rFonts w:hint="eastAsia" w:eastAsia="仿宋"/>
                <w:bCs/>
                <w:spacing w:val="-3"/>
                <w:sz w:val="24"/>
              </w:rPr>
              <w:t>旷课一次扣5分，督促学生遵守课堂纪律，让学生明白按时上课不仅是对老师的尊重，更是对自己学习责任的体现，通过这种常规的教学管理环节为学生职业道德的培养提供基础。</w:t>
            </w:r>
          </w:p>
        </w:tc>
        <w:tc>
          <w:tcPr>
            <w:tcW w:w="1932" w:type="dxa"/>
            <w:vAlign w:val="center"/>
          </w:tcPr>
          <w:p w14:paraId="0A109519">
            <w:pPr>
              <w:snapToGrid w:val="0"/>
              <w:spacing w:line="360" w:lineRule="auto"/>
              <w:jc w:val="center"/>
              <w:rPr>
                <w:rFonts w:ascii="仿宋" w:hAnsi="仿宋" w:eastAsia="仿宋"/>
                <w:b/>
                <w:color w:val="000000"/>
                <w:sz w:val="24"/>
              </w:rPr>
            </w:pPr>
            <w:r>
              <w:rPr>
                <w:rFonts w:hint="eastAsia" w:eastAsia="仿宋"/>
                <w:bCs/>
                <w:spacing w:val="-3"/>
                <w:sz w:val="24"/>
              </w:rPr>
              <w:t>课程目标1、2</w:t>
            </w:r>
          </w:p>
        </w:tc>
      </w:tr>
      <w:tr w14:paraId="3568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shd w:val="clear" w:color="auto" w:fill="auto"/>
            <w:vAlign w:val="center"/>
          </w:tcPr>
          <w:p w14:paraId="33078FD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857" w:type="dxa"/>
            <w:shd w:val="clear" w:color="auto" w:fill="auto"/>
            <w:vAlign w:val="center"/>
          </w:tcPr>
          <w:p w14:paraId="4426C7E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806" w:type="dxa"/>
            <w:vAlign w:val="center"/>
          </w:tcPr>
          <w:p w14:paraId="1ECFF91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100</w:t>
            </w:r>
          </w:p>
        </w:tc>
        <w:tc>
          <w:tcPr>
            <w:tcW w:w="4252" w:type="dxa"/>
          </w:tcPr>
          <w:p w14:paraId="2B936064">
            <w:pPr>
              <w:snapToGrid w:val="0"/>
              <w:spacing w:line="360" w:lineRule="auto"/>
              <w:jc w:val="left"/>
              <w:rPr>
                <w:rFonts w:ascii="仿宋" w:hAnsi="仿宋" w:eastAsia="仿宋"/>
                <w:bCs/>
                <w:color w:val="0070C0"/>
                <w:sz w:val="24"/>
              </w:rPr>
            </w:pPr>
            <w:r>
              <w:rPr>
                <w:rFonts w:hint="eastAsia" w:eastAsia="仿宋"/>
                <w:bCs/>
                <w:spacing w:val="-3"/>
                <w:sz w:val="24"/>
              </w:rPr>
              <w:t>笔试（闭卷），其中单选题</w:t>
            </w:r>
            <w:r>
              <w:rPr>
                <w:rFonts w:eastAsia="仿宋"/>
                <w:bCs/>
                <w:spacing w:val="-3"/>
                <w:sz w:val="24"/>
              </w:rPr>
              <w:t>15</w:t>
            </w:r>
            <w:r>
              <w:rPr>
                <w:rFonts w:hint="eastAsia" w:eastAsia="仿宋"/>
                <w:bCs/>
                <w:spacing w:val="-3"/>
                <w:sz w:val="24"/>
              </w:rPr>
              <w:t>分；判断题10分；名词解释1</w:t>
            </w:r>
            <w:r>
              <w:rPr>
                <w:rFonts w:eastAsia="仿宋"/>
                <w:bCs/>
                <w:spacing w:val="-3"/>
                <w:sz w:val="24"/>
              </w:rPr>
              <w:t>5</w:t>
            </w:r>
            <w:r>
              <w:rPr>
                <w:rFonts w:hint="eastAsia" w:eastAsia="仿宋"/>
                <w:bCs/>
                <w:spacing w:val="-3"/>
                <w:sz w:val="24"/>
              </w:rPr>
              <w:t>分；计算题2</w:t>
            </w:r>
            <w:r>
              <w:rPr>
                <w:rFonts w:eastAsia="仿宋"/>
                <w:bCs/>
                <w:spacing w:val="-3"/>
                <w:sz w:val="24"/>
              </w:rPr>
              <w:t>0</w:t>
            </w:r>
            <w:r>
              <w:rPr>
                <w:rFonts w:hint="eastAsia" w:eastAsia="仿宋"/>
                <w:bCs/>
                <w:spacing w:val="-3"/>
                <w:sz w:val="24"/>
              </w:rPr>
              <w:t>分；简答题</w:t>
            </w:r>
            <w:r>
              <w:rPr>
                <w:rFonts w:eastAsia="仿宋"/>
                <w:bCs/>
                <w:spacing w:val="-3"/>
                <w:sz w:val="24"/>
              </w:rPr>
              <w:t>30</w:t>
            </w:r>
            <w:r>
              <w:rPr>
                <w:rFonts w:hint="eastAsia" w:eastAsia="仿宋"/>
                <w:bCs/>
                <w:spacing w:val="-3"/>
                <w:sz w:val="24"/>
              </w:rPr>
              <w:t>分</w:t>
            </w:r>
            <w:r>
              <w:rPr>
                <w:rFonts w:hint="eastAsia" w:eastAsia="仿宋"/>
                <w:bCs/>
                <w:spacing w:val="-3"/>
                <w:sz w:val="24"/>
                <w:lang w:val="en-GB"/>
              </w:rPr>
              <w:t>；</w:t>
            </w:r>
            <w:r>
              <w:rPr>
                <w:rFonts w:hint="eastAsia" w:eastAsia="仿宋"/>
                <w:bCs/>
                <w:spacing w:val="-3"/>
                <w:sz w:val="24"/>
              </w:rPr>
              <w:t>论述分析题1</w:t>
            </w:r>
            <w:r>
              <w:rPr>
                <w:rFonts w:eastAsia="仿宋"/>
                <w:bCs/>
                <w:spacing w:val="-3"/>
                <w:sz w:val="24"/>
              </w:rPr>
              <w:t>0</w:t>
            </w:r>
            <w:r>
              <w:rPr>
                <w:rFonts w:hint="eastAsia" w:eastAsia="仿宋"/>
                <w:bCs/>
                <w:spacing w:val="-3"/>
                <w:sz w:val="24"/>
              </w:rPr>
              <w:t>分。</w:t>
            </w:r>
          </w:p>
        </w:tc>
        <w:tc>
          <w:tcPr>
            <w:tcW w:w="1932" w:type="dxa"/>
            <w:vAlign w:val="center"/>
          </w:tcPr>
          <w:p w14:paraId="4FE593ED">
            <w:pPr>
              <w:snapToGrid w:val="0"/>
              <w:spacing w:line="360" w:lineRule="auto"/>
              <w:jc w:val="center"/>
              <w:rPr>
                <w:rFonts w:ascii="仿宋" w:hAnsi="仿宋" w:eastAsia="仿宋"/>
                <w:b/>
                <w:color w:val="000000"/>
                <w:sz w:val="24"/>
              </w:rPr>
            </w:pPr>
            <w:r>
              <w:rPr>
                <w:rFonts w:hint="eastAsia" w:eastAsia="仿宋"/>
                <w:bCs/>
                <w:spacing w:val="-3"/>
                <w:sz w:val="24"/>
              </w:rPr>
              <w:t>课程目标1、2、3</w:t>
            </w:r>
          </w:p>
        </w:tc>
      </w:tr>
    </w:tbl>
    <w:p w14:paraId="0E104B9B">
      <w:pPr>
        <w:snapToGrid w:val="0"/>
        <w:spacing w:line="360" w:lineRule="auto"/>
        <w:ind w:firstLine="482" w:firstLineChars="200"/>
        <w:rPr>
          <w:rFonts w:ascii="仿宋" w:hAnsi="仿宋" w:eastAsia="仿宋"/>
          <w:b/>
          <w:color w:val="000000"/>
          <w:sz w:val="24"/>
        </w:rPr>
      </w:pPr>
    </w:p>
    <w:p w14:paraId="7C9F630D">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p w14:paraId="16509CF1">
      <w:pPr>
        <w:snapToGrid w:val="0"/>
        <w:spacing w:line="360" w:lineRule="auto"/>
        <w:rPr>
          <w:rFonts w:ascii="仿宋" w:hAnsi="仿宋" w:eastAsia="仿宋"/>
          <w:b/>
          <w:color w:val="000000"/>
          <w:sz w:val="24"/>
        </w:rPr>
      </w:pPr>
    </w:p>
    <w:tbl>
      <w:tblPr>
        <w:tblStyle w:val="10"/>
        <w:tblW w:w="8555"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386"/>
        <w:gridCol w:w="814"/>
        <w:gridCol w:w="1921"/>
        <w:gridCol w:w="1701"/>
        <w:gridCol w:w="1984"/>
      </w:tblGrid>
      <w:tr w14:paraId="1999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5" w:type="dxa"/>
            <w:gridSpan w:val="2"/>
            <w:vMerge w:val="restart"/>
            <w:shd w:val="clear" w:color="auto" w:fill="auto"/>
            <w:vAlign w:val="center"/>
          </w:tcPr>
          <w:p w14:paraId="1BF16CF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814" w:type="dxa"/>
            <w:vMerge w:val="restart"/>
            <w:vAlign w:val="center"/>
          </w:tcPr>
          <w:p w14:paraId="17EDC82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5606" w:type="dxa"/>
            <w:gridSpan w:val="3"/>
            <w:shd w:val="clear" w:color="auto" w:fill="auto"/>
            <w:vAlign w:val="center"/>
          </w:tcPr>
          <w:p w14:paraId="0FAAA54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14:paraId="465E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5" w:type="dxa"/>
            <w:gridSpan w:val="2"/>
            <w:vMerge w:val="continue"/>
            <w:shd w:val="clear" w:color="auto" w:fill="auto"/>
            <w:vAlign w:val="center"/>
          </w:tcPr>
          <w:p w14:paraId="3C1B3F0C">
            <w:pPr>
              <w:snapToGrid w:val="0"/>
              <w:spacing w:line="360" w:lineRule="auto"/>
              <w:jc w:val="center"/>
              <w:rPr>
                <w:rFonts w:ascii="仿宋" w:hAnsi="仿宋" w:eastAsia="仿宋"/>
                <w:b/>
                <w:color w:val="000000"/>
                <w:sz w:val="24"/>
              </w:rPr>
            </w:pPr>
          </w:p>
        </w:tc>
        <w:tc>
          <w:tcPr>
            <w:tcW w:w="814" w:type="dxa"/>
            <w:vMerge w:val="continue"/>
          </w:tcPr>
          <w:p w14:paraId="7C4E72CB">
            <w:pPr>
              <w:snapToGrid w:val="0"/>
              <w:spacing w:line="360" w:lineRule="auto"/>
              <w:jc w:val="center"/>
              <w:rPr>
                <w:rFonts w:ascii="仿宋" w:hAnsi="仿宋" w:eastAsia="仿宋"/>
                <w:b/>
                <w:color w:val="000000"/>
                <w:sz w:val="24"/>
              </w:rPr>
            </w:pPr>
          </w:p>
        </w:tc>
        <w:tc>
          <w:tcPr>
            <w:tcW w:w="1921" w:type="dxa"/>
            <w:shd w:val="clear" w:color="auto" w:fill="auto"/>
            <w:vAlign w:val="center"/>
          </w:tcPr>
          <w:p w14:paraId="6896C1D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1701" w:type="dxa"/>
          </w:tcPr>
          <w:p w14:paraId="7A983FA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1984" w:type="dxa"/>
          </w:tcPr>
          <w:p w14:paraId="3DCFF4D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5966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Merge w:val="restart"/>
            <w:shd w:val="clear" w:color="auto" w:fill="auto"/>
            <w:vAlign w:val="center"/>
          </w:tcPr>
          <w:p w14:paraId="2C681B5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1386" w:type="dxa"/>
            <w:shd w:val="clear" w:color="auto" w:fill="auto"/>
            <w:vAlign w:val="center"/>
          </w:tcPr>
          <w:p w14:paraId="30EDD6A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作业1</w:t>
            </w:r>
          </w:p>
        </w:tc>
        <w:tc>
          <w:tcPr>
            <w:tcW w:w="814" w:type="dxa"/>
            <w:vAlign w:val="center"/>
          </w:tcPr>
          <w:p w14:paraId="2F4FF29F">
            <w:pPr>
              <w:snapToGrid w:val="0"/>
              <w:spacing w:line="360" w:lineRule="auto"/>
              <w:jc w:val="center"/>
              <w:rPr>
                <w:rFonts w:eastAsia="仿宋"/>
                <w:bCs/>
                <w:spacing w:val="-3"/>
                <w:sz w:val="24"/>
              </w:rPr>
            </w:pPr>
            <w:r>
              <w:rPr>
                <w:rFonts w:hint="eastAsia" w:eastAsia="仿宋"/>
                <w:bCs/>
                <w:spacing w:val="-3"/>
                <w:sz w:val="24"/>
              </w:rPr>
              <w:t>20</w:t>
            </w:r>
          </w:p>
        </w:tc>
        <w:tc>
          <w:tcPr>
            <w:tcW w:w="1921" w:type="dxa"/>
            <w:shd w:val="clear" w:color="auto" w:fill="auto"/>
            <w:vAlign w:val="center"/>
          </w:tcPr>
          <w:p w14:paraId="291B9B93">
            <w:pPr>
              <w:snapToGrid w:val="0"/>
              <w:spacing w:line="360" w:lineRule="auto"/>
              <w:jc w:val="center"/>
              <w:rPr>
                <w:rFonts w:eastAsia="仿宋"/>
                <w:bCs/>
                <w:spacing w:val="-3"/>
                <w:sz w:val="24"/>
              </w:rPr>
            </w:pPr>
            <w:r>
              <w:rPr>
                <w:rFonts w:eastAsia="仿宋"/>
                <w:bCs/>
                <w:spacing w:val="-3"/>
                <w:sz w:val="24"/>
              </w:rPr>
              <w:t>0</w:t>
            </w:r>
          </w:p>
        </w:tc>
        <w:tc>
          <w:tcPr>
            <w:tcW w:w="1701" w:type="dxa"/>
          </w:tcPr>
          <w:p w14:paraId="232C19C4">
            <w:pPr>
              <w:snapToGrid w:val="0"/>
              <w:spacing w:line="360" w:lineRule="auto"/>
              <w:jc w:val="center"/>
              <w:rPr>
                <w:rFonts w:eastAsia="仿宋"/>
                <w:bCs/>
                <w:spacing w:val="-3"/>
                <w:sz w:val="24"/>
              </w:rPr>
            </w:pPr>
            <w:r>
              <w:rPr>
                <w:rFonts w:eastAsia="仿宋"/>
                <w:bCs/>
                <w:spacing w:val="-3"/>
                <w:sz w:val="24"/>
              </w:rPr>
              <w:t>20</w:t>
            </w:r>
          </w:p>
        </w:tc>
        <w:tc>
          <w:tcPr>
            <w:tcW w:w="1984" w:type="dxa"/>
          </w:tcPr>
          <w:p w14:paraId="6DE532FE">
            <w:pPr>
              <w:snapToGrid w:val="0"/>
              <w:spacing w:line="360" w:lineRule="auto"/>
              <w:jc w:val="center"/>
              <w:rPr>
                <w:rFonts w:eastAsia="仿宋"/>
                <w:bCs/>
                <w:spacing w:val="-3"/>
                <w:sz w:val="24"/>
              </w:rPr>
            </w:pPr>
            <w:r>
              <w:rPr>
                <w:rFonts w:hint="eastAsia" w:eastAsia="仿宋"/>
                <w:bCs/>
                <w:spacing w:val="-3"/>
                <w:sz w:val="24"/>
              </w:rPr>
              <w:t>0</w:t>
            </w:r>
          </w:p>
        </w:tc>
      </w:tr>
      <w:tr w14:paraId="070FA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Merge w:val="continue"/>
            <w:shd w:val="clear" w:color="auto" w:fill="auto"/>
            <w:vAlign w:val="center"/>
          </w:tcPr>
          <w:p w14:paraId="5117207C">
            <w:pPr>
              <w:snapToGrid w:val="0"/>
              <w:spacing w:line="360" w:lineRule="auto"/>
              <w:jc w:val="center"/>
              <w:rPr>
                <w:rFonts w:ascii="仿宋" w:hAnsi="仿宋" w:eastAsia="仿宋"/>
                <w:b/>
                <w:color w:val="000000"/>
                <w:sz w:val="24"/>
              </w:rPr>
            </w:pPr>
          </w:p>
        </w:tc>
        <w:tc>
          <w:tcPr>
            <w:tcW w:w="1386" w:type="dxa"/>
            <w:shd w:val="clear" w:color="auto" w:fill="auto"/>
            <w:vAlign w:val="center"/>
          </w:tcPr>
          <w:p w14:paraId="7F46285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作业2</w:t>
            </w:r>
          </w:p>
        </w:tc>
        <w:tc>
          <w:tcPr>
            <w:tcW w:w="814" w:type="dxa"/>
            <w:vAlign w:val="center"/>
          </w:tcPr>
          <w:p w14:paraId="4187402B">
            <w:pPr>
              <w:snapToGrid w:val="0"/>
              <w:spacing w:line="360" w:lineRule="auto"/>
              <w:jc w:val="center"/>
              <w:rPr>
                <w:rFonts w:eastAsia="仿宋"/>
                <w:bCs/>
                <w:spacing w:val="-3"/>
                <w:sz w:val="24"/>
              </w:rPr>
            </w:pPr>
            <w:r>
              <w:rPr>
                <w:rFonts w:hint="eastAsia" w:eastAsia="仿宋"/>
                <w:bCs/>
                <w:spacing w:val="-3"/>
                <w:sz w:val="24"/>
              </w:rPr>
              <w:t>20</w:t>
            </w:r>
          </w:p>
        </w:tc>
        <w:tc>
          <w:tcPr>
            <w:tcW w:w="1921" w:type="dxa"/>
            <w:shd w:val="clear" w:color="auto" w:fill="auto"/>
            <w:vAlign w:val="center"/>
          </w:tcPr>
          <w:p w14:paraId="7CB57714">
            <w:pPr>
              <w:snapToGrid w:val="0"/>
              <w:spacing w:line="360" w:lineRule="auto"/>
              <w:jc w:val="center"/>
              <w:rPr>
                <w:rFonts w:eastAsia="仿宋"/>
                <w:bCs/>
                <w:spacing w:val="-3"/>
                <w:sz w:val="24"/>
              </w:rPr>
            </w:pPr>
            <w:r>
              <w:rPr>
                <w:rFonts w:eastAsia="仿宋"/>
                <w:bCs/>
                <w:spacing w:val="-3"/>
                <w:sz w:val="24"/>
              </w:rPr>
              <w:t>10</w:t>
            </w:r>
          </w:p>
        </w:tc>
        <w:tc>
          <w:tcPr>
            <w:tcW w:w="1701" w:type="dxa"/>
          </w:tcPr>
          <w:p w14:paraId="58A622B7">
            <w:pPr>
              <w:snapToGrid w:val="0"/>
              <w:spacing w:line="360" w:lineRule="auto"/>
              <w:jc w:val="center"/>
              <w:rPr>
                <w:rFonts w:eastAsia="仿宋"/>
                <w:bCs/>
                <w:spacing w:val="-3"/>
                <w:sz w:val="24"/>
              </w:rPr>
            </w:pPr>
            <w:r>
              <w:rPr>
                <w:rFonts w:eastAsia="仿宋"/>
                <w:bCs/>
                <w:spacing w:val="-3"/>
                <w:sz w:val="24"/>
              </w:rPr>
              <w:t>10</w:t>
            </w:r>
          </w:p>
        </w:tc>
        <w:tc>
          <w:tcPr>
            <w:tcW w:w="1984" w:type="dxa"/>
          </w:tcPr>
          <w:p w14:paraId="788EA869">
            <w:pPr>
              <w:snapToGrid w:val="0"/>
              <w:spacing w:line="360" w:lineRule="auto"/>
              <w:jc w:val="center"/>
              <w:rPr>
                <w:rFonts w:eastAsia="仿宋"/>
                <w:bCs/>
                <w:spacing w:val="-3"/>
                <w:sz w:val="24"/>
              </w:rPr>
            </w:pPr>
            <w:r>
              <w:rPr>
                <w:rFonts w:hint="eastAsia" w:eastAsia="仿宋"/>
                <w:bCs/>
                <w:spacing w:val="-3"/>
                <w:sz w:val="24"/>
              </w:rPr>
              <w:t>0</w:t>
            </w:r>
          </w:p>
        </w:tc>
      </w:tr>
      <w:tr w14:paraId="096B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49" w:type="dxa"/>
            <w:vMerge w:val="continue"/>
            <w:shd w:val="clear" w:color="auto" w:fill="auto"/>
            <w:vAlign w:val="center"/>
          </w:tcPr>
          <w:p w14:paraId="7E0402D7">
            <w:pPr>
              <w:snapToGrid w:val="0"/>
              <w:spacing w:line="360" w:lineRule="auto"/>
              <w:jc w:val="center"/>
              <w:rPr>
                <w:rFonts w:ascii="仿宋" w:hAnsi="仿宋" w:eastAsia="仿宋"/>
                <w:b/>
                <w:color w:val="000000"/>
                <w:sz w:val="24"/>
              </w:rPr>
            </w:pPr>
          </w:p>
        </w:tc>
        <w:tc>
          <w:tcPr>
            <w:tcW w:w="1386" w:type="dxa"/>
            <w:shd w:val="clear" w:color="auto" w:fill="auto"/>
            <w:vAlign w:val="center"/>
          </w:tcPr>
          <w:p w14:paraId="7AEDDF4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作业3</w:t>
            </w:r>
          </w:p>
        </w:tc>
        <w:tc>
          <w:tcPr>
            <w:tcW w:w="814" w:type="dxa"/>
            <w:vAlign w:val="center"/>
          </w:tcPr>
          <w:p w14:paraId="129B734C">
            <w:pPr>
              <w:snapToGrid w:val="0"/>
              <w:spacing w:line="360" w:lineRule="auto"/>
              <w:jc w:val="center"/>
              <w:rPr>
                <w:rFonts w:eastAsia="仿宋"/>
                <w:bCs/>
                <w:spacing w:val="-3"/>
                <w:sz w:val="24"/>
              </w:rPr>
            </w:pPr>
            <w:r>
              <w:rPr>
                <w:rFonts w:hint="eastAsia" w:eastAsia="仿宋"/>
                <w:bCs/>
                <w:spacing w:val="-3"/>
                <w:sz w:val="24"/>
              </w:rPr>
              <w:t>20</w:t>
            </w:r>
          </w:p>
        </w:tc>
        <w:tc>
          <w:tcPr>
            <w:tcW w:w="1921" w:type="dxa"/>
            <w:shd w:val="clear" w:color="auto" w:fill="auto"/>
            <w:vAlign w:val="center"/>
          </w:tcPr>
          <w:p w14:paraId="70A2EF9E">
            <w:pPr>
              <w:snapToGrid w:val="0"/>
              <w:spacing w:line="360" w:lineRule="auto"/>
              <w:jc w:val="center"/>
              <w:rPr>
                <w:rFonts w:eastAsia="仿宋"/>
                <w:bCs/>
                <w:spacing w:val="-3"/>
                <w:sz w:val="24"/>
              </w:rPr>
            </w:pPr>
            <w:r>
              <w:rPr>
                <w:rFonts w:eastAsia="仿宋"/>
                <w:bCs/>
                <w:spacing w:val="-3"/>
                <w:sz w:val="24"/>
              </w:rPr>
              <w:t>10</w:t>
            </w:r>
          </w:p>
        </w:tc>
        <w:tc>
          <w:tcPr>
            <w:tcW w:w="1701" w:type="dxa"/>
          </w:tcPr>
          <w:p w14:paraId="35CF6567">
            <w:pPr>
              <w:snapToGrid w:val="0"/>
              <w:spacing w:line="360" w:lineRule="auto"/>
              <w:jc w:val="center"/>
              <w:rPr>
                <w:rFonts w:eastAsia="仿宋"/>
                <w:bCs/>
                <w:spacing w:val="-3"/>
                <w:sz w:val="24"/>
              </w:rPr>
            </w:pPr>
            <w:r>
              <w:rPr>
                <w:rFonts w:hint="eastAsia" w:eastAsia="仿宋"/>
                <w:bCs/>
                <w:spacing w:val="-3"/>
                <w:sz w:val="24"/>
              </w:rPr>
              <w:t>0</w:t>
            </w:r>
          </w:p>
        </w:tc>
        <w:tc>
          <w:tcPr>
            <w:tcW w:w="1984" w:type="dxa"/>
          </w:tcPr>
          <w:p w14:paraId="7071F48F">
            <w:pPr>
              <w:snapToGrid w:val="0"/>
              <w:spacing w:line="360" w:lineRule="auto"/>
              <w:jc w:val="center"/>
              <w:rPr>
                <w:rFonts w:eastAsia="仿宋"/>
                <w:bCs/>
                <w:spacing w:val="-3"/>
                <w:sz w:val="24"/>
              </w:rPr>
            </w:pPr>
            <w:r>
              <w:rPr>
                <w:rFonts w:hint="eastAsia" w:eastAsia="仿宋"/>
                <w:bCs/>
                <w:spacing w:val="-3"/>
                <w:sz w:val="24"/>
              </w:rPr>
              <w:t>1</w:t>
            </w:r>
            <w:r>
              <w:rPr>
                <w:rFonts w:eastAsia="仿宋"/>
                <w:bCs/>
                <w:spacing w:val="-3"/>
                <w:sz w:val="24"/>
              </w:rPr>
              <w:t>0</w:t>
            </w:r>
          </w:p>
        </w:tc>
      </w:tr>
      <w:tr w14:paraId="4701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749" w:type="dxa"/>
            <w:vMerge w:val="continue"/>
            <w:shd w:val="clear" w:color="auto" w:fill="auto"/>
            <w:vAlign w:val="center"/>
          </w:tcPr>
          <w:p w14:paraId="75AE9F38">
            <w:pPr>
              <w:snapToGrid w:val="0"/>
              <w:spacing w:line="360" w:lineRule="auto"/>
              <w:jc w:val="center"/>
              <w:rPr>
                <w:rFonts w:ascii="仿宋" w:hAnsi="仿宋" w:eastAsia="仿宋"/>
                <w:b/>
                <w:color w:val="000000"/>
                <w:sz w:val="24"/>
              </w:rPr>
            </w:pPr>
          </w:p>
        </w:tc>
        <w:tc>
          <w:tcPr>
            <w:tcW w:w="1386" w:type="dxa"/>
            <w:shd w:val="clear" w:color="auto" w:fill="auto"/>
            <w:vAlign w:val="center"/>
          </w:tcPr>
          <w:p w14:paraId="471F105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小组展示</w:t>
            </w:r>
          </w:p>
        </w:tc>
        <w:tc>
          <w:tcPr>
            <w:tcW w:w="814" w:type="dxa"/>
            <w:vAlign w:val="center"/>
          </w:tcPr>
          <w:p w14:paraId="0DC1DFB3">
            <w:pPr>
              <w:snapToGrid w:val="0"/>
              <w:spacing w:line="360" w:lineRule="auto"/>
              <w:jc w:val="center"/>
              <w:rPr>
                <w:rFonts w:eastAsia="仿宋"/>
                <w:bCs/>
                <w:spacing w:val="-3"/>
                <w:sz w:val="24"/>
              </w:rPr>
            </w:pPr>
            <w:r>
              <w:rPr>
                <w:rFonts w:hint="eastAsia" w:eastAsia="仿宋"/>
                <w:bCs/>
                <w:spacing w:val="-3"/>
                <w:sz w:val="24"/>
              </w:rPr>
              <w:t>20</w:t>
            </w:r>
          </w:p>
        </w:tc>
        <w:tc>
          <w:tcPr>
            <w:tcW w:w="1921" w:type="dxa"/>
            <w:shd w:val="clear" w:color="auto" w:fill="auto"/>
            <w:vAlign w:val="center"/>
          </w:tcPr>
          <w:p w14:paraId="61AF9B8F">
            <w:pPr>
              <w:snapToGrid w:val="0"/>
              <w:spacing w:line="360" w:lineRule="auto"/>
              <w:jc w:val="center"/>
              <w:rPr>
                <w:rFonts w:eastAsia="仿宋"/>
                <w:bCs/>
                <w:spacing w:val="-3"/>
                <w:sz w:val="24"/>
              </w:rPr>
            </w:pPr>
            <w:r>
              <w:rPr>
                <w:rFonts w:eastAsia="仿宋"/>
                <w:bCs/>
                <w:spacing w:val="-3"/>
                <w:sz w:val="24"/>
              </w:rPr>
              <w:t>10</w:t>
            </w:r>
          </w:p>
        </w:tc>
        <w:tc>
          <w:tcPr>
            <w:tcW w:w="1701" w:type="dxa"/>
          </w:tcPr>
          <w:p w14:paraId="28EFAC5F">
            <w:pPr>
              <w:snapToGrid w:val="0"/>
              <w:spacing w:line="360" w:lineRule="auto"/>
              <w:jc w:val="center"/>
              <w:rPr>
                <w:rFonts w:eastAsia="仿宋"/>
                <w:bCs/>
                <w:spacing w:val="-3"/>
                <w:sz w:val="24"/>
              </w:rPr>
            </w:pPr>
            <w:r>
              <w:rPr>
                <w:rFonts w:eastAsia="仿宋"/>
                <w:bCs/>
                <w:spacing w:val="-3"/>
                <w:sz w:val="24"/>
              </w:rPr>
              <w:t>10</w:t>
            </w:r>
          </w:p>
        </w:tc>
        <w:tc>
          <w:tcPr>
            <w:tcW w:w="1984" w:type="dxa"/>
          </w:tcPr>
          <w:p w14:paraId="0DB46FD0">
            <w:pPr>
              <w:snapToGrid w:val="0"/>
              <w:spacing w:line="360" w:lineRule="auto"/>
              <w:jc w:val="center"/>
              <w:rPr>
                <w:rFonts w:eastAsia="仿宋"/>
                <w:bCs/>
                <w:spacing w:val="-3"/>
                <w:sz w:val="24"/>
              </w:rPr>
            </w:pPr>
            <w:r>
              <w:rPr>
                <w:rFonts w:eastAsia="仿宋"/>
                <w:bCs/>
                <w:spacing w:val="-3"/>
                <w:sz w:val="24"/>
              </w:rPr>
              <w:t>0</w:t>
            </w:r>
          </w:p>
        </w:tc>
      </w:tr>
      <w:tr w14:paraId="0D38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749" w:type="dxa"/>
            <w:vMerge w:val="continue"/>
            <w:shd w:val="clear" w:color="auto" w:fill="auto"/>
            <w:vAlign w:val="center"/>
          </w:tcPr>
          <w:p w14:paraId="14CBF9E3">
            <w:pPr>
              <w:snapToGrid w:val="0"/>
              <w:spacing w:line="360" w:lineRule="auto"/>
              <w:jc w:val="center"/>
              <w:rPr>
                <w:rFonts w:ascii="仿宋" w:hAnsi="仿宋" w:eastAsia="仿宋"/>
                <w:b/>
                <w:color w:val="000000"/>
                <w:sz w:val="24"/>
              </w:rPr>
            </w:pPr>
          </w:p>
        </w:tc>
        <w:tc>
          <w:tcPr>
            <w:tcW w:w="1386" w:type="dxa"/>
            <w:shd w:val="clear" w:color="auto" w:fill="auto"/>
            <w:vAlign w:val="center"/>
          </w:tcPr>
          <w:p w14:paraId="703E2B1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814" w:type="dxa"/>
            <w:vAlign w:val="center"/>
          </w:tcPr>
          <w:p w14:paraId="1C070E75">
            <w:pPr>
              <w:snapToGrid w:val="0"/>
              <w:spacing w:line="360" w:lineRule="auto"/>
              <w:jc w:val="center"/>
              <w:rPr>
                <w:rFonts w:eastAsia="仿宋"/>
                <w:bCs/>
                <w:spacing w:val="-3"/>
                <w:sz w:val="24"/>
              </w:rPr>
            </w:pPr>
            <w:r>
              <w:rPr>
                <w:rFonts w:hint="eastAsia" w:eastAsia="仿宋"/>
                <w:bCs/>
                <w:spacing w:val="-3"/>
                <w:sz w:val="24"/>
              </w:rPr>
              <w:t>20</w:t>
            </w:r>
          </w:p>
        </w:tc>
        <w:tc>
          <w:tcPr>
            <w:tcW w:w="1921" w:type="dxa"/>
            <w:shd w:val="clear" w:color="auto" w:fill="auto"/>
            <w:vAlign w:val="center"/>
          </w:tcPr>
          <w:p w14:paraId="55C26BE7">
            <w:pPr>
              <w:snapToGrid w:val="0"/>
              <w:spacing w:line="360" w:lineRule="auto"/>
              <w:jc w:val="center"/>
              <w:rPr>
                <w:rFonts w:eastAsia="仿宋"/>
                <w:bCs/>
                <w:spacing w:val="-3"/>
                <w:sz w:val="24"/>
              </w:rPr>
            </w:pPr>
            <w:r>
              <w:rPr>
                <w:rFonts w:hint="eastAsia" w:eastAsia="仿宋"/>
                <w:bCs/>
                <w:spacing w:val="-3"/>
                <w:sz w:val="24"/>
              </w:rPr>
              <w:t>10</w:t>
            </w:r>
          </w:p>
        </w:tc>
        <w:tc>
          <w:tcPr>
            <w:tcW w:w="1701" w:type="dxa"/>
          </w:tcPr>
          <w:p w14:paraId="1EB26F1C">
            <w:pPr>
              <w:snapToGrid w:val="0"/>
              <w:spacing w:line="360" w:lineRule="auto"/>
              <w:jc w:val="center"/>
              <w:rPr>
                <w:rFonts w:eastAsia="仿宋"/>
                <w:bCs/>
                <w:spacing w:val="-3"/>
                <w:sz w:val="24"/>
              </w:rPr>
            </w:pPr>
            <w:r>
              <w:rPr>
                <w:rFonts w:hint="eastAsia" w:eastAsia="仿宋"/>
                <w:bCs/>
                <w:spacing w:val="-3"/>
                <w:sz w:val="24"/>
              </w:rPr>
              <w:t>10</w:t>
            </w:r>
          </w:p>
        </w:tc>
        <w:tc>
          <w:tcPr>
            <w:tcW w:w="1984" w:type="dxa"/>
          </w:tcPr>
          <w:p w14:paraId="3E5D581E">
            <w:pPr>
              <w:snapToGrid w:val="0"/>
              <w:spacing w:line="360" w:lineRule="auto"/>
              <w:jc w:val="center"/>
              <w:rPr>
                <w:rFonts w:eastAsia="仿宋"/>
                <w:bCs/>
                <w:spacing w:val="-3"/>
                <w:sz w:val="24"/>
              </w:rPr>
            </w:pPr>
            <w:r>
              <w:rPr>
                <w:rFonts w:hint="eastAsia" w:eastAsia="仿宋"/>
                <w:bCs/>
                <w:spacing w:val="-3"/>
                <w:sz w:val="24"/>
              </w:rPr>
              <w:t>0</w:t>
            </w:r>
          </w:p>
        </w:tc>
      </w:tr>
      <w:tr w14:paraId="0DBF6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14:paraId="44469C0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1386" w:type="dxa"/>
            <w:shd w:val="clear" w:color="auto" w:fill="auto"/>
            <w:vAlign w:val="center"/>
          </w:tcPr>
          <w:p w14:paraId="63DBAF3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814" w:type="dxa"/>
            <w:vAlign w:val="center"/>
          </w:tcPr>
          <w:p w14:paraId="7DDD1363">
            <w:pPr>
              <w:snapToGrid w:val="0"/>
              <w:spacing w:line="360" w:lineRule="auto"/>
              <w:jc w:val="center"/>
              <w:rPr>
                <w:rFonts w:eastAsia="仿宋"/>
                <w:bCs/>
                <w:spacing w:val="-3"/>
                <w:sz w:val="24"/>
              </w:rPr>
            </w:pPr>
            <w:r>
              <w:rPr>
                <w:rFonts w:hint="eastAsia" w:eastAsia="仿宋"/>
                <w:bCs/>
                <w:spacing w:val="-3"/>
                <w:sz w:val="24"/>
              </w:rPr>
              <w:t>100</w:t>
            </w:r>
          </w:p>
        </w:tc>
        <w:tc>
          <w:tcPr>
            <w:tcW w:w="1921" w:type="dxa"/>
            <w:shd w:val="clear" w:color="auto" w:fill="auto"/>
            <w:vAlign w:val="center"/>
          </w:tcPr>
          <w:p w14:paraId="253DB155">
            <w:pPr>
              <w:snapToGrid w:val="0"/>
              <w:spacing w:line="360" w:lineRule="auto"/>
              <w:jc w:val="center"/>
              <w:rPr>
                <w:rFonts w:eastAsia="仿宋"/>
                <w:bCs/>
                <w:spacing w:val="-3"/>
                <w:sz w:val="24"/>
              </w:rPr>
            </w:pPr>
            <w:r>
              <w:rPr>
                <w:rFonts w:eastAsia="仿宋"/>
                <w:bCs/>
                <w:spacing w:val="-3"/>
                <w:sz w:val="24"/>
              </w:rPr>
              <w:t>30</w:t>
            </w:r>
          </w:p>
        </w:tc>
        <w:tc>
          <w:tcPr>
            <w:tcW w:w="1701" w:type="dxa"/>
            <w:vAlign w:val="center"/>
          </w:tcPr>
          <w:p w14:paraId="4AC8C0CD">
            <w:pPr>
              <w:snapToGrid w:val="0"/>
              <w:spacing w:line="360" w:lineRule="auto"/>
              <w:jc w:val="center"/>
              <w:rPr>
                <w:rFonts w:eastAsia="仿宋"/>
                <w:bCs/>
                <w:spacing w:val="-3"/>
                <w:sz w:val="24"/>
              </w:rPr>
            </w:pPr>
            <w:r>
              <w:rPr>
                <w:rFonts w:eastAsia="仿宋"/>
                <w:bCs/>
                <w:spacing w:val="-3"/>
                <w:sz w:val="24"/>
              </w:rPr>
              <w:t>30</w:t>
            </w:r>
          </w:p>
        </w:tc>
        <w:tc>
          <w:tcPr>
            <w:tcW w:w="1984" w:type="dxa"/>
            <w:vAlign w:val="center"/>
          </w:tcPr>
          <w:p w14:paraId="129957C9">
            <w:pPr>
              <w:snapToGrid w:val="0"/>
              <w:spacing w:line="360" w:lineRule="auto"/>
              <w:jc w:val="center"/>
              <w:rPr>
                <w:rFonts w:eastAsia="仿宋"/>
                <w:bCs/>
                <w:spacing w:val="-3"/>
                <w:sz w:val="24"/>
              </w:rPr>
            </w:pPr>
            <w:r>
              <w:rPr>
                <w:rFonts w:hint="eastAsia" w:eastAsia="仿宋"/>
                <w:bCs/>
                <w:spacing w:val="-3"/>
                <w:sz w:val="24"/>
              </w:rPr>
              <w:t>40</w:t>
            </w:r>
            <w:bookmarkStart w:id="2" w:name="_GoBack"/>
            <w:bookmarkEnd w:id="2"/>
          </w:p>
        </w:tc>
      </w:tr>
      <w:tr w14:paraId="3E38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2949" w:type="dxa"/>
            <w:gridSpan w:val="3"/>
            <w:shd w:val="clear" w:color="auto" w:fill="auto"/>
            <w:vAlign w:val="center"/>
          </w:tcPr>
          <w:p w14:paraId="042D35F8">
            <w:pPr>
              <w:snapToGrid w:val="0"/>
              <w:spacing w:line="360" w:lineRule="auto"/>
              <w:rPr>
                <w:rFonts w:ascii="仿宋" w:hAnsi="仿宋" w:eastAsia="仿宋"/>
                <w:sz w:val="24"/>
              </w:rPr>
            </w:pPr>
            <w:r>
              <w:rPr>
                <w:rFonts w:hint="eastAsia" w:ascii="仿宋" w:hAnsi="仿宋" w:eastAsia="仿宋"/>
                <w:b/>
                <w:color w:val="000000"/>
                <w:sz w:val="24"/>
              </w:rPr>
              <w:t>课程目标分值合计（</w:t>
            </w:r>
            <w:r>
              <w:rPr>
                <w:rFonts w:hint="eastAsia" w:eastAsia="仿宋"/>
                <w:sz w:val="24"/>
              </w:rPr>
              <w:t>过程成绩100</w:t>
            </w:r>
            <w:r>
              <w:rPr>
                <w:rFonts w:ascii="Arial" w:hAnsi="Arial" w:eastAsia="仿宋" w:cs="Arial"/>
                <w:sz w:val="24"/>
              </w:rPr>
              <w:t>×</w:t>
            </w:r>
            <w:r>
              <w:rPr>
                <w:rFonts w:hint="eastAsia" w:eastAsia="仿宋"/>
                <w:sz w:val="24"/>
                <w:lang w:val="en-US" w:eastAsia="zh-CN"/>
              </w:rPr>
              <w:t>4</w:t>
            </w:r>
            <w:r>
              <w:rPr>
                <w:rFonts w:hint="eastAsia" w:eastAsia="仿宋"/>
                <w:sz w:val="24"/>
              </w:rPr>
              <w:t>0</w:t>
            </w:r>
            <w:r>
              <w:rPr>
                <w:rFonts w:eastAsia="仿宋"/>
                <w:sz w:val="24"/>
              </w:rPr>
              <w:t>%</w:t>
            </w:r>
            <w:r>
              <w:rPr>
                <w:rFonts w:hint="eastAsia" w:eastAsia="仿宋"/>
                <w:sz w:val="24"/>
              </w:rPr>
              <w:t>+结课考核成绩100</w:t>
            </w:r>
            <w:r>
              <w:rPr>
                <w:rFonts w:ascii="Arial" w:hAnsi="Arial" w:eastAsia="仿宋" w:cs="Arial"/>
                <w:sz w:val="24"/>
              </w:rPr>
              <w:t>×</w:t>
            </w:r>
            <w:r>
              <w:rPr>
                <w:rFonts w:hint="eastAsia" w:eastAsia="仿宋"/>
                <w:sz w:val="24"/>
                <w:lang w:val="en-US" w:eastAsia="zh-CN"/>
              </w:rPr>
              <w:t>6</w:t>
            </w:r>
            <w:r>
              <w:rPr>
                <w:rFonts w:hint="eastAsia" w:eastAsia="仿宋"/>
                <w:sz w:val="24"/>
              </w:rPr>
              <w:t>0</w:t>
            </w:r>
            <w:r>
              <w:rPr>
                <w:rFonts w:eastAsia="仿宋"/>
                <w:sz w:val="24"/>
              </w:rPr>
              <w:t>%</w:t>
            </w:r>
            <w:r>
              <w:rPr>
                <w:rFonts w:hint="eastAsia" w:eastAsia="仿宋"/>
                <w:sz w:val="24"/>
              </w:rPr>
              <w:t>=100）</w:t>
            </w:r>
          </w:p>
        </w:tc>
        <w:tc>
          <w:tcPr>
            <w:tcW w:w="1921" w:type="dxa"/>
            <w:shd w:val="clear" w:color="auto" w:fill="auto"/>
            <w:vAlign w:val="center"/>
          </w:tcPr>
          <w:p w14:paraId="557C1BF2">
            <w:pPr>
              <w:snapToGrid w:val="0"/>
              <w:spacing w:line="360" w:lineRule="auto"/>
              <w:jc w:val="center"/>
              <w:rPr>
                <w:rFonts w:ascii="仿宋" w:hAnsi="仿宋" w:eastAsia="仿宋"/>
                <w:sz w:val="24"/>
              </w:rPr>
            </w:pPr>
            <w:r>
              <w:rPr>
                <w:rFonts w:hint="eastAsia" w:ascii="仿宋" w:hAnsi="仿宋" w:eastAsia="仿宋"/>
                <w:sz w:val="24"/>
              </w:rPr>
              <w:t>3</w:t>
            </w:r>
            <w:r>
              <w:rPr>
                <w:rFonts w:ascii="仿宋" w:hAnsi="仿宋" w:eastAsia="仿宋"/>
                <w:sz w:val="24"/>
              </w:rPr>
              <w:t>5</w:t>
            </w:r>
          </w:p>
        </w:tc>
        <w:tc>
          <w:tcPr>
            <w:tcW w:w="1701" w:type="dxa"/>
            <w:vAlign w:val="center"/>
          </w:tcPr>
          <w:p w14:paraId="1548FD3E">
            <w:pPr>
              <w:snapToGrid w:val="0"/>
              <w:spacing w:line="360" w:lineRule="auto"/>
              <w:jc w:val="center"/>
              <w:rPr>
                <w:rFonts w:ascii="仿宋" w:hAnsi="仿宋" w:eastAsia="仿宋"/>
                <w:sz w:val="24"/>
              </w:rPr>
            </w:pPr>
            <w:r>
              <w:rPr>
                <w:rFonts w:hint="eastAsia" w:ascii="仿宋" w:hAnsi="仿宋" w:eastAsia="仿宋"/>
                <w:sz w:val="24"/>
              </w:rPr>
              <w:t>4</w:t>
            </w:r>
            <w:r>
              <w:rPr>
                <w:rFonts w:ascii="仿宋" w:hAnsi="仿宋" w:eastAsia="仿宋"/>
                <w:sz w:val="24"/>
              </w:rPr>
              <w:t>0</w:t>
            </w:r>
          </w:p>
        </w:tc>
        <w:tc>
          <w:tcPr>
            <w:tcW w:w="1984" w:type="dxa"/>
            <w:vAlign w:val="center"/>
          </w:tcPr>
          <w:p w14:paraId="2C27DD56">
            <w:pPr>
              <w:snapToGrid w:val="0"/>
              <w:spacing w:line="360" w:lineRule="auto"/>
              <w:jc w:val="center"/>
              <w:rPr>
                <w:rFonts w:ascii="仿宋" w:hAnsi="仿宋" w:eastAsia="仿宋"/>
                <w:sz w:val="24"/>
              </w:rPr>
            </w:pPr>
            <w:r>
              <w:rPr>
                <w:rFonts w:hint="eastAsia" w:ascii="仿宋" w:hAnsi="仿宋" w:eastAsia="仿宋"/>
                <w:sz w:val="24"/>
              </w:rPr>
              <w:t>2</w:t>
            </w:r>
            <w:r>
              <w:rPr>
                <w:rFonts w:ascii="仿宋" w:hAnsi="仿宋" w:eastAsia="仿宋"/>
                <w:sz w:val="24"/>
              </w:rPr>
              <w:t>5</w:t>
            </w:r>
          </w:p>
        </w:tc>
      </w:tr>
    </w:tbl>
    <w:p w14:paraId="70949597">
      <w:pPr>
        <w:snapToGrid w:val="0"/>
        <w:spacing w:line="360" w:lineRule="auto"/>
        <w:rPr>
          <w:rFonts w:ascii="仿宋" w:hAnsi="仿宋" w:eastAsia="仿宋"/>
          <w:b/>
          <w:color w:val="000000"/>
          <w:sz w:val="24"/>
        </w:rPr>
      </w:pPr>
    </w:p>
    <w:p w14:paraId="09A7DE6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080B4EC4">
      <w:pPr>
        <w:snapToGrid w:val="0"/>
        <w:spacing w:line="30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（该课程为理论课程无需填写。）</w:t>
      </w:r>
    </w:p>
    <w:p w14:paraId="34D95DAA">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11EB1FE6">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04336591">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42CC2931">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2D551B83">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350D3AD8">
      <w:pPr>
        <w:snapToGrid w:val="0"/>
        <w:spacing w:line="300" w:lineRule="auto"/>
        <w:ind w:firstLine="482" w:firstLineChars="200"/>
        <w:rPr>
          <w:rFonts w:ascii="仿宋" w:hAnsi="仿宋" w:eastAsia="仿宋"/>
          <w:b/>
          <w:bCs/>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1.理解课程框架与目标。</w:t>
      </w:r>
    </w:p>
    <w:p w14:paraId="57974A88">
      <w:pPr>
        <w:snapToGrid w:val="0"/>
        <w:spacing w:line="30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明确课程目标：在开始学习之前，了解课程的主要教学内容、教学目标和预期的学习成果。这将有助于你更好地规划自己的学习路径。</w:t>
      </w:r>
    </w:p>
    <w:p w14:paraId="621329FB">
      <w:pPr>
        <w:snapToGrid w:val="0"/>
        <w:spacing w:line="30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理解课程结构：政治经济学课程通常包含多个模块，如商品、货币、剩余价值、利润、地租等。理解每个模块之间的关系和逻辑顺序，有助于你构建完整的知识体系。</w:t>
      </w:r>
    </w:p>
    <w:p w14:paraId="143E7593">
      <w:pPr>
        <w:snapToGrid w:val="0"/>
        <w:spacing w:line="300" w:lineRule="auto"/>
        <w:ind w:firstLine="482" w:firstLineChars="200"/>
        <w:rPr>
          <w:rFonts w:ascii="仿宋" w:hAnsi="仿宋" w:eastAsia="仿宋"/>
          <w:b/>
          <w:bCs/>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2.注重理论与实践结合。</w:t>
      </w:r>
    </w:p>
    <w:p w14:paraId="3B3157C1">
      <w:pPr>
        <w:snapToGrid w:val="0"/>
        <w:spacing w:line="30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加强研究和探索，加强对规律性认识的总结，将理论与实践相结合，以改革开放取得的成就为契机，不断完善中国特色社会主义政治经济学理论体系，推进充分体现中国特色的经济学科建设。</w:t>
      </w:r>
    </w:p>
    <w:p w14:paraId="6F00484C">
      <w:pPr>
        <w:snapToGrid w:val="0"/>
        <w:spacing w:line="300" w:lineRule="auto"/>
        <w:ind w:firstLine="482" w:firstLineChars="200"/>
        <w:rPr>
          <w:rFonts w:ascii="仿宋" w:hAnsi="仿宋" w:eastAsia="仿宋"/>
          <w:b/>
          <w:bCs/>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3.积极参与课堂与讨论。</w:t>
      </w:r>
    </w:p>
    <w:p w14:paraId="2642BA80">
      <w:pPr>
        <w:snapToGrid w:val="0"/>
        <w:spacing w:line="30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课堂参与：积极参与课堂讨论，与老师和同学分享你的想法和见解。这不仅可以加深你对知识的理解，还可以提高你的表达能力和沟通能力。小组讨论：政治经济课程中的很多内容适合小组讨论。与小组成员共同学习、探讨，可以拓宽你的思维，并从不同的角度理解问题。</w:t>
      </w:r>
    </w:p>
    <w:p w14:paraId="68F98D99">
      <w:pPr>
        <w:snapToGrid w:val="0"/>
        <w:spacing w:line="300" w:lineRule="auto"/>
        <w:ind w:firstLine="482" w:firstLineChars="200"/>
        <w:rPr>
          <w:rFonts w:ascii="仿宋" w:hAnsi="仿宋" w:eastAsia="仿宋"/>
          <w:b/>
          <w:bCs/>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4.提升自主学习与探索能力。</w:t>
      </w:r>
    </w:p>
    <w:p w14:paraId="48BA2343">
      <w:pPr>
        <w:snapToGrid w:val="0"/>
        <w:spacing w:line="30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自主阅读：除了课堂讲解和教材外，建议自主阅读相关书籍、文章和报告。这有助于你更全面地了解政治经济学领域的知识和动态。</w:t>
      </w:r>
    </w:p>
    <w:p w14:paraId="27E7A4C5">
      <w:pPr>
        <w:snapToGrid w:val="0"/>
        <w:spacing w:line="30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在线学习：利用互联网资源进行学习，如观看在线课程、参加线上讲座等。这些资源可以为你提供多样化的学习方式和视角。</w:t>
      </w:r>
    </w:p>
    <w:p w14:paraId="78C54BFE">
      <w:pPr>
        <w:snapToGrid w:val="0"/>
        <w:spacing w:line="300" w:lineRule="auto"/>
        <w:ind w:firstLine="482" w:firstLineChars="200"/>
        <w:rPr>
          <w:rFonts w:ascii="仿宋" w:hAnsi="仿宋" w:eastAsia="仿宋"/>
          <w:b/>
          <w:bCs/>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5.建立持续学习与反思的习惯。</w:t>
      </w:r>
    </w:p>
    <w:p w14:paraId="44014D87">
      <w:pPr>
        <w:snapToGrid w:val="0"/>
        <w:spacing w:line="30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定期复习：政治经济学课程的知识点较多，建议定期复习已学内容，巩固基础知识。</w:t>
      </w:r>
    </w:p>
    <w:p w14:paraId="0108106F">
      <w:pPr>
        <w:snapToGrid w:val="0"/>
        <w:spacing w:line="30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反思总结：每次学习后，进行反思和总结，思考自己的收获和不足。这有助于你不断完善自己的学习方法和提高学习效果。</w:t>
      </w:r>
    </w:p>
    <w:bookmarkEnd w:id="1"/>
    <w:p w14:paraId="75D368E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4A6C3F45">
      <w:pPr>
        <w:spacing w:line="360" w:lineRule="auto"/>
        <w:ind w:firstLine="482" w:firstLineChars="200"/>
        <w:rPr>
          <w:rFonts w:eastAsia="仿宋"/>
          <w:b/>
          <w:color w:val="000000"/>
          <w:sz w:val="24"/>
        </w:rPr>
      </w:pPr>
      <w:r>
        <w:rPr>
          <w:rFonts w:eastAsia="仿宋"/>
          <w:b/>
          <w:color w:val="000000"/>
          <w:sz w:val="24"/>
        </w:rPr>
        <w:t>1．教材</w:t>
      </w:r>
    </w:p>
    <w:tbl>
      <w:tblPr>
        <w:tblStyle w:val="10"/>
        <w:tblW w:w="8529" w:type="dxa"/>
        <w:tblInd w:w="0" w:type="dxa"/>
        <w:tblLayout w:type="fixed"/>
        <w:tblCellMar>
          <w:top w:w="0" w:type="dxa"/>
          <w:left w:w="108" w:type="dxa"/>
          <w:bottom w:w="0" w:type="dxa"/>
          <w:right w:w="108" w:type="dxa"/>
        </w:tblCellMar>
      </w:tblPr>
      <w:tblGrid>
        <w:gridCol w:w="1413"/>
        <w:gridCol w:w="992"/>
        <w:gridCol w:w="1134"/>
        <w:gridCol w:w="1134"/>
        <w:gridCol w:w="1134"/>
        <w:gridCol w:w="1134"/>
        <w:gridCol w:w="1588"/>
      </w:tblGrid>
      <w:tr w14:paraId="4C983B21">
        <w:tblPrEx>
          <w:tblCellMar>
            <w:top w:w="0" w:type="dxa"/>
            <w:left w:w="108" w:type="dxa"/>
            <w:bottom w:w="0" w:type="dxa"/>
            <w:right w:w="108" w:type="dxa"/>
          </w:tblCellMar>
        </w:tblPrEx>
        <w:trPr>
          <w:trHeight w:val="55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4181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D75B6">
            <w:pPr>
              <w:widowControl/>
              <w:jc w:val="center"/>
              <w:textAlignment w:val="center"/>
              <w:rPr>
                <w:rFonts w:ascii="宋体" w:hAnsi="宋体" w:cs="宋体"/>
                <w:b/>
                <w:bCs/>
                <w:color w:val="000000"/>
                <w:sz w:val="20"/>
                <w:szCs w:val="20"/>
              </w:rPr>
            </w:pPr>
            <w:r>
              <w:rPr>
                <w:rStyle w:val="25"/>
                <w:rFonts w:hint="default"/>
                <w:lang w:bidi="ar"/>
              </w:rPr>
              <w:t>版次</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99FE8">
            <w:pPr>
              <w:widowControl/>
              <w:jc w:val="center"/>
              <w:textAlignment w:val="center"/>
              <w:rPr>
                <w:rFonts w:ascii="宋体" w:hAnsi="宋体" w:cs="宋体"/>
                <w:b/>
                <w:bCs/>
                <w:color w:val="000000"/>
                <w:sz w:val="20"/>
                <w:szCs w:val="20"/>
              </w:rPr>
            </w:pPr>
            <w:r>
              <w:rPr>
                <w:rStyle w:val="27"/>
                <w:rFonts w:hint="default"/>
                <w:lang w:bidi="ar"/>
              </w:rPr>
              <w:t>印次</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86A7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A03C5">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658B">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828D">
            <w:pPr>
              <w:widowControl/>
              <w:jc w:val="center"/>
              <w:textAlignment w:val="center"/>
              <w:rPr>
                <w:rFonts w:ascii="宋体" w:hAnsi="宋体" w:cs="宋体"/>
                <w:b/>
                <w:bCs/>
                <w:color w:val="000000"/>
                <w:sz w:val="20"/>
                <w:szCs w:val="20"/>
              </w:rPr>
            </w:pPr>
            <w:r>
              <w:rPr>
                <w:rStyle w:val="27"/>
                <w:rFonts w:hint="default"/>
                <w:lang w:bidi="ar"/>
              </w:rPr>
              <w:t>教材级别</w:t>
            </w:r>
          </w:p>
        </w:tc>
      </w:tr>
      <w:tr w14:paraId="1E7E591D">
        <w:tblPrEx>
          <w:tblCellMar>
            <w:top w:w="0" w:type="dxa"/>
            <w:left w:w="108" w:type="dxa"/>
            <w:bottom w:w="0" w:type="dxa"/>
            <w:right w:w="108" w:type="dxa"/>
          </w:tblCellMar>
        </w:tblPrEx>
        <w:trPr>
          <w:trHeight w:val="49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14E03">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现代政治经济学新编（通用版第六版）</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A8795">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202</w:t>
            </w:r>
            <w:r>
              <w:rPr>
                <w:rFonts w:ascii="仿宋" w:hAnsi="仿宋" w:eastAsia="仿宋"/>
                <w:color w:val="000000" w:themeColor="text1"/>
                <w:sz w:val="24"/>
                <w14:textFill>
                  <w14:solidFill>
                    <w14:schemeClr w14:val="tx1"/>
                  </w14:solidFill>
                </w14:textFill>
              </w:rPr>
              <w:t>2</w:t>
            </w:r>
            <w:r>
              <w:rPr>
                <w:rFonts w:hint="eastAsia" w:ascii="仿宋" w:hAnsi="仿宋" w:eastAsia="仿宋"/>
                <w:color w:val="000000" w:themeColor="text1"/>
                <w:sz w:val="24"/>
                <w14:textFill>
                  <w14:solidFill>
                    <w14:schemeClr w14:val="tx1"/>
                  </w14:solidFill>
                </w14:textFill>
              </w:rPr>
              <w:t>年4月第</w:t>
            </w:r>
            <w:r>
              <w:rPr>
                <w:rFonts w:ascii="仿宋" w:hAnsi="仿宋" w:eastAsia="仿宋"/>
                <w:color w:val="000000" w:themeColor="text1"/>
                <w:sz w:val="24"/>
                <w14:textFill>
                  <w14:solidFill>
                    <w14:schemeClr w14:val="tx1"/>
                  </w14:solidFill>
                </w14:textFill>
              </w:rPr>
              <w:t>6</w:t>
            </w:r>
            <w:r>
              <w:rPr>
                <w:rFonts w:hint="eastAsia" w:ascii="仿宋" w:hAnsi="仿宋" w:eastAsia="仿宋"/>
                <w:color w:val="000000" w:themeColor="text1"/>
                <w:sz w:val="24"/>
                <w14:textFill>
                  <w14:solidFill>
                    <w14:schemeClr w14:val="tx1"/>
                  </w14:solidFill>
                </w14:textFill>
              </w:rPr>
              <w:t>版</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02556">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202</w:t>
            </w:r>
            <w:r>
              <w:rPr>
                <w:rFonts w:ascii="仿宋" w:hAnsi="仿宋" w:eastAsia="仿宋"/>
                <w:color w:val="000000" w:themeColor="text1"/>
                <w:sz w:val="24"/>
                <w14:textFill>
                  <w14:solidFill>
                    <w14:schemeClr w14:val="tx1"/>
                  </w14:solidFill>
                </w14:textFill>
              </w:rPr>
              <w:t>2</w:t>
            </w:r>
            <w:r>
              <w:rPr>
                <w:rFonts w:hint="eastAsia" w:ascii="仿宋" w:hAnsi="仿宋" w:eastAsia="仿宋"/>
                <w:color w:val="000000" w:themeColor="text1"/>
                <w:sz w:val="24"/>
                <w14:textFill>
                  <w14:solidFill>
                    <w14:schemeClr w14:val="tx1"/>
                  </w14:solidFill>
                </w14:textFill>
              </w:rPr>
              <w:t>年4月第1次印刷</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535A7">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程恩富；冯金华；马艳</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8003E">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上海财经大学</w:t>
            </w:r>
            <w:r>
              <w:rPr>
                <w:rFonts w:ascii="仿宋" w:hAnsi="仿宋" w:eastAsia="仿宋"/>
                <w:color w:val="000000" w:themeColor="text1"/>
                <w:sz w:val="24"/>
                <w14:textFill>
                  <w14:solidFill>
                    <w14:schemeClr w14:val="tx1"/>
                  </w14:solidFill>
                </w14:textFill>
              </w:rPr>
              <w:t>出版社</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0352">
            <w:pPr>
              <w:widowControl/>
              <w:jc w:val="center"/>
              <w:textAlignment w:val="center"/>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9787</w:t>
            </w:r>
            <w:r>
              <w:rPr>
                <w:rFonts w:hint="eastAsia" w:ascii="仿宋" w:hAnsi="仿宋" w:eastAsia="仿宋"/>
                <w:color w:val="000000" w:themeColor="text1"/>
                <w:sz w:val="24"/>
                <w14:textFill>
                  <w14:solidFill>
                    <w14:schemeClr w14:val="tx1"/>
                  </w14:solidFill>
                </w14:textFill>
              </w:rPr>
              <w:t>5642</w:t>
            </w:r>
            <w:r>
              <w:rPr>
                <w:rFonts w:ascii="仿宋" w:hAnsi="仿宋" w:eastAsia="仿宋"/>
                <w:color w:val="000000" w:themeColor="text1"/>
                <w:sz w:val="24"/>
                <w14:textFill>
                  <w14:solidFill>
                    <w14:schemeClr w14:val="tx1"/>
                  </w14:solidFill>
                </w14:textFill>
              </w:rPr>
              <w:t>41544</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22E7D">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高等院校经济学管理学精品规划教材</w:t>
            </w:r>
          </w:p>
        </w:tc>
      </w:tr>
    </w:tbl>
    <w:p w14:paraId="702D6FFE">
      <w:pPr>
        <w:spacing w:line="360" w:lineRule="auto"/>
        <w:ind w:firstLine="482" w:firstLineChars="200"/>
        <w:rPr>
          <w:rFonts w:eastAsia="仿宋"/>
          <w:b/>
          <w:color w:val="000000"/>
          <w:sz w:val="24"/>
        </w:rPr>
      </w:pPr>
    </w:p>
    <w:p w14:paraId="1A2E67E6">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10"/>
        <w:tblW w:w="8522" w:type="dxa"/>
        <w:tblInd w:w="0" w:type="dxa"/>
        <w:tblLayout w:type="fixed"/>
        <w:tblCellMar>
          <w:top w:w="0" w:type="dxa"/>
          <w:left w:w="108" w:type="dxa"/>
          <w:bottom w:w="0" w:type="dxa"/>
          <w:right w:w="108" w:type="dxa"/>
        </w:tblCellMar>
      </w:tblPr>
      <w:tblGrid>
        <w:gridCol w:w="417"/>
        <w:gridCol w:w="971"/>
        <w:gridCol w:w="957"/>
        <w:gridCol w:w="1057"/>
        <w:gridCol w:w="1019"/>
        <w:gridCol w:w="860"/>
        <w:gridCol w:w="1274"/>
        <w:gridCol w:w="1967"/>
      </w:tblGrid>
      <w:tr w14:paraId="704E98ED">
        <w:tblPrEx>
          <w:tblCellMar>
            <w:top w:w="0" w:type="dxa"/>
            <w:left w:w="108" w:type="dxa"/>
            <w:bottom w:w="0" w:type="dxa"/>
            <w:right w:w="108" w:type="dxa"/>
          </w:tblCellMar>
        </w:tblPrEx>
        <w:trPr>
          <w:trHeight w:val="55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4A984">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7E0F5">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DCCBA">
            <w:pPr>
              <w:widowControl/>
              <w:jc w:val="center"/>
              <w:textAlignment w:val="center"/>
              <w:rPr>
                <w:rFonts w:ascii="宋体" w:hAnsi="宋体" w:cs="宋体"/>
                <w:b/>
                <w:bCs/>
                <w:color w:val="000000"/>
                <w:sz w:val="20"/>
                <w:szCs w:val="20"/>
              </w:rPr>
            </w:pPr>
            <w:r>
              <w:rPr>
                <w:rStyle w:val="25"/>
                <w:rFonts w:hint="default"/>
                <w:lang w:bidi="ar"/>
              </w:rPr>
              <w:t>版次</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E9FA">
            <w:pPr>
              <w:widowControl/>
              <w:jc w:val="center"/>
              <w:textAlignment w:val="center"/>
              <w:rPr>
                <w:rFonts w:ascii="宋体" w:hAnsi="宋体" w:cs="宋体"/>
                <w:b/>
                <w:bCs/>
                <w:color w:val="000000"/>
                <w:sz w:val="20"/>
                <w:szCs w:val="20"/>
              </w:rPr>
            </w:pPr>
            <w:r>
              <w:rPr>
                <w:rStyle w:val="27"/>
                <w:rFonts w:hint="default"/>
                <w:lang w:bidi="ar"/>
              </w:rPr>
              <w:t>印次</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3FB5C">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E9C3C">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A342">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FEAC6">
            <w:pPr>
              <w:widowControl/>
              <w:jc w:val="center"/>
              <w:textAlignment w:val="center"/>
              <w:rPr>
                <w:rFonts w:ascii="宋体" w:hAnsi="宋体" w:cs="宋体"/>
                <w:b/>
                <w:bCs/>
                <w:color w:val="000000"/>
                <w:sz w:val="20"/>
                <w:szCs w:val="20"/>
              </w:rPr>
            </w:pPr>
            <w:r>
              <w:rPr>
                <w:rStyle w:val="27"/>
                <w:rFonts w:hint="default"/>
                <w:lang w:bidi="ar"/>
              </w:rPr>
              <w:t>教材级别</w:t>
            </w:r>
          </w:p>
        </w:tc>
      </w:tr>
      <w:tr w14:paraId="10990508">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DA4A0">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5096">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政治经济学</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D68C0">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2021年6月第</w:t>
            </w:r>
            <w:r>
              <w:rPr>
                <w:rFonts w:ascii="仿宋" w:hAnsi="仿宋" w:eastAsia="仿宋"/>
                <w:color w:val="000000" w:themeColor="text1"/>
                <w:sz w:val="24"/>
                <w14:textFill>
                  <w14:solidFill>
                    <w14:schemeClr w14:val="tx1"/>
                  </w14:solidFill>
                </w14:textFill>
              </w:rPr>
              <w:t>5</w:t>
            </w:r>
            <w:r>
              <w:rPr>
                <w:rFonts w:hint="eastAsia" w:ascii="仿宋" w:hAnsi="仿宋" w:eastAsia="仿宋"/>
                <w:color w:val="000000" w:themeColor="text1"/>
                <w:sz w:val="24"/>
                <w14:textFill>
                  <w14:solidFill>
                    <w14:schemeClr w14:val="tx1"/>
                  </w14:solidFill>
                </w14:textFill>
              </w:rPr>
              <w:t>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87AEC">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2021年6月第1次印刷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07C3D">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刘诗白</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AF519">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西南财经大学出版社</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977C2">
            <w:pPr>
              <w:widowControl/>
              <w:jc w:val="center"/>
              <w:textAlignment w:val="center"/>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9787</w:t>
            </w:r>
            <w:r>
              <w:rPr>
                <w:rFonts w:hint="eastAsia" w:ascii="仿宋" w:hAnsi="仿宋" w:eastAsia="仿宋"/>
                <w:color w:val="000000" w:themeColor="text1"/>
                <w:sz w:val="24"/>
                <w14:textFill>
                  <w14:solidFill>
                    <w14:schemeClr w14:val="tx1"/>
                  </w14:solidFill>
                </w14:textFill>
              </w:rPr>
              <w:t>550434820</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3FF61">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《十三五》国家重点出版物出版规划项目经济科学译丛</w:t>
            </w:r>
          </w:p>
        </w:tc>
      </w:tr>
      <w:tr w14:paraId="7AECB506">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2C0BF">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94C1C">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政治经济学-当代视角</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99726">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202</w:t>
            </w:r>
            <w:r>
              <w:rPr>
                <w:rFonts w:ascii="仿宋" w:hAnsi="仿宋" w:eastAsia="仿宋"/>
                <w:color w:val="000000" w:themeColor="text1"/>
                <w:sz w:val="24"/>
                <w14:textFill>
                  <w14:solidFill>
                    <w14:schemeClr w14:val="tx1"/>
                  </w14:solidFill>
                </w14:textFill>
              </w:rPr>
              <w:t>2</w:t>
            </w:r>
            <w:r>
              <w:rPr>
                <w:rFonts w:hint="eastAsia" w:ascii="仿宋" w:hAnsi="仿宋" w:eastAsia="仿宋"/>
                <w:color w:val="000000" w:themeColor="text1"/>
                <w:sz w:val="24"/>
                <w14:textFill>
                  <w14:solidFill>
                    <w14:schemeClr w14:val="tx1"/>
                  </w14:solidFill>
                </w14:textFill>
              </w:rPr>
              <w:t>年3月第</w:t>
            </w:r>
            <w:r>
              <w:rPr>
                <w:rFonts w:ascii="仿宋" w:hAnsi="仿宋" w:eastAsia="仿宋"/>
                <w:color w:val="000000" w:themeColor="text1"/>
                <w:sz w:val="24"/>
                <w14:textFill>
                  <w14:solidFill>
                    <w14:schemeClr w14:val="tx1"/>
                  </w14:solidFill>
                </w14:textFill>
              </w:rPr>
              <w:t>2</w:t>
            </w:r>
            <w:r>
              <w:rPr>
                <w:rFonts w:hint="eastAsia" w:ascii="仿宋" w:hAnsi="仿宋" w:eastAsia="仿宋"/>
                <w:color w:val="000000" w:themeColor="text1"/>
                <w:sz w:val="24"/>
                <w14:textFill>
                  <w14:solidFill>
                    <w14:schemeClr w14:val="tx1"/>
                  </w14:solidFill>
                </w14:textFill>
              </w:rPr>
              <w:t>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889DD">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202</w:t>
            </w:r>
            <w:r>
              <w:rPr>
                <w:rFonts w:ascii="仿宋" w:hAnsi="仿宋" w:eastAsia="仿宋"/>
                <w:color w:val="000000" w:themeColor="text1"/>
                <w:sz w:val="24"/>
                <w14:textFill>
                  <w14:solidFill>
                    <w14:schemeClr w14:val="tx1"/>
                  </w14:solidFill>
                </w14:textFill>
              </w:rPr>
              <w:t>2</w:t>
            </w:r>
            <w:r>
              <w:rPr>
                <w:rFonts w:hint="eastAsia" w:ascii="仿宋" w:hAnsi="仿宋" w:eastAsia="仿宋"/>
                <w:color w:val="000000" w:themeColor="text1"/>
                <w:sz w:val="24"/>
                <w14:textFill>
                  <w14:solidFill>
                    <w14:schemeClr w14:val="tx1"/>
                  </w14:solidFill>
                </w14:textFill>
              </w:rPr>
              <w:t>年3月第1次印刷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D9CE7">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张俊山</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93DE7">
            <w:pPr>
              <w:widowControl/>
              <w:jc w:val="center"/>
              <w:textAlignment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清华大学出版社</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8CE05">
            <w:pPr>
              <w:widowControl/>
              <w:jc w:val="center"/>
              <w:textAlignment w:val="center"/>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978</w:t>
            </w:r>
            <w:r>
              <w:rPr>
                <w:rFonts w:hint="eastAsia" w:ascii="仿宋" w:hAnsi="仿宋" w:eastAsia="仿宋"/>
                <w:color w:val="000000" w:themeColor="text1"/>
                <w:sz w:val="24"/>
                <w14:textFill>
                  <w14:solidFill>
                    <w14:schemeClr w14:val="tx1"/>
                  </w14:solidFill>
                </w14:textFill>
              </w:rPr>
              <w:t>7302410669</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4361D">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高等学校经济管理类核心课程教材</w:t>
            </w:r>
          </w:p>
        </w:tc>
      </w:tr>
    </w:tbl>
    <w:p w14:paraId="78721D60">
      <w:pPr>
        <w:spacing w:line="360" w:lineRule="auto"/>
        <w:ind w:firstLine="480" w:firstLineChars="200"/>
        <w:jc w:val="left"/>
        <w:rPr>
          <w:rFonts w:eastAsia="仿宋"/>
          <w:color w:val="000000"/>
          <w:sz w:val="24"/>
        </w:rPr>
      </w:pPr>
    </w:p>
    <w:p w14:paraId="4CDDF764">
      <w:pPr>
        <w:spacing w:line="360" w:lineRule="auto"/>
        <w:ind w:firstLine="482" w:firstLineChars="200"/>
        <w:rPr>
          <w:rFonts w:eastAsia="仿宋"/>
          <w:color w:val="808080"/>
          <w:sz w:val="24"/>
        </w:rPr>
      </w:pPr>
      <w:r>
        <w:rPr>
          <w:rFonts w:eastAsia="仿宋"/>
          <w:b/>
          <w:sz w:val="24"/>
        </w:rPr>
        <w:t>3．其他学习资源</w:t>
      </w:r>
    </w:p>
    <w:p w14:paraId="12F44DBF">
      <w:pPr>
        <w:spacing w:line="360" w:lineRule="auto"/>
        <w:jc w:val="left"/>
        <w:rPr>
          <w:rFonts w:eastAsia="仿宋"/>
          <w:color w:val="000000"/>
          <w:sz w:val="24"/>
        </w:rPr>
      </w:pPr>
      <w:r>
        <w:rPr>
          <w:rFonts w:hint="eastAsia" w:eastAsia="仿宋"/>
          <w:color w:val="000000"/>
          <w:sz w:val="24"/>
        </w:rPr>
        <w:t>《政治经济学》</w:t>
      </w:r>
      <w:r>
        <w:rPr>
          <w:rFonts w:eastAsia="仿宋"/>
          <w:color w:val="000000"/>
          <w:sz w:val="24"/>
        </w:rPr>
        <w:t>，</w:t>
      </w:r>
      <w:r>
        <w:rPr>
          <w:rFonts w:hint="eastAsia" w:eastAsia="仿宋"/>
          <w:color w:val="000000"/>
          <w:sz w:val="24"/>
        </w:rPr>
        <w:t>上海财经大学</w:t>
      </w:r>
      <w:r>
        <w:rPr>
          <w:rFonts w:eastAsia="仿宋"/>
          <w:color w:val="000000"/>
          <w:sz w:val="24"/>
        </w:rPr>
        <w:t>，</w:t>
      </w:r>
      <w:r>
        <w:fldChar w:fldCharType="begin"/>
      </w:r>
      <w:r>
        <w:instrText xml:space="preserve"> HYPERLINK "https://www.bilibili.com/video/BV1ik4y1272e/?spm_id_from=333.337.search-card.all.click&amp;vd_source=fd1c368516c341d1b84eb2dd4c7abbdc" </w:instrText>
      </w:r>
      <w:r>
        <w:fldChar w:fldCharType="separate"/>
      </w:r>
      <w:r>
        <w:rPr>
          <w:rStyle w:val="13"/>
          <w:rFonts w:eastAsia="仿宋"/>
          <w:sz w:val="24"/>
        </w:rPr>
        <w:t>https://www.bilibili.com/video/BV1ik4y1272e/?spm_id_from=333.337.search-card.all.click&amp;vd_source=fd1c368516c341d1b84eb2dd4c7abbdc</w:t>
      </w:r>
      <w:r>
        <w:rPr>
          <w:rStyle w:val="13"/>
          <w:rFonts w:eastAsia="仿宋"/>
          <w:sz w:val="24"/>
        </w:rPr>
        <w:fldChar w:fldCharType="end"/>
      </w:r>
    </w:p>
    <w:p w14:paraId="799C1920">
      <w:pPr>
        <w:spacing w:line="360" w:lineRule="auto"/>
        <w:jc w:val="left"/>
        <w:rPr>
          <w:rFonts w:eastAsia="仿宋"/>
          <w:color w:val="000000"/>
          <w:sz w:val="24"/>
        </w:rPr>
      </w:pPr>
      <w:r>
        <w:rPr>
          <w:rFonts w:eastAsia="仿宋"/>
          <w:color w:val="000000"/>
          <w:sz w:val="24"/>
        </w:rPr>
        <w:t>南开大学</w:t>
      </w:r>
      <w:r>
        <w:rPr>
          <w:rFonts w:hint="eastAsia" w:eastAsia="仿宋"/>
          <w:color w:val="000000"/>
          <w:sz w:val="24"/>
        </w:rPr>
        <w:t>，《</w:t>
      </w:r>
      <w:r>
        <w:rPr>
          <w:rFonts w:eastAsia="仿宋"/>
          <w:color w:val="000000"/>
          <w:sz w:val="24"/>
        </w:rPr>
        <w:t>政治经济学</w:t>
      </w:r>
      <w:r>
        <w:rPr>
          <w:rFonts w:hint="eastAsia" w:eastAsia="仿宋"/>
          <w:color w:val="000000"/>
          <w:sz w:val="24"/>
        </w:rPr>
        <w:t>》</w:t>
      </w:r>
    </w:p>
    <w:p w14:paraId="72D318E7">
      <w:pPr>
        <w:spacing w:line="360" w:lineRule="auto"/>
        <w:jc w:val="left"/>
        <w:rPr>
          <w:rFonts w:eastAsia="仿宋"/>
          <w:color w:val="000000"/>
          <w:sz w:val="24"/>
        </w:rPr>
      </w:pPr>
      <w:r>
        <w:fldChar w:fldCharType="begin"/>
      </w:r>
      <w:r>
        <w:instrText xml:space="preserve"> HYPERLINK "https://www.bilibili.com/video/BV1NZ4y1f7Eb/?spm_id_from=333.337.search-card.all.click&amp;vd_source=fd1c368516c341d1b84eb2dd4c7abbdc" </w:instrText>
      </w:r>
      <w:r>
        <w:fldChar w:fldCharType="separate"/>
      </w:r>
      <w:r>
        <w:rPr>
          <w:rStyle w:val="13"/>
          <w:rFonts w:eastAsia="仿宋"/>
          <w:sz w:val="24"/>
        </w:rPr>
        <w:t>https://www.bilibili.com/video/BV1NZ4y1f7Eb/?spm_id_from=333.337.search-card.all.click&amp;vd_source=fd1c368516c341d1b84eb2dd4c7abbdc</w:t>
      </w:r>
      <w:r>
        <w:rPr>
          <w:rStyle w:val="13"/>
          <w:rFonts w:eastAsia="仿宋"/>
          <w:sz w:val="24"/>
        </w:rPr>
        <w:fldChar w:fldCharType="end"/>
      </w:r>
    </w:p>
    <w:p w14:paraId="4B245493">
      <w:pPr>
        <w:spacing w:line="360" w:lineRule="auto"/>
        <w:jc w:val="left"/>
        <w:rPr>
          <w:rFonts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2B6B3A"/>
    <w:multiLevelType w:val="singleLevel"/>
    <w:tmpl w:val="762B6B3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2N2RmNWQ5NmM5ZWE3MDE0ZGI5OWQxNTY2ZGMyMmIifQ=="/>
  </w:docVars>
  <w:rsids>
    <w:rsidRoot w:val="005844B9"/>
    <w:rsid w:val="00004364"/>
    <w:rsid w:val="00005B6C"/>
    <w:rsid w:val="000067BE"/>
    <w:rsid w:val="000103ED"/>
    <w:rsid w:val="00012188"/>
    <w:rsid w:val="00014F13"/>
    <w:rsid w:val="000163D1"/>
    <w:rsid w:val="00022E52"/>
    <w:rsid w:val="00023FDF"/>
    <w:rsid w:val="00026842"/>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19B7"/>
    <w:rsid w:val="000D6483"/>
    <w:rsid w:val="000E1351"/>
    <w:rsid w:val="000E2177"/>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4DBB"/>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48C8"/>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1CAF"/>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2EC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B08"/>
    <w:rsid w:val="005B2EF3"/>
    <w:rsid w:val="005C0931"/>
    <w:rsid w:val="005C142D"/>
    <w:rsid w:val="005C46F2"/>
    <w:rsid w:val="005C5566"/>
    <w:rsid w:val="005D1AEF"/>
    <w:rsid w:val="005D2958"/>
    <w:rsid w:val="005D48A4"/>
    <w:rsid w:val="005D77CF"/>
    <w:rsid w:val="005E00C3"/>
    <w:rsid w:val="005E1F09"/>
    <w:rsid w:val="005E5170"/>
    <w:rsid w:val="005F4048"/>
    <w:rsid w:val="005F570E"/>
    <w:rsid w:val="0060122E"/>
    <w:rsid w:val="00602E3C"/>
    <w:rsid w:val="00610A69"/>
    <w:rsid w:val="00611E78"/>
    <w:rsid w:val="00614522"/>
    <w:rsid w:val="00615CDF"/>
    <w:rsid w:val="0061621B"/>
    <w:rsid w:val="00616560"/>
    <w:rsid w:val="00616992"/>
    <w:rsid w:val="0062215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1F7"/>
    <w:rsid w:val="006C2FBD"/>
    <w:rsid w:val="006C462B"/>
    <w:rsid w:val="006C4821"/>
    <w:rsid w:val="006C772E"/>
    <w:rsid w:val="006C7B29"/>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36000"/>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34CA"/>
    <w:rsid w:val="00884B7E"/>
    <w:rsid w:val="00886798"/>
    <w:rsid w:val="00893713"/>
    <w:rsid w:val="008A1280"/>
    <w:rsid w:val="008A5B54"/>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09D2"/>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1A97"/>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1F8E"/>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0742E"/>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08C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1C64"/>
    <w:rsid w:val="00CE35DE"/>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0353"/>
    <w:rsid w:val="00D93C6E"/>
    <w:rsid w:val="00D93FCD"/>
    <w:rsid w:val="00D975E2"/>
    <w:rsid w:val="00DA0A0F"/>
    <w:rsid w:val="00DA0FE5"/>
    <w:rsid w:val="00DA233F"/>
    <w:rsid w:val="00DA2BD0"/>
    <w:rsid w:val="00DA3D7D"/>
    <w:rsid w:val="00DA542D"/>
    <w:rsid w:val="00DA5EA5"/>
    <w:rsid w:val="00DA6D78"/>
    <w:rsid w:val="00DB16BE"/>
    <w:rsid w:val="00DB7C6D"/>
    <w:rsid w:val="00DC0414"/>
    <w:rsid w:val="00DC54C6"/>
    <w:rsid w:val="00DC7833"/>
    <w:rsid w:val="00DD289E"/>
    <w:rsid w:val="00DD3072"/>
    <w:rsid w:val="00DD3A8F"/>
    <w:rsid w:val="00DD3E9C"/>
    <w:rsid w:val="00DD5BCE"/>
    <w:rsid w:val="00DE0F93"/>
    <w:rsid w:val="00DE6763"/>
    <w:rsid w:val="00DE6768"/>
    <w:rsid w:val="00DF38BF"/>
    <w:rsid w:val="00E028AF"/>
    <w:rsid w:val="00E05617"/>
    <w:rsid w:val="00E05B3E"/>
    <w:rsid w:val="00E1292A"/>
    <w:rsid w:val="00E14249"/>
    <w:rsid w:val="00E14726"/>
    <w:rsid w:val="00E147B1"/>
    <w:rsid w:val="00E16226"/>
    <w:rsid w:val="00E22117"/>
    <w:rsid w:val="00E27333"/>
    <w:rsid w:val="00E304F8"/>
    <w:rsid w:val="00E35D03"/>
    <w:rsid w:val="00E36244"/>
    <w:rsid w:val="00E375AD"/>
    <w:rsid w:val="00E37B94"/>
    <w:rsid w:val="00E42B1D"/>
    <w:rsid w:val="00E44073"/>
    <w:rsid w:val="00E444FE"/>
    <w:rsid w:val="00E44867"/>
    <w:rsid w:val="00E45C15"/>
    <w:rsid w:val="00E47797"/>
    <w:rsid w:val="00E57197"/>
    <w:rsid w:val="00E614CA"/>
    <w:rsid w:val="00E633C5"/>
    <w:rsid w:val="00E6790E"/>
    <w:rsid w:val="00E67993"/>
    <w:rsid w:val="00E67B81"/>
    <w:rsid w:val="00E77E8F"/>
    <w:rsid w:val="00E800BC"/>
    <w:rsid w:val="00E82659"/>
    <w:rsid w:val="00E84258"/>
    <w:rsid w:val="00E86896"/>
    <w:rsid w:val="00E87C5C"/>
    <w:rsid w:val="00E94995"/>
    <w:rsid w:val="00E971F3"/>
    <w:rsid w:val="00EA026D"/>
    <w:rsid w:val="00EA0A95"/>
    <w:rsid w:val="00EA4A83"/>
    <w:rsid w:val="00EA6354"/>
    <w:rsid w:val="00EA6F50"/>
    <w:rsid w:val="00EA737D"/>
    <w:rsid w:val="00EB038D"/>
    <w:rsid w:val="00EB22B1"/>
    <w:rsid w:val="00EB41AB"/>
    <w:rsid w:val="00EB479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3AD4"/>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0207"/>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99"/>
    <w:rsid w:val="00FC15F2"/>
    <w:rsid w:val="00FC4060"/>
    <w:rsid w:val="00FD6667"/>
    <w:rsid w:val="00FE2EE1"/>
    <w:rsid w:val="00FE753B"/>
    <w:rsid w:val="00FF0B26"/>
    <w:rsid w:val="00FF23FD"/>
    <w:rsid w:val="00FF7A9C"/>
    <w:rsid w:val="01001B5E"/>
    <w:rsid w:val="013F3C8B"/>
    <w:rsid w:val="04932CE9"/>
    <w:rsid w:val="07DE071F"/>
    <w:rsid w:val="1122342A"/>
    <w:rsid w:val="12F91530"/>
    <w:rsid w:val="1444190A"/>
    <w:rsid w:val="14C842E9"/>
    <w:rsid w:val="157071D5"/>
    <w:rsid w:val="163D3E2B"/>
    <w:rsid w:val="172123D6"/>
    <w:rsid w:val="172F064F"/>
    <w:rsid w:val="1FDA1374"/>
    <w:rsid w:val="22950F60"/>
    <w:rsid w:val="238166D6"/>
    <w:rsid w:val="26B57DC2"/>
    <w:rsid w:val="274517C9"/>
    <w:rsid w:val="2B343475"/>
    <w:rsid w:val="35A14E5C"/>
    <w:rsid w:val="37CA01F4"/>
    <w:rsid w:val="387D5266"/>
    <w:rsid w:val="3A0522AF"/>
    <w:rsid w:val="4C303F46"/>
    <w:rsid w:val="4C502EA6"/>
    <w:rsid w:val="4E402DE7"/>
    <w:rsid w:val="549F7EBB"/>
    <w:rsid w:val="553625CD"/>
    <w:rsid w:val="554107DB"/>
    <w:rsid w:val="59C306E4"/>
    <w:rsid w:val="5E1510E5"/>
    <w:rsid w:val="5F9F7A4C"/>
    <w:rsid w:val="60193217"/>
    <w:rsid w:val="62514EEA"/>
    <w:rsid w:val="62C32E18"/>
    <w:rsid w:val="639D7CBB"/>
    <w:rsid w:val="678673E4"/>
    <w:rsid w:val="6A2C3B47"/>
    <w:rsid w:val="6BF2569F"/>
    <w:rsid w:val="6C176AA0"/>
    <w:rsid w:val="6EAF71E9"/>
    <w:rsid w:val="6EC30F1E"/>
    <w:rsid w:val="6FDE4732"/>
    <w:rsid w:val="718C52E9"/>
    <w:rsid w:val="730B26FD"/>
    <w:rsid w:val="73BD341F"/>
    <w:rsid w:val="74277859"/>
    <w:rsid w:val="775C1F10"/>
    <w:rsid w:val="7B6018A2"/>
    <w:rsid w:val="7D2E16ED"/>
    <w:rsid w:val="7E0C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29"/>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8"/>
    <w:unhideWhenUsed/>
    <w:qFormat/>
    <w:uiPriority w:val="99"/>
    <w:rPr>
      <w:rFonts w:ascii="宋体"/>
      <w:sz w:val="18"/>
      <w:szCs w:val="18"/>
    </w:rPr>
  </w:style>
  <w:style w:type="paragraph" w:styleId="4">
    <w:name w:val="annotation text"/>
    <w:basedOn w:val="1"/>
    <w:link w:val="15"/>
    <w:unhideWhenUsed/>
    <w:qFormat/>
    <w:uiPriority w:val="99"/>
    <w:pPr>
      <w:jc w:val="left"/>
    </w:pPr>
    <w:rPr>
      <w:kern w:val="0"/>
      <w:sz w:val="24"/>
    </w:rPr>
  </w:style>
  <w:style w:type="paragraph" w:styleId="5">
    <w:name w:val="Balloon Text"/>
    <w:basedOn w:val="1"/>
    <w:link w:val="16"/>
    <w:unhideWhenUsed/>
    <w:qFormat/>
    <w:uiPriority w:val="99"/>
    <w:rPr>
      <w:kern w:val="0"/>
      <w:sz w:val="18"/>
      <w:szCs w:val="18"/>
    </w:rPr>
  </w:style>
  <w:style w:type="paragraph" w:styleId="6">
    <w:name w:val="footer"/>
    <w:basedOn w:val="1"/>
    <w:link w:val="17"/>
    <w:unhideWhenUsed/>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paragraph" w:styleId="9">
    <w:name w:val="annotation subject"/>
    <w:basedOn w:val="4"/>
    <w:next w:val="4"/>
    <w:link w:val="20"/>
    <w:unhideWhenUsed/>
    <w:qFormat/>
    <w:uiPriority w:val="99"/>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uiPriority w:val="99"/>
    <w:rPr>
      <w:color w:val="0563C1" w:themeColor="hyperlink"/>
      <w:u w:val="single"/>
      <w14:textFill>
        <w14:solidFill>
          <w14:schemeClr w14:val="hlink"/>
        </w14:solidFill>
      </w14:textFill>
    </w:rPr>
  </w:style>
  <w:style w:type="character" w:styleId="14">
    <w:name w:val="annotation reference"/>
    <w:unhideWhenUsed/>
    <w:qFormat/>
    <w:uiPriority w:val="99"/>
    <w:rPr>
      <w:rFonts w:cs="Times New Roman"/>
      <w:sz w:val="21"/>
      <w:szCs w:val="21"/>
    </w:rPr>
  </w:style>
  <w:style w:type="character" w:customStyle="1" w:styleId="15">
    <w:name w:val="批注文字 字符"/>
    <w:link w:val="4"/>
    <w:semiHidden/>
    <w:locked/>
    <w:uiPriority w:val="99"/>
    <w:rPr>
      <w:rFonts w:ascii="Times New Roman" w:hAnsi="Times New Roman" w:eastAsia="宋体" w:cs="Times New Roman"/>
      <w:sz w:val="24"/>
      <w:szCs w:val="24"/>
    </w:rPr>
  </w:style>
  <w:style w:type="character" w:customStyle="1" w:styleId="16">
    <w:name w:val="批注框文本 字符"/>
    <w:link w:val="5"/>
    <w:semiHidden/>
    <w:qFormat/>
    <w:locked/>
    <w:uiPriority w:val="99"/>
    <w:rPr>
      <w:rFonts w:ascii="Times New Roman" w:hAnsi="Times New Roman" w:eastAsia="宋体" w:cs="Times New Roman"/>
      <w:sz w:val="18"/>
      <w:szCs w:val="18"/>
    </w:rPr>
  </w:style>
  <w:style w:type="character" w:customStyle="1" w:styleId="17">
    <w:name w:val="页脚 字符"/>
    <w:link w:val="6"/>
    <w:locked/>
    <w:uiPriority w:val="99"/>
    <w:rPr>
      <w:rFonts w:cs="Times New Roman"/>
      <w:sz w:val="18"/>
      <w:szCs w:val="18"/>
    </w:rPr>
  </w:style>
  <w:style w:type="character" w:customStyle="1" w:styleId="18">
    <w:name w:val="文档结构图 字符"/>
    <w:link w:val="3"/>
    <w:semiHidden/>
    <w:qFormat/>
    <w:uiPriority w:val="99"/>
    <w:rPr>
      <w:rFonts w:ascii="宋体" w:hAnsi="Times New Roman"/>
      <w:kern w:val="2"/>
      <w:sz w:val="18"/>
      <w:szCs w:val="18"/>
    </w:rPr>
  </w:style>
  <w:style w:type="character" w:customStyle="1" w:styleId="19">
    <w:name w:val="页眉 字符"/>
    <w:link w:val="7"/>
    <w:qFormat/>
    <w:locked/>
    <w:uiPriority w:val="99"/>
    <w:rPr>
      <w:rFonts w:cs="Times New Roman"/>
      <w:sz w:val="18"/>
      <w:szCs w:val="18"/>
    </w:rPr>
  </w:style>
  <w:style w:type="character" w:customStyle="1" w:styleId="20">
    <w:name w:val="批注主题 字符"/>
    <w:link w:val="9"/>
    <w:semiHidden/>
    <w:locked/>
    <w:uiPriority w:val="99"/>
    <w:rPr>
      <w:rFonts w:ascii="Times New Roman" w:hAnsi="Times New Roman" w:eastAsia="宋体" w:cs="Times New Roman"/>
      <w:b/>
      <w:bCs/>
      <w:sz w:val="24"/>
      <w:szCs w:val="24"/>
    </w:rPr>
  </w:style>
  <w:style w:type="paragraph" w:customStyle="1" w:styleId="21">
    <w:name w:val="列出段落"/>
    <w:basedOn w:val="1"/>
    <w:qFormat/>
    <w:uiPriority w:val="34"/>
    <w:pPr>
      <w:ind w:firstLine="420" w:firstLineChars="200"/>
    </w:pPr>
    <w:rPr>
      <w:rFonts w:ascii="Calibri" w:hAnsi="Calibri"/>
      <w:szCs w:val="22"/>
    </w:rPr>
  </w:style>
  <w:style w:type="paragraph" w:customStyle="1" w:styleId="22">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3">
    <w:name w:val="列表段落1"/>
    <w:basedOn w:val="1"/>
    <w:qFormat/>
    <w:uiPriority w:val="34"/>
    <w:pPr>
      <w:ind w:firstLine="420" w:firstLineChars="200"/>
    </w:pPr>
  </w:style>
  <w:style w:type="paragraph" w:customStyle="1" w:styleId="24">
    <w:name w:val="修订1"/>
    <w:hidden/>
    <w:unhideWhenUsed/>
    <w:uiPriority w:val="99"/>
    <w:rPr>
      <w:rFonts w:ascii="Times New Roman" w:hAnsi="Times New Roman" w:eastAsia="宋体" w:cs="Times New Roman"/>
      <w:kern w:val="2"/>
      <w:sz w:val="21"/>
      <w:szCs w:val="24"/>
      <w:lang w:val="en-US" w:eastAsia="zh-CN" w:bidi="ar-SA"/>
    </w:rPr>
  </w:style>
  <w:style w:type="character" w:customStyle="1" w:styleId="25">
    <w:name w:val="font31"/>
    <w:uiPriority w:val="0"/>
    <w:rPr>
      <w:rFonts w:hint="eastAsia" w:ascii="宋体" w:hAnsi="宋体" w:eastAsia="宋体" w:cs="宋体"/>
      <w:b/>
      <w:bCs/>
      <w:color w:val="000000"/>
      <w:sz w:val="20"/>
      <w:szCs w:val="20"/>
      <w:u w:val="none"/>
    </w:rPr>
  </w:style>
  <w:style w:type="character" w:customStyle="1" w:styleId="26">
    <w:name w:val="font41"/>
    <w:uiPriority w:val="0"/>
    <w:rPr>
      <w:rFonts w:hint="eastAsia" w:ascii="宋体" w:hAnsi="宋体" w:eastAsia="宋体" w:cs="宋体"/>
      <w:b/>
      <w:bCs/>
      <w:color w:val="FF0000"/>
      <w:sz w:val="20"/>
      <w:szCs w:val="20"/>
      <w:u w:val="none"/>
    </w:rPr>
  </w:style>
  <w:style w:type="character" w:customStyle="1" w:styleId="27">
    <w:name w:val="font11"/>
    <w:uiPriority w:val="0"/>
    <w:rPr>
      <w:rFonts w:hint="eastAsia" w:ascii="宋体" w:hAnsi="宋体" w:eastAsia="宋体" w:cs="宋体"/>
      <w:b/>
      <w:bCs/>
      <w:color w:val="000000"/>
      <w:sz w:val="20"/>
      <w:szCs w:val="20"/>
      <w:u w:val="none"/>
    </w:rPr>
  </w:style>
  <w:style w:type="character" w:customStyle="1" w:styleId="28">
    <w:name w:val="font51"/>
    <w:uiPriority w:val="0"/>
    <w:rPr>
      <w:rFonts w:hint="eastAsia" w:ascii="宋体" w:hAnsi="宋体" w:eastAsia="宋体" w:cs="宋体"/>
      <w:b/>
      <w:bCs/>
      <w:color w:val="FF0000"/>
      <w:sz w:val="20"/>
      <w:szCs w:val="20"/>
      <w:u w:val="none"/>
    </w:rPr>
  </w:style>
  <w:style w:type="character" w:customStyle="1" w:styleId="29">
    <w:name w:val="标题 1 字符"/>
    <w:basedOn w:val="12"/>
    <w:link w:val="2"/>
    <w:uiPriority w:val="9"/>
    <w:rPr>
      <w:rFonts w:ascii="宋体" w:hAnsi="宋体" w:cs="宋体"/>
      <w:b/>
      <w:bCs/>
      <w:kern w:val="36"/>
      <w:sz w:val="48"/>
      <w:szCs w:val="48"/>
    </w:rPr>
  </w:style>
  <w:style w:type="character" w:customStyle="1" w:styleId="30">
    <w:name w:val="Unresolved Mention"/>
    <w:basedOn w:val="12"/>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4981</Words>
  <Characters>5452</Characters>
  <Lines>43</Lines>
  <Paragraphs>12</Paragraphs>
  <TotalTime>117</TotalTime>
  <ScaleCrop>false</ScaleCrop>
  <LinksUpToDate>false</LinksUpToDate>
  <CharactersWithSpaces>5480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人间不值得</cp:lastModifiedBy>
  <dcterms:modified xsi:type="dcterms:W3CDTF">2024-08-31T13:10:35Z</dcterms:modified>
  <dc:title>《工程结构抗震设计原理》课程教学大纲</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FA42FBC2AEF34E6B866271F6A9C2AEFE_13</vt:lpwstr>
  </property>
</Properties>
</file>