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color w:val="000000"/>
          <w:sz w:val="44"/>
          <w:szCs w:val="20"/>
        </w:rPr>
      </w:pPr>
    </w:p>
    <w:p>
      <w:pPr>
        <w:tabs>
          <w:tab w:val="left" w:pos="880"/>
        </w:tabs>
        <w:spacing w:line="480" w:lineRule="auto"/>
        <w:rPr>
          <w:rFonts w:ascii="宋体" w:hAnsi="宋体"/>
          <w:color w:val="000000"/>
          <w:sz w:val="44"/>
          <w:szCs w:val="20"/>
        </w:rPr>
      </w:pPr>
      <w:r>
        <w:rPr>
          <w:rFonts w:ascii="宋体" w:hAnsi="宋体"/>
          <w:color w:val="000000"/>
          <w:sz w:val="44"/>
          <w:szCs w:val="20"/>
        </w:rPr>
        <w:tab/>
      </w:r>
    </w:p>
    <w:p>
      <w:pPr>
        <w:spacing w:line="480" w:lineRule="auto"/>
        <w:rPr>
          <w:rFonts w:ascii="宋体" w:hAnsi="宋体"/>
          <w:color w:val="000000"/>
          <w:sz w:val="44"/>
          <w:szCs w:val="20"/>
        </w:rPr>
      </w:pPr>
    </w:p>
    <w:p>
      <w:pPr>
        <w:spacing w:line="480" w:lineRule="auto"/>
        <w:jc w:val="center"/>
        <w:rPr>
          <w:rFonts w:eastAsia="黑体"/>
          <w:color w:val="000000"/>
          <w:sz w:val="44"/>
        </w:rPr>
      </w:pPr>
      <w:r>
        <w:rPr>
          <w:rFonts w:hint="eastAsia" w:eastAsia="黑体"/>
          <w:color w:val="000000"/>
          <w:sz w:val="44"/>
        </w:rPr>
        <w:t>《</w:t>
      </w:r>
      <w:r>
        <w:rPr>
          <w:rFonts w:hint="eastAsia" w:eastAsia="黑体"/>
          <w:color w:val="0070C0"/>
          <w:sz w:val="44"/>
        </w:rPr>
        <w:t>商业银行业务与经营</w:t>
      </w:r>
      <w:r>
        <w:rPr>
          <w:rFonts w:hint="eastAsia" w:eastAsia="黑体"/>
          <w:color w:val="000000"/>
          <w:sz w:val="44"/>
        </w:rPr>
        <w:t>》教学大纲</w:t>
      </w:r>
    </w:p>
    <w:p>
      <w:pPr>
        <w:spacing w:line="480" w:lineRule="auto"/>
        <w:jc w:val="center"/>
        <w:rPr>
          <w:rFonts w:ascii="仿宋" w:hAnsi="仿宋" w:eastAsia="仿宋"/>
          <w:color w:val="000000"/>
          <w:sz w:val="28"/>
          <w:u w:val="single"/>
        </w:rPr>
      </w:pPr>
      <w:r>
        <w:rPr>
          <w:rFonts w:hint="eastAsia" w:ascii="仿宋" w:hAnsi="仿宋" w:eastAsia="仿宋"/>
          <w:color w:val="000000"/>
          <w:sz w:val="28"/>
          <w:u w:val="single"/>
        </w:rPr>
        <w:t>（第</w:t>
      </w:r>
      <w:r>
        <w:rPr>
          <w:rFonts w:hint="eastAsia" w:ascii="仿宋" w:hAnsi="仿宋" w:eastAsia="仿宋"/>
          <w:color w:val="000000"/>
          <w:sz w:val="28"/>
          <w:u w:val="single"/>
          <w:lang w:val="en-US" w:eastAsia="zh-CN"/>
        </w:rPr>
        <w:t>1</w:t>
      </w:r>
      <w:r>
        <w:rPr>
          <w:rFonts w:hint="eastAsia" w:ascii="仿宋" w:hAnsi="仿宋" w:eastAsia="仿宋"/>
          <w:color w:val="000000"/>
          <w:sz w:val="28"/>
          <w:u w:val="single"/>
        </w:rPr>
        <w:t>版）</w:t>
      </w: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32"/>
          <w:szCs w:val="20"/>
        </w:rPr>
      </w:pPr>
    </w:p>
    <w:p>
      <w:pPr>
        <w:spacing w:line="480" w:lineRule="auto"/>
        <w:rPr>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default" w:eastAsia="宋体"/>
                <w:color w:val="000000"/>
                <w:sz w:val="28"/>
                <w:lang w:val="en-US" w:eastAsia="zh-CN"/>
              </w:rPr>
            </w:pPr>
            <w:r>
              <w:rPr>
                <w:rFonts w:hint="eastAsia"/>
                <w:color w:val="000000"/>
                <w:sz w:val="28"/>
              </w:rPr>
              <w:t>霍翠凤</w:t>
            </w:r>
            <w:r>
              <w:rPr>
                <w:rFonts w:hint="eastAsia"/>
                <w:color w:val="000000"/>
                <w:sz w:val="28"/>
                <w:lang w:val="en-US" w:eastAsia="zh-CN"/>
              </w:rPr>
              <w:t xml:space="preserve"> 杨小雪</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eastAsia="宋体"/>
                <w:color w:val="000000"/>
                <w:sz w:val="28"/>
                <w:lang w:val="en-US" w:eastAsia="zh-CN"/>
              </w:rPr>
            </w:pPr>
            <w:r>
              <w:rPr>
                <w:rFonts w:hint="eastAsia"/>
                <w:color w:val="000000"/>
                <w:sz w:val="28"/>
                <w:lang w:val="en-US" w:eastAsia="zh-CN"/>
              </w:rPr>
              <w:t>冯晓琦</w:t>
            </w:r>
          </w:p>
        </w:tc>
      </w:tr>
    </w:tbl>
    <w:p>
      <w:pPr>
        <w:jc w:val="center"/>
        <w:rPr>
          <w:rFonts w:ascii="仿宋" w:hAnsi="仿宋" w:eastAsia="仿宋"/>
          <w:color w:val="000000"/>
          <w:sz w:val="28"/>
          <w:u w:val="single"/>
        </w:rPr>
      </w:pPr>
    </w:p>
    <w:p>
      <w:pPr>
        <w:jc w:val="center"/>
        <w:rPr>
          <w:rFonts w:ascii="仿宋" w:hAnsi="仿宋" w:eastAsia="仿宋"/>
          <w:color w:val="000000"/>
          <w:sz w:val="28"/>
          <w:u w:val="single"/>
        </w:rPr>
      </w:pPr>
    </w:p>
    <w:p>
      <w:pPr>
        <w:jc w:val="center"/>
        <w:rPr>
          <w:rFonts w:hint="eastAsia" w:eastAsia="黑体"/>
          <w:color w:val="000000"/>
          <w:sz w:val="28"/>
          <w:szCs w:val="28"/>
        </w:rPr>
      </w:pPr>
      <w:r>
        <w:rPr>
          <w:rFonts w:ascii="仿宋" w:hAnsi="仿宋" w:eastAsia="仿宋"/>
          <w:color w:val="000000"/>
          <w:sz w:val="28"/>
          <w:u w:val="single"/>
        </w:rPr>
        <w:t>2024</w:t>
      </w:r>
      <w:r>
        <w:rPr>
          <w:rFonts w:hint="eastAsia" w:ascii="仿宋" w:hAnsi="仿宋" w:eastAsia="仿宋"/>
          <w:color w:val="000000"/>
          <w:sz w:val="28"/>
          <w:u w:val="single"/>
        </w:rPr>
        <w:t>年</w:t>
      </w:r>
      <w:r>
        <w:rPr>
          <w:rFonts w:ascii="仿宋" w:hAnsi="仿宋" w:eastAsia="仿宋"/>
          <w:color w:val="000000"/>
          <w:sz w:val="28"/>
          <w:u w:val="single"/>
        </w:rPr>
        <w:t>6</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9"/>
        <w:tblW w:w="8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4"/>
        <w:gridCol w:w="2597"/>
        <w:gridCol w:w="1448"/>
        <w:gridCol w:w="248"/>
        <w:gridCol w:w="2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7" w:type="dxa"/>
            <w:vAlign w:val="center"/>
          </w:tcPr>
          <w:p>
            <w:pPr>
              <w:jc w:val="center"/>
              <w:rPr>
                <w:rFonts w:ascii="仿宋" w:hAnsi="仿宋" w:eastAsia="仿宋"/>
                <w:color w:val="000000"/>
                <w:sz w:val="24"/>
              </w:rPr>
            </w:pPr>
            <w:r>
              <w:rPr>
                <w:rFonts w:eastAsia="仿宋"/>
                <w:szCs w:val="21"/>
                <w:lang w:val="en-GB"/>
              </w:rPr>
              <w:t>160719T054</w:t>
            </w:r>
          </w:p>
        </w:tc>
        <w:tc>
          <w:tcPr>
            <w:tcW w:w="1448" w:type="dxa"/>
            <w:vAlign w:val="center"/>
          </w:tcPr>
          <w:p>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8" w:type="dxa"/>
            <w:gridSpan w:val="2"/>
            <w:vAlign w:val="center"/>
          </w:tcPr>
          <w:p>
            <w:pPr>
              <w:jc w:val="center"/>
              <w:rPr>
                <w:rFonts w:ascii="仿宋" w:hAnsi="仿宋" w:eastAsia="仿宋"/>
                <w:color w:val="000000"/>
                <w:sz w:val="24"/>
              </w:rPr>
            </w:pPr>
            <w:r>
              <w:rPr>
                <w:rFonts w:hint="eastAsia" w:ascii="仿宋" w:hAnsi="仿宋" w:eastAsia="仿宋"/>
                <w:color w:val="000000"/>
                <w:sz w:val="24"/>
              </w:rPr>
              <w:t>工商管理学院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ascii="仿宋" w:hAnsi="仿宋" w:eastAsia="仿宋"/>
                <w:b/>
                <w:color w:val="000000"/>
                <w:sz w:val="24"/>
              </w:rPr>
              <w:t>课程名称（中文）</w:t>
            </w:r>
          </w:p>
        </w:tc>
        <w:tc>
          <w:tcPr>
            <w:tcW w:w="6363" w:type="dxa"/>
            <w:gridSpan w:val="4"/>
            <w:vAlign w:val="center"/>
          </w:tcPr>
          <w:p>
            <w:pPr>
              <w:jc w:val="center"/>
              <w:rPr>
                <w:rFonts w:ascii="仿宋" w:hAnsi="仿宋" w:eastAsia="仿宋"/>
                <w:color w:val="000000"/>
                <w:sz w:val="24"/>
              </w:rPr>
            </w:pPr>
            <w:r>
              <w:rPr>
                <w:rFonts w:eastAsia="仿宋"/>
                <w:szCs w:val="21"/>
                <w:lang w:val="en-GB"/>
              </w:rPr>
              <w:t>商业银行业务与经营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ascii="仿宋" w:hAnsi="仿宋" w:eastAsia="仿宋"/>
                <w:b/>
                <w:color w:val="000000"/>
                <w:sz w:val="24"/>
              </w:rPr>
              <w:t>课程名称（英文）</w:t>
            </w:r>
          </w:p>
        </w:tc>
        <w:tc>
          <w:tcPr>
            <w:tcW w:w="6363" w:type="dxa"/>
            <w:gridSpan w:val="4"/>
            <w:vAlign w:val="center"/>
          </w:tcPr>
          <w:p>
            <w:pPr>
              <w:jc w:val="center"/>
              <w:rPr>
                <w:rFonts w:ascii="仿宋" w:hAnsi="仿宋" w:eastAsia="仿宋"/>
                <w:color w:val="000000"/>
                <w:sz w:val="24"/>
              </w:rPr>
            </w:pPr>
            <w:r>
              <w:rPr>
                <w:rFonts w:eastAsia="仿宋"/>
                <w:szCs w:val="21"/>
                <w:lang w:val="en-GB"/>
              </w:rPr>
              <w:t>Business and operation of commercial banks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hint="eastAsia" w:ascii="仿宋" w:hAnsi="仿宋" w:eastAsia="仿宋"/>
                <w:b/>
                <w:color w:val="000000"/>
                <w:sz w:val="24"/>
              </w:rPr>
              <w:t>课程类别</w:t>
            </w:r>
          </w:p>
        </w:tc>
        <w:tc>
          <w:tcPr>
            <w:tcW w:w="6363" w:type="dxa"/>
            <w:gridSpan w:val="4"/>
            <w:vAlign w:val="center"/>
          </w:tcPr>
          <w:p>
            <w:pPr>
              <w:jc w:val="left"/>
              <w:rPr>
                <w:rFonts w:ascii="仿宋" w:hAnsi="仿宋" w:eastAsia="仿宋"/>
                <w:color w:val="FF0000"/>
                <w:sz w:val="24"/>
              </w:rPr>
            </w:pPr>
            <w:r>
              <w:rPr>
                <w:rFonts w:hint="eastAsia" w:ascii="仿宋" w:hAnsi="仿宋" w:eastAsia="仿宋"/>
                <w:sz w:val="24"/>
              </w:rPr>
              <w:t>专业课：金融学专业必修课/会计学专业限选课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63" w:type="dxa"/>
            <w:gridSpan w:val="4"/>
            <w:vAlign w:val="center"/>
          </w:tcPr>
          <w:p>
            <w:pPr>
              <w:jc w:val="left"/>
              <w:rPr>
                <w:rFonts w:ascii="仿宋" w:hAnsi="仿宋" w:eastAsia="仿宋"/>
                <w:color w:val="0070C0"/>
                <w:sz w:val="24"/>
              </w:rPr>
            </w:pPr>
            <w:r>
              <w:rPr>
                <w:rFonts w:hint="eastAsia" w:ascii="仿宋" w:hAnsi="仿宋" w:eastAsia="仿宋"/>
                <w:color w:val="auto"/>
                <w:sz w:val="24"/>
              </w:rPr>
              <w:t>金融学、会计学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7" w:type="dxa"/>
            <w:vAlign w:val="center"/>
          </w:tcPr>
          <w:p>
            <w:pPr>
              <w:jc w:val="center"/>
              <w:rPr>
                <w:rFonts w:ascii="仿宋" w:hAnsi="仿宋" w:eastAsia="仿宋"/>
                <w:color w:val="000000"/>
                <w:sz w:val="24"/>
              </w:rPr>
            </w:pPr>
            <w:r>
              <w:rPr>
                <w:rFonts w:hint="eastAsia" w:ascii="仿宋" w:hAnsi="仿宋" w:eastAsia="仿宋"/>
                <w:color w:val="000000"/>
                <w:sz w:val="24"/>
              </w:rPr>
              <w:t>3</w:t>
            </w:r>
          </w:p>
        </w:tc>
        <w:tc>
          <w:tcPr>
            <w:tcW w:w="1696"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70" w:type="dxa"/>
            <w:vAlign w:val="center"/>
          </w:tcPr>
          <w:p>
            <w:pPr>
              <w:jc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ascii="仿宋" w:hAnsi="仿宋" w:eastAsia="仿宋"/>
                <w:b/>
                <w:color w:val="000000"/>
                <w:sz w:val="24"/>
              </w:rPr>
              <w:t>理论学时</w:t>
            </w:r>
          </w:p>
        </w:tc>
        <w:tc>
          <w:tcPr>
            <w:tcW w:w="2597" w:type="dxa"/>
            <w:vAlign w:val="center"/>
          </w:tcPr>
          <w:p>
            <w:pPr>
              <w:jc w:val="center"/>
              <w:rPr>
                <w:rFonts w:ascii="仿宋" w:hAnsi="仿宋" w:eastAsia="仿宋"/>
                <w:color w:val="000000"/>
                <w:sz w:val="24"/>
              </w:rPr>
            </w:pPr>
            <w:r>
              <w:rPr>
                <w:rFonts w:hint="eastAsia" w:ascii="仿宋" w:hAnsi="仿宋" w:eastAsia="仿宋"/>
                <w:color w:val="000000"/>
                <w:sz w:val="24"/>
              </w:rPr>
              <w:t>4</w:t>
            </w:r>
            <w:r>
              <w:rPr>
                <w:rFonts w:ascii="仿宋" w:hAnsi="仿宋" w:eastAsia="仿宋"/>
                <w:color w:val="000000"/>
                <w:sz w:val="24"/>
              </w:rPr>
              <w:t>8</w:t>
            </w:r>
          </w:p>
        </w:tc>
        <w:tc>
          <w:tcPr>
            <w:tcW w:w="1696" w:type="dxa"/>
            <w:gridSpan w:val="2"/>
            <w:vAlign w:val="center"/>
          </w:tcPr>
          <w:p>
            <w:pPr>
              <w:jc w:val="center"/>
              <w:rPr>
                <w:rFonts w:ascii="仿宋" w:hAnsi="仿宋" w:eastAsia="仿宋"/>
                <w:b/>
                <w:color w:val="000000"/>
                <w:sz w:val="24"/>
              </w:rPr>
            </w:pPr>
            <w:r>
              <w:rPr>
                <w:rFonts w:ascii="仿宋" w:hAnsi="仿宋" w:eastAsia="仿宋"/>
                <w:b/>
                <w:color w:val="000000"/>
                <w:sz w:val="24"/>
              </w:rPr>
              <w:t>实验学时</w:t>
            </w:r>
          </w:p>
        </w:tc>
        <w:tc>
          <w:tcPr>
            <w:tcW w:w="2070"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954" w:type="dxa"/>
            <w:vAlign w:val="center"/>
          </w:tcPr>
          <w:p>
            <w:pPr>
              <w:jc w:val="center"/>
              <w:rPr>
                <w:rFonts w:ascii="仿宋" w:hAnsi="仿宋" w:eastAsia="仿宋"/>
                <w:b/>
                <w:color w:val="000000"/>
                <w:sz w:val="24"/>
              </w:rPr>
            </w:pPr>
            <w:r>
              <w:rPr>
                <w:rFonts w:hint="eastAsia" w:ascii="仿宋" w:hAnsi="仿宋" w:eastAsia="仿宋"/>
                <w:b/>
                <w:color w:val="000000"/>
                <w:sz w:val="24"/>
              </w:rPr>
              <w:t>上机学时</w:t>
            </w:r>
          </w:p>
        </w:tc>
        <w:tc>
          <w:tcPr>
            <w:tcW w:w="2597"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c>
          <w:tcPr>
            <w:tcW w:w="1696" w:type="dxa"/>
            <w:gridSpan w:val="2"/>
            <w:vAlign w:val="center"/>
          </w:tcPr>
          <w:p>
            <w:pPr>
              <w:jc w:val="center"/>
              <w:rPr>
                <w:rFonts w:ascii="仿宋" w:hAnsi="仿宋" w:eastAsia="仿宋"/>
                <w:b/>
                <w:color w:val="000000"/>
                <w:sz w:val="24"/>
              </w:rPr>
            </w:pPr>
            <w:r>
              <w:rPr>
                <w:rFonts w:hint="eastAsia" w:ascii="仿宋" w:hAnsi="仿宋" w:eastAsia="仿宋"/>
                <w:b/>
                <w:color w:val="000000"/>
                <w:sz w:val="24"/>
              </w:rPr>
              <w:t>其他实践学时</w:t>
            </w:r>
          </w:p>
        </w:tc>
        <w:tc>
          <w:tcPr>
            <w:tcW w:w="2070" w:type="dxa"/>
            <w:vAlign w:val="center"/>
          </w:tcPr>
          <w:p>
            <w:pPr>
              <w:jc w:val="center"/>
              <w:rPr>
                <w:rFonts w:hint="eastAsia" w:ascii="仿宋" w:hAnsi="仿宋" w:eastAsia="仿宋"/>
                <w:color w:val="000000"/>
                <w:sz w:val="24"/>
                <w:lang w:val="en-US" w:eastAsia="zh-CN"/>
              </w:rPr>
            </w:pPr>
            <w:r>
              <w:rPr>
                <w:rFonts w:hint="eastAsia" w:ascii="仿宋" w:hAnsi="仿宋" w:eastAsia="仿宋"/>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954" w:type="dxa"/>
            <w:vAlign w:val="center"/>
          </w:tcPr>
          <w:p>
            <w:pPr>
              <w:jc w:val="center"/>
              <w:rPr>
                <w:rFonts w:ascii="仿宋" w:hAnsi="仿宋" w:eastAsia="仿宋"/>
                <w:b/>
                <w:color w:val="000000"/>
                <w:sz w:val="24"/>
              </w:rPr>
            </w:pPr>
            <w:r>
              <w:rPr>
                <w:rFonts w:ascii="仿宋" w:hAnsi="仿宋" w:eastAsia="仿宋"/>
                <w:b/>
                <w:color w:val="000000"/>
                <w:sz w:val="24"/>
              </w:rPr>
              <w:t>先修课程</w:t>
            </w:r>
          </w:p>
        </w:tc>
        <w:tc>
          <w:tcPr>
            <w:tcW w:w="6363" w:type="dxa"/>
            <w:gridSpan w:val="4"/>
            <w:vAlign w:val="center"/>
          </w:tcPr>
          <w:p>
            <w:pPr>
              <w:jc w:val="center"/>
              <w:rPr>
                <w:rFonts w:ascii="仿宋" w:hAnsi="仿宋" w:eastAsia="仿宋"/>
                <w:color w:val="000000"/>
                <w:sz w:val="24"/>
              </w:rPr>
            </w:pPr>
            <w:r>
              <w:rPr>
                <w:rFonts w:hint="eastAsia" w:ascii="仿宋" w:hAnsi="仿宋" w:eastAsia="仿宋"/>
                <w:color w:val="000000"/>
                <w:sz w:val="24"/>
              </w:rPr>
              <w:t xml:space="preserve">微观经济学 </w:t>
            </w:r>
            <w:r>
              <w:rPr>
                <w:rFonts w:ascii="仿宋" w:hAnsi="仿宋" w:eastAsia="仿宋"/>
                <w:color w:val="000000"/>
                <w:sz w:val="24"/>
              </w:rPr>
              <w:t xml:space="preserve"> </w:t>
            </w:r>
            <w:r>
              <w:rPr>
                <w:rFonts w:hint="eastAsia" w:ascii="仿宋" w:hAnsi="仿宋" w:eastAsia="仿宋"/>
                <w:color w:val="000000"/>
                <w:sz w:val="24"/>
              </w:rPr>
              <w:t xml:space="preserve">金融学 </w:t>
            </w:r>
            <w:r>
              <w:rPr>
                <w:rFonts w:ascii="仿宋" w:hAnsi="仿宋" w:eastAsia="仿宋"/>
                <w:color w:val="000000"/>
                <w:sz w:val="24"/>
              </w:rPr>
              <w:t xml:space="preserve">  </w:t>
            </w:r>
            <w:r>
              <w:rPr>
                <w:rFonts w:hint="eastAsia" w:ascii="仿宋" w:hAnsi="仿宋" w:eastAsia="仿宋"/>
                <w:color w:val="000000"/>
                <w:sz w:val="24"/>
              </w:rPr>
              <w:t>会计学</w:t>
            </w:r>
          </w:p>
        </w:tc>
      </w:tr>
    </w:tbl>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
          <w:sz w:val="24"/>
          <w:szCs w:val="24"/>
          <w:lang w:val="en-GB"/>
        </w:rPr>
      </w:pPr>
      <w:r>
        <w:rPr>
          <w:rFonts w:eastAsia="仿宋"/>
          <w:sz w:val="24"/>
          <w:szCs w:val="24"/>
          <w:lang w:val="en-GB"/>
        </w:rPr>
        <w:t>《商业银行业务与经营》以商业银行为研究对象，以《中华人民共和国商业银行法》《巴塞尔协议》等法规和国际惯例为依据，研究内容主要包括商业银行的各项业务以及如何对商业银行进行管理以达到商业银行的经营目标。该课程具有理论性、政策性、实用性和操作性的特点，以培养学生掌握商业银行经营管理的</w:t>
      </w:r>
      <w:r>
        <w:rPr>
          <w:rFonts w:hint="eastAsia" w:eastAsia="仿宋"/>
          <w:sz w:val="24"/>
          <w:szCs w:val="24"/>
          <w:lang w:val="en-GB"/>
        </w:rPr>
        <w:t>理论</w:t>
      </w:r>
      <w:r>
        <w:rPr>
          <w:rFonts w:eastAsia="仿宋"/>
          <w:sz w:val="24"/>
          <w:szCs w:val="24"/>
          <w:lang w:val="en-GB"/>
        </w:rPr>
        <w:t>及</w:t>
      </w:r>
      <w:r>
        <w:rPr>
          <w:rFonts w:hint="eastAsia" w:eastAsia="仿宋"/>
          <w:sz w:val="24"/>
          <w:szCs w:val="24"/>
          <w:lang w:val="en-GB"/>
        </w:rPr>
        <w:t>方法</w:t>
      </w:r>
      <w:r>
        <w:rPr>
          <w:rFonts w:eastAsia="仿宋"/>
          <w:sz w:val="24"/>
          <w:szCs w:val="24"/>
          <w:lang w:val="en-GB"/>
        </w:rPr>
        <w:t>为主要目标。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
          <w:sz w:val="24"/>
          <w:szCs w:val="24"/>
          <w:lang w:val="en-GB"/>
        </w:rPr>
      </w:pPr>
      <w:r>
        <w:rPr>
          <w:rFonts w:eastAsia="仿宋"/>
          <w:sz w:val="24"/>
          <w:szCs w:val="24"/>
          <w:lang w:val="en-GB"/>
        </w:rPr>
        <w:t>具体来说，</w:t>
      </w:r>
      <w:r>
        <w:rPr>
          <w:rFonts w:hint="eastAsia" w:eastAsia="仿宋"/>
          <w:sz w:val="24"/>
          <w:szCs w:val="24"/>
          <w:lang w:val="en-GB"/>
        </w:rPr>
        <w:t>该课程结合商业银行经营的</w:t>
      </w:r>
      <w:r>
        <w:rPr>
          <w:rFonts w:eastAsia="仿宋"/>
          <w:sz w:val="24"/>
          <w:szCs w:val="24"/>
          <w:lang w:val="en-GB"/>
        </w:rPr>
        <w:t>理论与</w:t>
      </w:r>
      <w:r>
        <w:rPr>
          <w:rFonts w:hint="eastAsia" w:eastAsia="仿宋"/>
          <w:sz w:val="24"/>
          <w:szCs w:val="24"/>
          <w:lang w:val="en-GB"/>
        </w:rPr>
        <w:t>实践</w:t>
      </w:r>
      <w:r>
        <w:rPr>
          <w:rFonts w:eastAsia="仿宋"/>
          <w:sz w:val="24"/>
          <w:szCs w:val="24"/>
          <w:lang w:val="en-GB"/>
        </w:rPr>
        <w:t>，</w:t>
      </w:r>
      <w:r>
        <w:rPr>
          <w:rFonts w:hint="eastAsia" w:eastAsia="仿宋"/>
          <w:sz w:val="24"/>
          <w:szCs w:val="24"/>
          <w:lang w:val="en-GB"/>
        </w:rPr>
        <w:t>探讨</w:t>
      </w:r>
      <w:r>
        <w:rPr>
          <w:rFonts w:eastAsia="仿宋"/>
          <w:sz w:val="24"/>
          <w:szCs w:val="24"/>
          <w:lang w:val="en-GB"/>
        </w:rPr>
        <w:t>商业银行的资本、负债业务、贷款业务、投资业务、中间业务等各种业务的操作与管理</w:t>
      </w:r>
      <w:r>
        <w:rPr>
          <w:rFonts w:hint="eastAsia" w:eastAsia="仿宋"/>
          <w:sz w:val="24"/>
          <w:szCs w:val="24"/>
          <w:lang w:val="en-GB"/>
        </w:rPr>
        <w:t>（包括</w:t>
      </w:r>
      <w:r>
        <w:rPr>
          <w:rFonts w:eastAsia="仿宋"/>
          <w:sz w:val="24"/>
          <w:szCs w:val="24"/>
          <w:lang w:val="en-GB"/>
        </w:rPr>
        <w:t>营销管理、信用管理、风险管理、财务</w:t>
      </w:r>
      <w:r>
        <w:rPr>
          <w:rFonts w:hint="eastAsia" w:eastAsia="仿宋"/>
          <w:sz w:val="24"/>
          <w:szCs w:val="24"/>
          <w:lang w:val="en-GB"/>
        </w:rPr>
        <w:t>管理与</w:t>
      </w:r>
      <w:r>
        <w:rPr>
          <w:rFonts w:eastAsia="仿宋"/>
          <w:sz w:val="24"/>
          <w:szCs w:val="24"/>
          <w:lang w:val="en-GB"/>
        </w:rPr>
        <w:t>人力资源管理</w:t>
      </w:r>
      <w:r>
        <w:rPr>
          <w:rFonts w:hint="eastAsia" w:eastAsia="仿宋"/>
          <w:sz w:val="24"/>
          <w:szCs w:val="24"/>
          <w:lang w:val="en-GB"/>
        </w:rPr>
        <w:t>），并阐述了2</w:t>
      </w:r>
      <w:r>
        <w:rPr>
          <w:rFonts w:eastAsia="仿宋"/>
          <w:sz w:val="24"/>
          <w:szCs w:val="24"/>
          <w:lang w:val="en-GB"/>
        </w:rPr>
        <w:t>0</w:t>
      </w:r>
      <w:r>
        <w:rPr>
          <w:rFonts w:hint="eastAsia" w:eastAsia="仿宋"/>
          <w:sz w:val="24"/>
          <w:szCs w:val="24"/>
          <w:lang w:val="en-GB"/>
        </w:rPr>
        <w:t>世纪</w:t>
      </w:r>
      <w:r>
        <w:rPr>
          <w:rFonts w:eastAsia="仿宋"/>
          <w:sz w:val="24"/>
          <w:szCs w:val="24"/>
          <w:lang w:val="en-GB"/>
        </w:rPr>
        <w:t>90年代以来商业银行发展中出现的一些新趋势。《商业银行业务与经营》是全国高等教育金融专业的主干课程，是金融学</w:t>
      </w:r>
      <w:r>
        <w:rPr>
          <w:rFonts w:hint="eastAsia" w:eastAsia="仿宋"/>
          <w:sz w:val="24"/>
          <w:szCs w:val="24"/>
          <w:lang w:val="en-GB"/>
        </w:rPr>
        <w:t>本科专业</w:t>
      </w:r>
      <w:r>
        <w:rPr>
          <w:rFonts w:eastAsia="仿宋"/>
          <w:sz w:val="24"/>
          <w:szCs w:val="24"/>
          <w:lang w:val="en-GB"/>
        </w:rPr>
        <w:t>的必修课。</w:t>
      </w:r>
    </w:p>
    <w:p>
      <w:pPr>
        <w:tabs>
          <w:tab w:val="left" w:pos="-5670"/>
          <w:tab w:val="left" w:pos="-5245"/>
          <w:tab w:val="left" w:pos="1134"/>
        </w:tabs>
        <w:spacing w:before="156" w:beforeLines="50" w:after="156" w:afterLines="50" w:line="360" w:lineRule="auto"/>
        <w:rPr>
          <w:rFonts w:hint="eastAsia" w:eastAsia="黑体"/>
          <w:color w:val="000000"/>
          <w:sz w:val="28"/>
          <w:szCs w:val="28"/>
        </w:rPr>
      </w:pPr>
    </w:p>
    <w:p>
      <w:pPr>
        <w:tabs>
          <w:tab w:val="left" w:pos="-5670"/>
          <w:tab w:val="left" w:pos="-5245"/>
          <w:tab w:val="left" w:pos="1134"/>
        </w:tabs>
        <w:spacing w:before="156" w:beforeLines="50" w:after="156" w:afterLines="50" w:line="360" w:lineRule="auto"/>
        <w:ind w:firstLine="560" w:firstLineChars="200"/>
        <w:rPr>
          <w:rFonts w:hint="eastAsia" w:eastAsia="黑体"/>
          <w:color w:val="000000"/>
          <w:sz w:val="28"/>
          <w:szCs w:val="28"/>
        </w:rPr>
      </w:pPr>
    </w:p>
    <w:p>
      <w:pPr>
        <w:rPr>
          <w:rFonts w:hint="eastAsia" w:eastAsia="黑体"/>
          <w:color w:val="000000"/>
          <w:sz w:val="28"/>
          <w:szCs w:val="28"/>
        </w:rPr>
      </w:pPr>
      <w:r>
        <w:rPr>
          <w:rFonts w:hint="eastAsia" w:eastAsia="黑体"/>
          <w:color w:val="000000"/>
          <w:sz w:val="28"/>
          <w:szCs w:val="28"/>
        </w:rPr>
        <w:br w:type="page"/>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pPr>
        <w:snapToGrid w:val="0"/>
        <w:spacing w:line="360" w:lineRule="auto"/>
        <w:ind w:firstLine="562" w:firstLineChars="200"/>
        <w:rPr>
          <w:rFonts w:ascii="仿宋" w:hAnsi="仿宋" w:eastAsia="仿宋"/>
          <w:b/>
          <w:bCs/>
          <w:sz w:val="28"/>
          <w:szCs w:val="28"/>
        </w:rPr>
      </w:pPr>
      <w:r>
        <w:rPr>
          <w:rFonts w:hint="eastAsia" w:ascii="仿宋" w:hAnsi="仿宋" w:eastAsia="仿宋"/>
          <w:b/>
          <w:bCs/>
          <w:sz w:val="28"/>
          <w:szCs w:val="28"/>
        </w:rPr>
        <w:t>（一）课程目标</w:t>
      </w:r>
    </w:p>
    <w:p>
      <w:pPr>
        <w:pStyle w:val="30"/>
        <w:keepNext w:val="0"/>
        <w:keepLines w:val="0"/>
        <w:pageBreakBefore w:val="0"/>
        <w:kinsoku/>
        <w:wordWrap/>
        <w:overflowPunct/>
        <w:topLinePunct w:val="0"/>
        <w:autoSpaceDE/>
        <w:autoSpaceDN/>
        <w:bidi w:val="0"/>
        <w:adjustRightInd/>
        <w:snapToGrid/>
        <w:spacing w:line="360" w:lineRule="auto"/>
        <w:ind w:firstLine="538"/>
        <w:textAlignment w:val="auto"/>
        <w:rPr>
          <w:rFonts w:hint="eastAsia" w:ascii="Times New Roman" w:hAnsi="Times New Roman" w:eastAsia="仿宋" w:cs="Times New Roman"/>
          <w:kern w:val="2"/>
          <w:sz w:val="24"/>
          <w:szCs w:val="24"/>
          <w:lang w:val="en-GB" w:eastAsia="zh-CN" w:bidi="ar-SA"/>
        </w:rPr>
      </w:pPr>
      <w:r>
        <w:rPr>
          <w:rStyle w:val="29"/>
          <w:rFonts w:hint="eastAsia" w:ascii="仿宋" w:hAnsi="仿宋" w:eastAsia="仿宋"/>
          <w:b/>
          <w:bCs/>
        </w:rPr>
        <w:t>课程目</w:t>
      </w:r>
      <w:r>
        <w:rPr>
          <w:rStyle w:val="29"/>
          <w:rFonts w:ascii="仿宋" w:hAnsi="仿宋" w:eastAsia="仿宋"/>
          <w:b/>
          <w:bCs/>
        </w:rPr>
        <w:t>标1</w:t>
      </w:r>
      <w:r>
        <w:rPr>
          <w:rStyle w:val="29"/>
          <w:rFonts w:ascii="仿宋" w:hAnsi="仿宋" w:eastAsia="仿宋"/>
        </w:rPr>
        <w:t>：</w:t>
      </w:r>
      <w:r>
        <w:rPr>
          <w:rFonts w:hint="eastAsia" w:ascii="Times New Roman" w:hAnsi="Times New Roman" w:eastAsia="仿宋" w:cs="Times New Roman"/>
          <w:kern w:val="2"/>
          <w:sz w:val="24"/>
          <w:szCs w:val="24"/>
          <w:lang w:val="en-GB" w:eastAsia="zh-CN" w:bidi="ar-SA"/>
        </w:rPr>
        <w:t>通过课程的学习，引导学生掌握商业银行经营与管理的基本知识和基本理论，了解我国商业银行和国际商业银行的发展趋势；理解金融法律法规，加强职业素养。</w:t>
      </w:r>
    </w:p>
    <w:p>
      <w:pPr>
        <w:pStyle w:val="30"/>
        <w:keepNext w:val="0"/>
        <w:keepLines w:val="0"/>
        <w:pageBreakBefore w:val="0"/>
        <w:kinsoku/>
        <w:wordWrap/>
        <w:overflowPunct/>
        <w:topLinePunct w:val="0"/>
        <w:autoSpaceDE/>
        <w:autoSpaceDN/>
        <w:bidi w:val="0"/>
        <w:adjustRightInd/>
        <w:snapToGrid/>
        <w:spacing w:line="360" w:lineRule="auto"/>
        <w:ind w:firstLine="538"/>
        <w:textAlignment w:val="auto"/>
        <w:rPr>
          <w:rFonts w:ascii="仿宋" w:hAnsi="仿宋" w:eastAsia="仿宋"/>
        </w:rPr>
      </w:pPr>
      <w:r>
        <w:rPr>
          <w:rStyle w:val="29"/>
          <w:rFonts w:hint="eastAsia" w:ascii="仿宋" w:hAnsi="仿宋" w:eastAsia="仿宋"/>
          <w:b/>
          <w:bCs/>
        </w:rPr>
        <w:t>课程</w:t>
      </w:r>
      <w:r>
        <w:rPr>
          <w:rStyle w:val="29"/>
          <w:rFonts w:ascii="仿宋" w:hAnsi="仿宋" w:eastAsia="仿宋"/>
          <w:b/>
          <w:bCs/>
        </w:rPr>
        <w:t>目标2</w:t>
      </w:r>
      <w:r>
        <w:rPr>
          <w:rStyle w:val="29"/>
          <w:rFonts w:ascii="仿宋" w:hAnsi="仿宋" w:eastAsia="仿宋"/>
        </w:rPr>
        <w:t>：通过本课程的学习，使学生掌握商业银行的</w:t>
      </w:r>
      <w:r>
        <w:rPr>
          <w:rStyle w:val="29"/>
          <w:rFonts w:hint="eastAsia" w:ascii="仿宋" w:hAnsi="仿宋" w:eastAsia="仿宋"/>
        </w:rPr>
        <w:t>职能、作用</w:t>
      </w:r>
      <w:r>
        <w:rPr>
          <w:rStyle w:val="29"/>
          <w:rFonts w:ascii="仿宋" w:hAnsi="仿宋" w:eastAsia="仿宋"/>
        </w:rPr>
        <w:t>及其经营管理原则，掌握商业银行各项业务，包括负债业务、资产业务、投资业务、租赁与信托业务、表外业务的经营要点。</w:t>
      </w:r>
    </w:p>
    <w:p>
      <w:pPr>
        <w:pStyle w:val="30"/>
        <w:keepNext w:val="0"/>
        <w:keepLines w:val="0"/>
        <w:pageBreakBefore w:val="0"/>
        <w:kinsoku/>
        <w:wordWrap/>
        <w:overflowPunct/>
        <w:topLinePunct w:val="0"/>
        <w:autoSpaceDE/>
        <w:autoSpaceDN/>
        <w:bidi w:val="0"/>
        <w:adjustRightInd/>
        <w:snapToGrid/>
        <w:spacing w:line="360" w:lineRule="auto"/>
        <w:ind w:firstLine="538"/>
        <w:textAlignment w:val="auto"/>
        <w:rPr>
          <w:rFonts w:ascii="仿宋" w:hAnsi="仿宋" w:eastAsia="仿宋"/>
        </w:rPr>
      </w:pPr>
      <w:r>
        <w:rPr>
          <w:rStyle w:val="29"/>
          <w:rFonts w:hint="eastAsia" w:ascii="仿宋" w:hAnsi="仿宋" w:eastAsia="仿宋"/>
          <w:b/>
          <w:bCs/>
        </w:rPr>
        <w:t>课程</w:t>
      </w:r>
      <w:r>
        <w:rPr>
          <w:rStyle w:val="29"/>
          <w:rFonts w:ascii="仿宋" w:hAnsi="仿宋" w:eastAsia="仿宋"/>
          <w:b/>
          <w:bCs/>
        </w:rPr>
        <w:t>目标3</w:t>
      </w:r>
      <w:r>
        <w:rPr>
          <w:rStyle w:val="29"/>
          <w:rFonts w:ascii="仿宋" w:hAnsi="仿宋" w:eastAsia="仿宋"/>
        </w:rPr>
        <w:t>：通过本课程的学习，使学生掌握商业银行服务定价，包括存款利率、贷款利率的决定因素和定价方法，掌握商业银行筹措资本金的途径、银行控制风险的策略。</w:t>
      </w:r>
    </w:p>
    <w:p>
      <w:pPr>
        <w:pStyle w:val="2"/>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仿宋" w:hAnsi="仿宋" w:eastAsia="仿宋"/>
          <w:szCs w:val="24"/>
        </w:rPr>
      </w:pPr>
      <w:bookmarkStart w:id="1" w:name="_Hlk168194535"/>
      <w:r>
        <w:rPr>
          <w:rFonts w:hint="eastAsia" w:ascii="仿宋" w:hAnsi="仿宋" w:eastAsia="仿宋"/>
          <w:b/>
          <w:color w:val="000000"/>
          <w:szCs w:val="24"/>
        </w:rPr>
        <w:t>课程目标</w:t>
      </w:r>
      <w:bookmarkEnd w:id="1"/>
      <w:r>
        <w:rPr>
          <w:rFonts w:hint="eastAsia" w:ascii="仿宋" w:hAnsi="仿宋" w:eastAsia="仿宋"/>
          <w:szCs w:val="24"/>
        </w:rPr>
        <w:t>4．掌握商业银行的资产负债表、利润表和现金流量表的分析方法，掌握商业银行业绩分析中的杜邦模型，了解威谦·安尔伯茨模型，能够应用经济资本进行银行绩效评估。</w:t>
      </w:r>
      <w:r>
        <w:rPr>
          <w:rFonts w:ascii="仿宋" w:hAnsi="仿宋" w:eastAsia="仿宋"/>
          <w:szCs w:val="24"/>
        </w:rPr>
        <w:t>掌握</w:t>
      </w:r>
      <w:r>
        <w:rPr>
          <w:rFonts w:hint="eastAsia" w:ascii="仿宋" w:hAnsi="仿宋" w:eastAsia="仿宋"/>
          <w:szCs w:val="24"/>
        </w:rPr>
        <w:t>商业银行营销的基本知识，掌握银行营销的战略规划和策略的制定方法。了解并购的基本概念，掌握银行并购评估和风险分析的方法。</w:t>
      </w:r>
    </w:p>
    <w:p>
      <w:pPr>
        <w:pStyle w:val="2"/>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szCs w:val="24"/>
        </w:rPr>
      </w:pPr>
      <w:r>
        <w:rPr>
          <w:rFonts w:hint="eastAsia" w:ascii="仿宋" w:hAnsi="仿宋" w:eastAsia="仿宋"/>
          <w:b/>
          <w:bCs/>
        </w:rPr>
        <w:t>课程</w:t>
      </w:r>
      <w:r>
        <w:rPr>
          <w:rFonts w:ascii="仿宋" w:hAnsi="仿宋" w:eastAsia="仿宋"/>
          <w:b/>
          <w:bCs/>
        </w:rPr>
        <w:t xml:space="preserve">目标 </w:t>
      </w:r>
      <w:r>
        <w:rPr>
          <w:rFonts w:ascii="仿宋" w:hAnsi="仿宋" w:eastAsia="仿宋"/>
        </w:rPr>
        <w:t>5.通过银行业务模拟实训，熟练操作商业银行主要业务，熟悉商业银行业务流程；能够理论联系实际为商业银行业务创新及经营管理提供对策建议</w:t>
      </w:r>
      <w:r>
        <w:rPr>
          <w:rFonts w:hint="eastAsia"/>
        </w:rPr>
        <w:t>.</w:t>
      </w: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snapToGrid w:val="0"/>
        <w:spacing w:line="360" w:lineRule="auto"/>
        <w:ind w:firstLine="482" w:firstLineChars="200"/>
        <w:rPr>
          <w:rFonts w:hint="eastAsia" w:ascii="仿宋" w:hAnsi="仿宋" w:eastAsia="仿宋"/>
          <w:b/>
          <w:bCs/>
          <w:sz w:val="24"/>
        </w:rPr>
      </w:pPr>
    </w:p>
    <w:p>
      <w:pPr>
        <w:rPr>
          <w:rFonts w:hint="eastAsia" w:ascii="仿宋" w:hAnsi="仿宋" w:eastAsia="仿宋"/>
          <w:b/>
          <w:bCs/>
          <w:sz w:val="24"/>
        </w:rPr>
      </w:pPr>
      <w:r>
        <w:rPr>
          <w:rFonts w:hint="eastAsia" w:ascii="仿宋" w:hAnsi="仿宋" w:eastAsia="仿宋"/>
          <w:b/>
          <w:bCs/>
          <w:sz w:val="24"/>
        </w:rPr>
        <w:br w:type="page"/>
      </w:r>
    </w:p>
    <w:p>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615"/>
        <w:gridCol w:w="2312"/>
        <w:gridCol w:w="2129"/>
        <w:gridCol w:w="1466"/>
      </w:tblGrid>
      <w:tr>
        <w:tblPrEx>
          <w:tblCellMar>
            <w:top w:w="0" w:type="dxa"/>
            <w:left w:w="108" w:type="dxa"/>
            <w:bottom w:w="0" w:type="dxa"/>
            <w:right w:w="108" w:type="dxa"/>
          </w:tblCellMar>
        </w:tblPrEx>
        <w:trPr>
          <w:trHeight w:val="510" w:hRule="atLeast"/>
          <w:jc w:val="center"/>
        </w:trPr>
        <w:tc>
          <w:tcPr>
            <w:tcW w:w="1534" w:type="pct"/>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pPr>
              <w:widowControl/>
              <w:spacing w:line="360" w:lineRule="auto"/>
              <w:jc w:val="center"/>
              <w:rPr>
                <w:rFonts w:hint="eastAsia" w:ascii="仿宋" w:hAnsi="仿宋" w:eastAsia="仿宋" w:cs="Times New Roman"/>
                <w:b/>
                <w:color w:val="000000"/>
                <w:kern w:val="0"/>
                <w:sz w:val="24"/>
              </w:rPr>
            </w:pPr>
            <w:r>
              <w:rPr>
                <w:rFonts w:hint="eastAsia" w:ascii="仿宋" w:hAnsi="仿宋" w:eastAsia="仿宋" w:cs="Times New Roman"/>
                <w:b/>
                <w:color w:val="000000"/>
                <w:kern w:val="0"/>
                <w:sz w:val="24"/>
              </w:rPr>
              <w:t>毕业要求</w:t>
            </w:r>
          </w:p>
        </w:tc>
        <w:tc>
          <w:tcPr>
            <w:tcW w:w="1356"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widowControl/>
              <w:spacing w:line="360" w:lineRule="auto"/>
              <w:jc w:val="center"/>
              <w:rPr>
                <w:rFonts w:hint="eastAsia" w:ascii="仿宋" w:hAnsi="仿宋" w:eastAsia="仿宋" w:cs="Times New Roman"/>
                <w:b/>
                <w:color w:val="000000"/>
                <w:kern w:val="0"/>
                <w:sz w:val="24"/>
              </w:rPr>
            </w:pPr>
            <w:r>
              <w:rPr>
                <w:rFonts w:hint="eastAsia" w:ascii="仿宋" w:hAnsi="仿宋" w:eastAsia="仿宋" w:cs="Times New Roman"/>
                <w:b/>
                <w:color w:val="000000"/>
                <w:kern w:val="0"/>
                <w:sz w:val="24"/>
              </w:rPr>
              <w:t>观测点</w:t>
            </w:r>
          </w:p>
        </w:tc>
        <w:tc>
          <w:tcPr>
            <w:tcW w:w="1249"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widowControl/>
              <w:spacing w:line="360" w:lineRule="auto"/>
              <w:jc w:val="center"/>
              <w:rPr>
                <w:rFonts w:hint="eastAsia" w:ascii="仿宋" w:hAnsi="仿宋" w:eastAsia="仿宋" w:cs="Times New Roman"/>
                <w:b/>
                <w:color w:val="000000"/>
                <w:kern w:val="0"/>
                <w:sz w:val="24"/>
              </w:rPr>
            </w:pPr>
            <w:r>
              <w:rPr>
                <w:rFonts w:hint="eastAsia" w:ascii="仿宋" w:hAnsi="仿宋" w:eastAsia="仿宋" w:cs="Times New Roman"/>
                <w:b/>
                <w:color w:val="000000"/>
                <w:kern w:val="0"/>
                <w:sz w:val="24"/>
              </w:rPr>
              <w:t>课程目标</w:t>
            </w:r>
          </w:p>
        </w:tc>
        <w:tc>
          <w:tcPr>
            <w:tcW w:w="860" w:type="pct"/>
            <w:tcBorders>
              <w:top w:val="single" w:color="auto" w:sz="4" w:space="0"/>
              <w:left w:val="nil"/>
              <w:bottom w:val="single" w:color="auto" w:sz="4" w:space="0"/>
              <w:right w:val="single" w:color="auto" w:sz="4" w:space="0"/>
            </w:tcBorders>
            <w:shd w:val="clear" w:color="auto" w:fill="D7D7D7" w:themeFill="background1" w:themeFillShade="D8"/>
            <w:vAlign w:val="center"/>
          </w:tcPr>
          <w:p>
            <w:pPr>
              <w:widowControl/>
              <w:spacing w:line="360" w:lineRule="auto"/>
              <w:jc w:val="center"/>
              <w:rPr>
                <w:rFonts w:hint="eastAsia" w:ascii="仿宋" w:hAnsi="仿宋" w:eastAsia="仿宋" w:cs="Times New Roman"/>
                <w:b/>
                <w:color w:val="000000"/>
                <w:kern w:val="0"/>
                <w:sz w:val="24"/>
              </w:rPr>
            </w:pPr>
            <w:r>
              <w:rPr>
                <w:rFonts w:hint="eastAsia" w:ascii="仿宋" w:hAnsi="仿宋" w:eastAsia="仿宋" w:cs="Times New Roman"/>
                <w:b/>
                <w:color w:val="000000"/>
                <w:kern w:val="0"/>
                <w:sz w:val="24"/>
              </w:rPr>
              <w:t>支撑强度</w:t>
            </w:r>
          </w:p>
        </w:tc>
      </w:tr>
      <w:tr>
        <w:tblPrEx>
          <w:tblCellMar>
            <w:top w:w="0" w:type="dxa"/>
            <w:left w:w="108" w:type="dxa"/>
            <w:bottom w:w="0" w:type="dxa"/>
            <w:right w:w="108" w:type="dxa"/>
          </w:tblCellMar>
        </w:tblPrEx>
        <w:trPr>
          <w:trHeight w:val="1423" w:hRule="atLeast"/>
          <w:jc w:val="center"/>
        </w:trPr>
        <w:tc>
          <w:tcPr>
            <w:tcW w:w="1534" w:type="pct"/>
            <w:tcBorders>
              <w:top w:val="single" w:color="auto" w:sz="4" w:space="0"/>
              <w:left w:val="single" w:color="auto" w:sz="4" w:space="0"/>
              <w:bottom w:val="single" w:color="auto" w:sz="4" w:space="0"/>
              <w:right w:val="single" w:color="auto" w:sz="4" w:space="0"/>
            </w:tcBorders>
            <w:vAlign w:val="center"/>
          </w:tcPr>
          <w:p>
            <w:pPr>
              <w:spacing w:line="300" w:lineRule="exact"/>
              <w:jc w:val="both"/>
              <w:rPr>
                <w:rFonts w:hint="eastAsia" w:ascii="仿宋" w:hAnsi="仿宋" w:eastAsia="仿宋" w:cs="仿宋"/>
                <w:bCs/>
                <w:color w:val="000000"/>
                <w:lang w:eastAsia="zh-CN"/>
              </w:rPr>
            </w:pPr>
            <w:r>
              <w:rPr>
                <w:rFonts w:hint="eastAsia" w:ascii="仿宋" w:hAnsi="仿宋" w:eastAsia="仿宋" w:cs="仿宋"/>
                <w:b/>
                <w:bCs/>
                <w:sz w:val="24"/>
                <w:lang w:val="en-US" w:eastAsia="zh-CN"/>
              </w:rPr>
              <w:t>毕业要求2：</w:t>
            </w:r>
            <w:r>
              <w:rPr>
                <w:rFonts w:hint="eastAsia" w:ascii="仿宋" w:hAnsi="仿宋" w:eastAsia="仿宋" w:cs="仿宋"/>
              </w:rPr>
              <w:t>.能够运用经济学、金融学和会计学的基本理论，以及统计学、计量经济学等工具对现实金融问题进行分析研究</w:t>
            </w:r>
            <w:r>
              <w:rPr>
                <w:rFonts w:hint="eastAsia" w:ascii="仿宋" w:hAnsi="仿宋" w:eastAsia="仿宋" w:cs="仿宋"/>
                <w:lang w:eastAsia="zh-CN"/>
              </w:rPr>
              <w:t>。</w:t>
            </w:r>
          </w:p>
          <w:p>
            <w:pPr>
              <w:widowControl/>
              <w:spacing w:line="276" w:lineRule="auto"/>
              <w:jc w:val="both"/>
              <w:rPr>
                <w:rFonts w:hint="eastAsia" w:ascii="仿宋" w:hAnsi="仿宋" w:eastAsia="仿宋" w:cs="仿宋"/>
                <w:color w:val="0070C0"/>
                <w:kern w:val="0"/>
                <w:sz w:val="24"/>
              </w:rPr>
            </w:pPr>
          </w:p>
        </w:tc>
        <w:tc>
          <w:tcPr>
            <w:tcW w:w="1356" w:type="pct"/>
            <w:tcBorders>
              <w:top w:val="single" w:color="auto" w:sz="4" w:space="0"/>
              <w:left w:val="nil"/>
              <w:bottom w:val="single" w:color="auto" w:sz="4" w:space="0"/>
              <w:right w:val="single" w:color="auto" w:sz="4" w:space="0"/>
            </w:tcBorders>
          </w:tcPr>
          <w:p>
            <w:pPr>
              <w:spacing w:line="276" w:lineRule="auto"/>
              <w:rPr>
                <w:rFonts w:hint="eastAsia" w:ascii="仿宋" w:hAnsi="仿宋" w:eastAsia="仿宋" w:cs="仿宋"/>
              </w:rPr>
            </w:pPr>
            <w:r>
              <w:rPr>
                <w:rFonts w:hint="eastAsia" w:ascii="仿宋" w:hAnsi="仿宋" w:eastAsia="仿宋" w:cs="仿宋"/>
                <w:b/>
                <w:bCs/>
                <w:sz w:val="24"/>
                <w:lang w:val="en-US" w:eastAsia="zh-CN"/>
              </w:rPr>
              <w:t>观测点1：</w:t>
            </w:r>
            <w:r>
              <w:rPr>
                <w:rFonts w:hint="eastAsia" w:ascii="仿宋" w:hAnsi="仿宋" w:eastAsia="仿宋" w:cs="仿宋"/>
              </w:rPr>
              <w:t>掌握现代货币制度、货币政策调控方法，以及</w:t>
            </w:r>
            <w:r>
              <w:rPr>
                <w:rFonts w:hint="eastAsia" w:ascii="仿宋" w:hAnsi="仿宋" w:eastAsia="仿宋" w:cs="仿宋"/>
                <w:lang w:val="en-US" w:eastAsia="zh-CN"/>
              </w:rPr>
              <w:t>商业银行</w:t>
            </w:r>
            <w:r>
              <w:rPr>
                <w:rFonts w:hint="eastAsia" w:ascii="仿宋" w:hAnsi="仿宋" w:eastAsia="仿宋" w:cs="仿宋"/>
              </w:rPr>
              <w:t>银行的制度</w:t>
            </w:r>
            <w:r>
              <w:rPr>
                <w:rFonts w:hint="eastAsia" w:ascii="仿宋" w:hAnsi="仿宋" w:eastAsia="仿宋" w:cs="仿宋"/>
                <w:lang w:eastAsia="zh-CN"/>
              </w:rPr>
              <w:t>、</w:t>
            </w:r>
            <w:r>
              <w:rPr>
                <w:rFonts w:hint="eastAsia" w:ascii="仿宋" w:hAnsi="仿宋" w:eastAsia="仿宋" w:cs="仿宋"/>
              </w:rPr>
              <w:t>职能、组织形式、主要业务的操作流程和运作方式；</w:t>
            </w:r>
          </w:p>
          <w:p>
            <w:pPr>
              <w:spacing w:line="276" w:lineRule="auto"/>
              <w:rPr>
                <w:rFonts w:hint="eastAsia" w:ascii="仿宋" w:hAnsi="仿宋" w:eastAsia="仿宋" w:cs="仿宋"/>
                <w:color w:val="0070C0"/>
                <w:sz w:val="24"/>
              </w:rPr>
            </w:pPr>
            <w:r>
              <w:rPr>
                <w:rFonts w:hint="eastAsia" w:ascii="仿宋" w:hAnsi="仿宋" w:eastAsia="仿宋" w:cs="仿宋"/>
                <w:b/>
                <w:bCs/>
                <w:sz w:val="24"/>
                <w:lang w:val="en-US" w:eastAsia="zh-CN"/>
              </w:rPr>
              <w:t>观测点2：</w:t>
            </w:r>
            <w:r>
              <w:rPr>
                <w:rFonts w:hint="eastAsia" w:ascii="仿宋" w:hAnsi="仿宋" w:eastAsia="仿宋" w:cs="仿宋"/>
              </w:rPr>
              <w:t>熟悉各种金融产品及衍生品，掌握主要金融变量的相互关系、主要投资理论和基本的金融资产定价方法。</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ascii="仿宋" w:hAnsi="仿宋" w:eastAsia="仿宋"/>
                <w:color w:val="000000"/>
                <w:sz w:val="24"/>
              </w:rPr>
            </w:pPr>
            <w:r>
              <w:rPr>
                <w:rFonts w:hint="eastAsia" w:ascii="仿宋" w:hAnsi="仿宋" w:eastAsia="仿宋"/>
                <w:color w:val="000000"/>
                <w:kern w:val="0"/>
                <w:sz w:val="24"/>
              </w:rPr>
              <w:t>2、3、4、5</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ind w:left="420" w:leftChars="0" w:hanging="420" w:firstLineChars="0"/>
              <w:jc w:val="center"/>
              <w:rPr>
                <w:rFonts w:ascii="仿宋" w:hAnsi="仿宋" w:eastAsia="仿宋"/>
                <w:color w:val="000000"/>
                <w:sz w:val="24"/>
              </w:rPr>
            </w:pPr>
            <w:r>
              <w:rPr>
                <w:rFonts w:hint="eastAsia" w:ascii="仿宋" w:hAnsi="仿宋" w:eastAsia="仿宋"/>
                <w:color w:val="000000"/>
                <w:sz w:val="24"/>
              </w:rPr>
              <w:t>H</w:t>
            </w:r>
          </w:p>
          <w:p>
            <w:pPr>
              <w:numPr>
                <w:ilvl w:val="0"/>
                <w:numId w:val="2"/>
              </w:numPr>
              <w:spacing w:line="276" w:lineRule="auto"/>
              <w:jc w:val="center"/>
              <w:rPr>
                <w:rFonts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2" w:hRule="atLeast"/>
          <w:jc w:val="center"/>
        </w:trPr>
        <w:tc>
          <w:tcPr>
            <w:tcW w:w="1534"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cs="仿宋"/>
                <w:b/>
                <w:bCs/>
                <w:color w:val="000000"/>
                <w:kern w:val="0"/>
                <w:sz w:val="24"/>
              </w:rPr>
            </w:pPr>
            <w:r>
              <w:rPr>
                <w:rFonts w:hint="eastAsia" w:ascii="仿宋" w:hAnsi="仿宋" w:eastAsia="仿宋" w:cs="仿宋"/>
                <w:b/>
                <w:bCs/>
                <w:color w:val="000000"/>
                <w:kern w:val="0"/>
                <w:sz w:val="24"/>
              </w:rPr>
              <w:t>毕业要求5：</w:t>
            </w:r>
            <w:r>
              <w:rPr>
                <w:rFonts w:hint="eastAsia" w:ascii="仿宋" w:hAnsi="仿宋" w:eastAsia="仿宋" w:cs="仿宋"/>
              </w:rPr>
              <w:t>.能够基于金融相关背景知识进行合理分析，运用金融专业知识 解决管理、科技、法律、能源、人文等领域的社会相关问题。</w:t>
            </w:r>
          </w:p>
        </w:tc>
        <w:tc>
          <w:tcPr>
            <w:tcW w:w="135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s="仿宋"/>
                <w:b/>
                <w:bCs/>
                <w:color w:val="000000"/>
                <w:sz w:val="24"/>
              </w:rPr>
            </w:pPr>
            <w:r>
              <w:rPr>
                <w:rFonts w:hint="eastAsia" w:ascii="仿宋" w:hAnsi="仿宋" w:eastAsia="仿宋" w:cs="仿宋"/>
                <w:b/>
                <w:bCs/>
                <w:sz w:val="24"/>
                <w:lang w:val="en-US" w:eastAsia="zh-CN"/>
              </w:rPr>
              <w:t>观测点3：</w:t>
            </w:r>
            <w:r>
              <w:rPr>
                <w:rFonts w:hint="eastAsia" w:ascii="仿宋" w:hAnsi="仿宋" w:eastAsia="仿宋" w:cs="仿宋"/>
              </w:rPr>
              <w:t>在学习金融专业核心等课程 的基础上，深入理解法律、会计、 管理、贸易、能源、保险等相关 学科的知识；</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ascii="仿宋" w:hAnsi="仿宋" w:eastAsia="仿宋"/>
                <w:color w:val="000000"/>
                <w:sz w:val="24"/>
              </w:rPr>
            </w:pPr>
            <w:r>
              <w:rPr>
                <w:rFonts w:ascii="仿宋" w:hAnsi="仿宋" w:eastAsia="仿宋"/>
                <w:color w:val="000000"/>
                <w:kern w:val="0"/>
                <w:sz w:val="24"/>
              </w:rPr>
              <w:t>1</w:t>
            </w:r>
            <w:r>
              <w:rPr>
                <w:rFonts w:hint="eastAsia" w:ascii="仿宋" w:hAnsi="仿宋" w:eastAsia="仿宋"/>
                <w:color w:val="000000"/>
                <w:kern w:val="0"/>
                <w:sz w:val="24"/>
              </w:rPr>
              <w:t>、5</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ind w:left="420" w:leftChars="0" w:hanging="420" w:firstLineChars="0"/>
              <w:jc w:val="center"/>
              <w:rPr>
                <w:rFonts w:ascii="仿宋" w:hAnsi="仿宋" w:eastAsia="仿宋"/>
                <w:color w:val="000000"/>
                <w:sz w:val="24"/>
              </w:rPr>
            </w:pPr>
            <w:r>
              <w:rPr>
                <w:rFonts w:hint="eastAsia" w:ascii="仿宋" w:hAnsi="仿宋" w:eastAsia="仿宋"/>
                <w:color w:val="000000"/>
                <w:sz w:val="24"/>
              </w:rPr>
              <w:t>H</w:t>
            </w:r>
          </w:p>
          <w:p>
            <w:pPr>
              <w:numPr>
                <w:ilvl w:val="0"/>
                <w:numId w:val="2"/>
              </w:numPr>
              <w:spacing w:line="276" w:lineRule="auto"/>
              <w:jc w:val="center"/>
              <w:rPr>
                <w:rFonts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2" w:hRule="atLeast"/>
          <w:jc w:val="center"/>
        </w:trPr>
        <w:tc>
          <w:tcPr>
            <w:tcW w:w="1534"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cs="仿宋"/>
                <w:color w:val="000000"/>
                <w:kern w:val="0"/>
                <w:sz w:val="24"/>
                <w:lang w:eastAsia="zh-CN"/>
              </w:rPr>
            </w:pPr>
            <w:r>
              <w:rPr>
                <w:rFonts w:hint="eastAsia" w:ascii="仿宋" w:hAnsi="仿宋" w:eastAsia="仿宋" w:cs="仿宋"/>
                <w:b/>
                <w:bCs/>
                <w:color w:val="000000"/>
                <w:kern w:val="0"/>
                <w:sz w:val="24"/>
              </w:rPr>
              <w:t>毕业要求8</w:t>
            </w:r>
            <w:r>
              <w:rPr>
                <w:rFonts w:hint="eastAsia" w:ascii="仿宋" w:hAnsi="仿宋" w:eastAsia="仿宋" w:cs="仿宋"/>
                <w:b/>
                <w:bCs/>
                <w:color w:val="000000"/>
                <w:kern w:val="0"/>
                <w:sz w:val="24"/>
                <w:lang w:eastAsia="zh-CN"/>
              </w:rPr>
              <w:t>：</w:t>
            </w:r>
            <w:r>
              <w:rPr>
                <w:rFonts w:hint="eastAsia" w:ascii="仿宋" w:hAnsi="仿宋" w:eastAsia="仿宋" w:cs="仿宋"/>
              </w:rPr>
              <w:t>能够就金融领域内的相关问题与业界同行及社会公众进行有 效沟通和交流，包括理解和撰写研报</w:t>
            </w:r>
            <w:r>
              <w:rPr>
                <w:rFonts w:hint="eastAsia" w:ascii="仿宋" w:hAnsi="仿宋" w:eastAsia="仿宋" w:cs="仿宋"/>
                <w:lang w:eastAsia="zh-CN"/>
              </w:rPr>
              <w:t>、</w:t>
            </w:r>
            <w:r>
              <w:rPr>
                <w:rFonts w:hint="eastAsia" w:ascii="仿宋" w:hAnsi="仿宋" w:eastAsia="仿宋" w:cs="仿宋"/>
              </w:rPr>
              <w:t>有效陈述观点、清晰反馈意见与建议；具备国际视野</w:t>
            </w:r>
            <w:r>
              <w:rPr>
                <w:rFonts w:hint="eastAsia" w:ascii="仿宋" w:hAnsi="仿宋" w:eastAsia="仿宋" w:cs="仿宋"/>
                <w:lang w:eastAsia="zh-CN"/>
              </w:rPr>
              <w:t>，</w:t>
            </w:r>
            <w:r>
              <w:rPr>
                <w:rFonts w:hint="eastAsia" w:ascii="仿宋" w:hAnsi="仿宋" w:eastAsia="仿宋" w:cs="仿宋"/>
              </w:rPr>
              <w:t>能够进行跨文化背景的沟通和交流</w:t>
            </w:r>
            <w:r>
              <w:rPr>
                <w:rFonts w:hint="eastAsia" w:ascii="仿宋" w:hAnsi="仿宋" w:eastAsia="仿宋" w:cs="仿宋"/>
                <w:lang w:eastAsia="zh-CN"/>
              </w:rPr>
              <w:t>。</w:t>
            </w:r>
          </w:p>
        </w:tc>
        <w:tc>
          <w:tcPr>
            <w:tcW w:w="135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s="仿宋"/>
                <w:color w:val="000000"/>
                <w:sz w:val="24"/>
              </w:rPr>
            </w:pPr>
            <w:r>
              <w:rPr>
                <w:rFonts w:hint="eastAsia" w:ascii="仿宋" w:hAnsi="仿宋" w:eastAsia="仿宋" w:cs="仿宋"/>
                <w:b/>
                <w:bCs/>
                <w:sz w:val="24"/>
                <w:lang w:val="en-US" w:eastAsia="zh-CN"/>
              </w:rPr>
              <w:t>观测点4：</w:t>
            </w:r>
            <w:r>
              <w:rPr>
                <w:rFonts w:hint="eastAsia" w:ascii="仿宋" w:hAnsi="仿宋" w:eastAsia="仿宋" w:cs="仿宋"/>
              </w:rPr>
              <w:t>掌握国际间相关金融问题的分析方法；</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ascii="仿宋" w:hAnsi="仿宋" w:eastAsia="仿宋"/>
                <w:color w:val="000000"/>
                <w:kern w:val="0"/>
                <w:sz w:val="24"/>
              </w:rPr>
            </w:pPr>
            <w:r>
              <w:rPr>
                <w:rFonts w:hint="eastAsia" w:ascii="仿宋" w:hAnsi="仿宋" w:eastAsia="仿宋"/>
                <w:color w:val="000000"/>
                <w:kern w:val="0"/>
                <w:sz w:val="24"/>
              </w:rPr>
              <w:t>1、5</w:t>
            </w:r>
          </w:p>
        </w:tc>
        <w:tc>
          <w:tcPr>
            <w:tcW w:w="1466" w:type="dxa"/>
            <w:tcBorders>
              <w:top w:val="single" w:color="auto" w:sz="4" w:space="0"/>
              <w:left w:val="nil"/>
              <w:bottom w:val="single" w:color="auto" w:sz="4" w:space="0"/>
              <w:right w:val="single" w:color="auto" w:sz="4" w:space="0"/>
            </w:tcBorders>
            <w:vAlign w:val="top"/>
          </w:tcPr>
          <w:p>
            <w:pPr>
              <w:numPr>
                <w:ilvl w:val="0"/>
                <w:numId w:val="0"/>
              </w:numPr>
              <w:spacing w:line="240" w:lineRule="auto"/>
              <w:ind w:leftChars="0"/>
              <w:jc w:val="both"/>
              <w:rPr>
                <w:rFonts w:ascii="仿宋" w:hAnsi="仿宋" w:eastAsia="仿宋"/>
                <w:color w:val="000000"/>
                <w:sz w:val="24"/>
              </w:rPr>
            </w:pPr>
          </w:p>
          <w:p>
            <w:pPr>
              <w:numPr>
                <w:ilvl w:val="0"/>
                <w:numId w:val="0"/>
              </w:numPr>
              <w:spacing w:line="240" w:lineRule="auto"/>
              <w:ind w:leftChars="0"/>
              <w:jc w:val="both"/>
              <w:rPr>
                <w:rFonts w:ascii="仿宋" w:hAnsi="仿宋" w:eastAsia="仿宋"/>
                <w:color w:val="000000"/>
                <w:sz w:val="24"/>
              </w:rPr>
            </w:pPr>
          </w:p>
          <w:p>
            <w:pPr>
              <w:numPr>
                <w:ilvl w:val="0"/>
                <w:numId w:val="2"/>
              </w:numPr>
              <w:spacing w:line="240" w:lineRule="auto"/>
              <w:jc w:val="center"/>
              <w:rPr>
                <w:rFonts w:ascii="仿宋" w:hAnsi="仿宋" w:eastAsia="仿宋"/>
                <w:color w:val="000000"/>
                <w:sz w:val="24"/>
              </w:rPr>
            </w:pPr>
            <w:r>
              <w:rPr>
                <w:rFonts w:hint="eastAsia" w:ascii="仿宋" w:hAnsi="仿宋" w:eastAsia="仿宋"/>
                <w:color w:val="000000"/>
                <w:sz w:val="24"/>
              </w:rPr>
              <w:t>H</w:t>
            </w:r>
          </w:p>
          <w:p>
            <w:pPr>
              <w:numPr>
                <w:ilvl w:val="0"/>
                <w:numId w:val="3"/>
              </w:numPr>
              <w:spacing w:line="240" w:lineRule="auto"/>
              <w:ind w:left="420" w:leftChars="0" w:hanging="420" w:firstLineChars="0"/>
              <w:jc w:val="center"/>
              <w:rPr>
                <w:rFonts w:ascii="仿宋" w:hAnsi="仿宋" w:eastAsia="仿宋"/>
                <w:color w:val="000000"/>
                <w:sz w:val="24"/>
              </w:rPr>
            </w:pPr>
            <w:r>
              <w:rPr>
                <w:rFonts w:hint="eastAsia" w:ascii="仿宋" w:hAnsi="仿宋" w:eastAsia="仿宋"/>
                <w:color w:val="000000"/>
                <w:sz w:val="24"/>
              </w:rPr>
              <w:t>M</w:t>
            </w:r>
          </w:p>
          <w:p>
            <w:pPr>
              <w:numPr>
                <w:ilvl w:val="0"/>
                <w:numId w:val="2"/>
              </w:numPr>
              <w:spacing w:line="240" w:lineRule="auto"/>
              <w:ind w:left="360" w:leftChars="0" w:hanging="360" w:firstLineChars="0"/>
              <w:jc w:val="center"/>
              <w:rPr>
                <w:rFonts w:ascii="仿宋" w:hAnsi="仿宋" w:eastAsia="仿宋"/>
                <w:color w:val="000000"/>
                <w:sz w:val="24"/>
              </w:rPr>
            </w:pPr>
            <w:r>
              <w:rPr>
                <w:rFonts w:hint="eastAsia" w:ascii="仿宋" w:hAnsi="仿宋" w:eastAsia="仿宋"/>
                <w:color w:val="000000"/>
                <w:sz w:val="24"/>
              </w:rPr>
              <w:t>L</w:t>
            </w:r>
          </w:p>
        </w:tc>
      </w:tr>
      <w:tr>
        <w:tblPrEx>
          <w:tblCellMar>
            <w:top w:w="0" w:type="dxa"/>
            <w:left w:w="108" w:type="dxa"/>
            <w:bottom w:w="0" w:type="dxa"/>
            <w:right w:w="108" w:type="dxa"/>
          </w:tblCellMar>
        </w:tblPrEx>
        <w:trPr>
          <w:trHeight w:val="692" w:hRule="atLeast"/>
          <w:jc w:val="center"/>
        </w:trPr>
        <w:tc>
          <w:tcPr>
            <w:tcW w:w="1534"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both"/>
              <w:rPr>
                <w:rFonts w:hint="eastAsia" w:ascii="仿宋" w:hAnsi="仿宋" w:eastAsia="仿宋" w:cs="仿宋"/>
                <w:sz w:val="20"/>
                <w:szCs w:val="20"/>
              </w:rPr>
            </w:pPr>
            <w:r>
              <w:rPr>
                <w:rFonts w:hint="eastAsia" w:ascii="仿宋" w:hAnsi="仿宋" w:eastAsia="仿宋" w:cs="仿宋"/>
                <w:b/>
                <w:bCs/>
                <w:color w:val="000000"/>
                <w:kern w:val="0"/>
                <w:sz w:val="24"/>
              </w:rPr>
              <w:t>毕业要求9：</w:t>
            </w:r>
            <w:r>
              <w:rPr>
                <w:rFonts w:hint="eastAsia" w:ascii="仿宋" w:hAnsi="仿宋" w:eastAsia="仿宋" w:cs="仿宋"/>
              </w:rPr>
              <w:t>具有自主学习和终 身学习的意识，关注金 融学科的前沿发展现 状和趋势，能够理性认 识自我，具备不断学习和适应发展的能力。</w:t>
            </w:r>
          </w:p>
        </w:tc>
        <w:tc>
          <w:tcPr>
            <w:tcW w:w="1356" w:type="pct"/>
            <w:tcBorders>
              <w:top w:val="single" w:color="auto" w:sz="4" w:space="0"/>
              <w:left w:val="nil"/>
              <w:bottom w:val="single" w:color="auto" w:sz="4" w:space="0"/>
              <w:right w:val="single" w:color="auto" w:sz="4" w:space="0"/>
            </w:tcBorders>
            <w:vAlign w:val="center"/>
          </w:tcPr>
          <w:p>
            <w:pPr>
              <w:spacing w:line="276" w:lineRule="auto"/>
              <w:rPr>
                <w:rFonts w:hint="eastAsia" w:ascii="仿宋" w:hAnsi="仿宋" w:eastAsia="仿宋" w:cs="仿宋"/>
                <w:color w:val="000000"/>
                <w:kern w:val="0"/>
                <w:sz w:val="24"/>
              </w:rPr>
            </w:pPr>
            <w:r>
              <w:rPr>
                <w:rFonts w:hint="eastAsia" w:ascii="仿宋" w:hAnsi="仿宋" w:eastAsia="仿宋" w:cs="仿宋"/>
                <w:b/>
                <w:bCs/>
                <w:sz w:val="24"/>
                <w:lang w:val="en-US" w:eastAsia="zh-CN"/>
              </w:rPr>
              <w:t>观测点5：</w:t>
            </w:r>
            <w:r>
              <w:rPr>
                <w:rFonts w:hint="eastAsia" w:ascii="仿宋" w:hAnsi="仿宋" w:eastAsia="仿宋" w:cs="仿宋"/>
              </w:rPr>
              <w:t>具有自主学习和终身学习的 意识，具备不断学习和适应发展的能力</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ascii="仿宋" w:hAnsi="仿宋" w:eastAsia="仿宋"/>
                <w:color w:val="000000"/>
                <w:kern w:val="0"/>
                <w:sz w:val="24"/>
              </w:rPr>
            </w:pPr>
            <w:r>
              <w:rPr>
                <w:rFonts w:hint="eastAsia" w:ascii="仿宋" w:hAnsi="仿宋" w:eastAsia="仿宋"/>
                <w:color w:val="000000"/>
                <w:kern w:val="0"/>
                <w:sz w:val="24"/>
              </w:rPr>
              <w:t>5</w:t>
            </w:r>
          </w:p>
        </w:tc>
        <w:tc>
          <w:tcPr>
            <w:tcW w:w="860" w:type="pct"/>
            <w:tcBorders>
              <w:top w:val="single" w:color="auto" w:sz="4" w:space="0"/>
              <w:left w:val="nil"/>
              <w:bottom w:val="single" w:color="auto" w:sz="4" w:space="0"/>
              <w:right w:val="single" w:color="auto" w:sz="4" w:space="0"/>
            </w:tcBorders>
            <w:vAlign w:val="center"/>
          </w:tcPr>
          <w:p>
            <w:pPr>
              <w:numPr>
                <w:ilvl w:val="0"/>
                <w:numId w:val="1"/>
              </w:numPr>
              <w:spacing w:line="276" w:lineRule="auto"/>
              <w:ind w:left="420" w:leftChars="0" w:hanging="420" w:firstLineChars="0"/>
              <w:jc w:val="center"/>
              <w:rPr>
                <w:rFonts w:ascii="仿宋" w:hAnsi="仿宋" w:eastAsia="仿宋"/>
                <w:color w:val="000000"/>
                <w:sz w:val="24"/>
              </w:rPr>
            </w:pPr>
            <w:r>
              <w:rPr>
                <w:rFonts w:hint="eastAsia" w:ascii="仿宋" w:hAnsi="仿宋" w:eastAsia="仿宋"/>
                <w:color w:val="000000"/>
                <w:sz w:val="24"/>
              </w:rPr>
              <w:t>H</w:t>
            </w:r>
          </w:p>
          <w:p>
            <w:pPr>
              <w:numPr>
                <w:ilvl w:val="0"/>
                <w:numId w:val="2"/>
              </w:numPr>
              <w:spacing w:line="276" w:lineRule="auto"/>
              <w:jc w:val="center"/>
              <w:rPr>
                <w:rFonts w:ascii="仿宋" w:hAnsi="仿宋" w:eastAsia="仿宋"/>
                <w:color w:val="000000"/>
                <w:sz w:val="24"/>
              </w:rPr>
            </w:pPr>
            <w:r>
              <w:rPr>
                <w:rFonts w:hint="eastAsia" w:ascii="仿宋" w:hAnsi="仿宋" w:eastAsia="仿宋"/>
                <w:color w:val="000000"/>
                <w:sz w:val="24"/>
              </w:rPr>
              <w:t>M</w:t>
            </w:r>
          </w:p>
          <w:p>
            <w:pPr>
              <w:numPr>
                <w:ilvl w:val="0"/>
                <w:numId w:val="2"/>
              </w:numPr>
              <w:spacing w:line="276" w:lineRule="auto"/>
              <w:ind w:left="360" w:leftChars="0" w:hanging="360" w:firstLineChars="0"/>
              <w:jc w:val="center"/>
              <w:rPr>
                <w:rFonts w:ascii="仿宋" w:hAnsi="仿宋" w:eastAsia="仿宋"/>
                <w:color w:val="000000"/>
                <w:sz w:val="24"/>
              </w:rPr>
            </w:pPr>
            <w:r>
              <w:rPr>
                <w:rFonts w:hint="eastAsia" w:ascii="仿宋" w:hAnsi="仿宋" w:eastAsia="仿宋"/>
                <w:color w:val="000000"/>
                <w:sz w:val="24"/>
              </w:rPr>
              <w:t>L</w:t>
            </w:r>
          </w:p>
        </w:tc>
      </w:tr>
    </w:tbl>
    <w:p>
      <w:pPr>
        <w:tabs>
          <w:tab w:val="left" w:pos="-5670"/>
          <w:tab w:val="left" w:pos="-5245"/>
          <w:tab w:val="left" w:pos="1134"/>
        </w:tabs>
        <w:spacing w:before="156" w:beforeLines="50" w:after="156" w:afterLines="50" w:line="360" w:lineRule="auto"/>
        <w:rPr>
          <w:rFonts w:hint="eastAsia" w:eastAsia="黑体"/>
          <w:color w:val="000000"/>
          <w:sz w:val="28"/>
          <w:szCs w:val="28"/>
        </w:rPr>
      </w:pP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9"/>
        <w:tblW w:w="44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
        <w:gridCol w:w="831"/>
        <w:gridCol w:w="1778"/>
        <w:gridCol w:w="414"/>
        <w:gridCol w:w="2062"/>
        <w:gridCol w:w="405"/>
        <w:gridCol w:w="840"/>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jc w:val="center"/>
        </w:trPr>
        <w:tc>
          <w:tcPr>
            <w:tcW w:w="302"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44"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章节/教学单元</w:t>
            </w:r>
          </w:p>
        </w:tc>
        <w:tc>
          <w:tcPr>
            <w:tcW w:w="1164"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271"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351"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13"/>
                <w:szCs w:val="13"/>
                <w:lang w:val="en-GB"/>
              </w:rPr>
              <w:t>（重点、难点、课程思政元素等）</w:t>
            </w:r>
          </w:p>
        </w:tc>
        <w:tc>
          <w:tcPr>
            <w:tcW w:w="265"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0"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50" w:type="pct"/>
            <w:shd w:val="clear" w:color="auto" w:fill="D7D7D7" w:themeFill="background1" w:themeFillShade="D8"/>
            <w:vAlign w:val="center"/>
          </w:tcPr>
          <w:p>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1"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1</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第一章</w:t>
            </w:r>
          </w:p>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sz w:val="18"/>
                <w:szCs w:val="18"/>
              </w:rPr>
              <w:t>商业银行导论</w:t>
            </w:r>
          </w:p>
        </w:tc>
        <w:tc>
          <w:tcPr>
            <w:tcW w:w="1164" w:type="pct"/>
            <w:shd w:val="clear" w:color="auto" w:fill="auto"/>
            <w:vAlign w:val="center"/>
          </w:tcPr>
          <w:p>
            <w:pPr>
              <w:numPr>
                <w:ilvl w:val="1"/>
                <w:numId w:val="4"/>
              </w:numPr>
              <w:bidi w:val="0"/>
              <w:rPr>
                <w:rFonts w:hint="eastAsia" w:ascii="仿宋" w:hAnsi="仿宋" w:eastAsia="仿宋" w:cs="仿宋"/>
                <w:b w:val="0"/>
                <w:bCs w:val="0"/>
                <w:sz w:val="18"/>
                <w:szCs w:val="18"/>
              </w:rPr>
            </w:pPr>
            <w:r>
              <w:rPr>
                <w:rFonts w:hint="eastAsia" w:ascii="仿宋" w:hAnsi="仿宋" w:eastAsia="仿宋" w:cs="仿宋"/>
                <w:b w:val="0"/>
                <w:bCs w:val="0"/>
                <w:sz w:val="18"/>
                <w:szCs w:val="18"/>
              </w:rPr>
              <w:t>商业银行的起源与发展</w:t>
            </w:r>
          </w:p>
          <w:p>
            <w:pPr>
              <w:numPr>
                <w:ilvl w:val="1"/>
                <w:numId w:val="4"/>
              </w:numPr>
              <w:bidi w:val="0"/>
              <w:rPr>
                <w:rFonts w:hint="eastAsia" w:ascii="仿宋" w:hAnsi="仿宋" w:eastAsia="仿宋" w:cs="仿宋"/>
                <w:b w:val="0"/>
                <w:bCs w:val="0"/>
                <w:sz w:val="18"/>
                <w:szCs w:val="18"/>
              </w:rPr>
            </w:pPr>
            <w:r>
              <w:rPr>
                <w:rFonts w:hint="eastAsia" w:ascii="仿宋" w:hAnsi="仿宋" w:eastAsia="仿宋" w:cs="仿宋"/>
                <w:b w:val="0"/>
                <w:bCs w:val="0"/>
                <w:sz w:val="18"/>
                <w:szCs w:val="18"/>
              </w:rPr>
              <w:t>商业银行的性质和作用</w:t>
            </w:r>
          </w:p>
          <w:p>
            <w:pPr>
              <w:numPr>
                <w:ilvl w:val="1"/>
                <w:numId w:val="4"/>
              </w:numPr>
              <w:bidi w:val="0"/>
              <w:rPr>
                <w:rFonts w:hint="eastAsia"/>
                <w:b w:val="0"/>
                <w:bCs w:val="0"/>
                <w:lang w:val="en-GB"/>
              </w:rPr>
            </w:pPr>
            <w:r>
              <w:rPr>
                <w:rFonts w:hint="eastAsia" w:ascii="仿宋" w:hAnsi="仿宋" w:eastAsia="仿宋" w:cs="仿宋"/>
                <w:b w:val="0"/>
                <w:bCs w:val="0"/>
                <w:sz w:val="18"/>
                <w:szCs w:val="18"/>
              </w:rPr>
              <w:t>商业银行的组织结构</w:t>
            </w:r>
          </w:p>
          <w:p>
            <w:pPr>
              <w:numPr>
                <w:ilvl w:val="1"/>
                <w:numId w:val="4"/>
              </w:numPr>
              <w:bidi w:val="0"/>
              <w:rPr>
                <w:rFonts w:hint="eastAsia"/>
                <w:b w:val="0"/>
                <w:bCs w:val="0"/>
                <w:lang w:val="en-GB"/>
              </w:rPr>
            </w:pPr>
            <w:r>
              <w:rPr>
                <w:rFonts w:hint="eastAsia" w:ascii="仿宋" w:hAnsi="仿宋" w:eastAsia="仿宋" w:cs="仿宋"/>
                <w:b w:val="0"/>
                <w:bCs w:val="0"/>
                <w:sz w:val="18"/>
                <w:szCs w:val="18"/>
              </w:rPr>
              <w:t>政</w:t>
            </w:r>
            <w:r>
              <w:rPr>
                <w:rFonts w:hint="eastAsia" w:ascii="仿宋" w:hAnsi="仿宋" w:eastAsia="仿宋" w:cs="仿宋"/>
                <w:b w:val="0"/>
                <w:bCs w:val="0"/>
                <w:sz w:val="18"/>
                <w:szCs w:val="18"/>
              </w:rPr>
              <w:t>府对银行业的监管</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4</w:t>
            </w:r>
          </w:p>
        </w:tc>
        <w:tc>
          <w:tcPr>
            <w:tcW w:w="1351" w:type="pct"/>
            <w:vAlign w:val="center"/>
          </w:tcPr>
          <w:p>
            <w:pPr>
              <w:pStyle w:val="27"/>
              <w:numPr>
                <w:numId w:val="0"/>
              </w:numPr>
              <w:suppressAutoHyphens/>
              <w:spacing w:before="156" w:beforeLines="50" w:after="156" w:afterLines="50" w:line="240" w:lineRule="auto"/>
              <w:ind w:leftChars="0"/>
              <w:jc w:val="both"/>
              <w:rPr>
                <w:rFonts w:hint="eastAsia" w:ascii="仿宋" w:hAnsi="仿宋" w:eastAsia="仿宋" w:cs="仿宋"/>
                <w:bCs/>
                <w:spacing w:val="-3"/>
                <w:sz w:val="18"/>
                <w:szCs w:val="18"/>
                <w:lang w:val="en-GB" w:eastAsia="zh-CN"/>
              </w:rPr>
            </w:pPr>
            <w:r>
              <w:rPr>
                <w:rFonts w:hint="eastAsia" w:ascii="仿宋" w:hAnsi="仿宋" w:eastAsia="仿宋" w:cs="仿宋"/>
                <w:b/>
                <w:bCs w:val="0"/>
                <w:color w:val="auto"/>
                <w:spacing w:val="-3"/>
                <w:sz w:val="18"/>
                <w:szCs w:val="18"/>
                <w:lang w:val="en-US" w:eastAsia="zh-CN"/>
              </w:rPr>
              <w:t>【重点】:</w:t>
            </w:r>
            <w:r>
              <w:rPr>
                <w:rFonts w:hint="eastAsia" w:ascii="仿宋" w:hAnsi="仿宋" w:eastAsia="仿宋" w:cs="仿宋"/>
                <w:kern w:val="2"/>
                <w:sz w:val="18"/>
                <w:szCs w:val="18"/>
                <w:lang w:val="en-GB" w:eastAsia="zh-CN" w:bidi="ar-SA"/>
              </w:rPr>
              <w:t>商业银行的性质和作用、政府对银行监管的必要性。</w:t>
            </w:r>
          </w:p>
          <w:p>
            <w:pPr>
              <w:pStyle w:val="27"/>
              <w:numPr>
                <w:numId w:val="0"/>
              </w:numPr>
              <w:suppressAutoHyphens/>
              <w:spacing w:before="156" w:beforeLines="50" w:after="156" w:afterLines="50" w:line="240" w:lineRule="auto"/>
              <w:ind w:leftChars="0"/>
              <w:jc w:val="both"/>
              <w:rPr>
                <w:rFonts w:hint="eastAsia" w:ascii="仿宋" w:hAnsi="仿宋" w:eastAsia="仿宋" w:cs="仿宋"/>
                <w:bCs/>
                <w:spacing w:val="-3"/>
                <w:sz w:val="18"/>
                <w:szCs w:val="18"/>
                <w:lang w:val="en-GB"/>
              </w:rPr>
            </w:pPr>
            <w:r>
              <w:rPr>
                <w:rFonts w:hint="eastAsia" w:ascii="仿宋" w:hAnsi="仿宋" w:eastAsia="仿宋" w:cs="仿宋"/>
                <w:b/>
                <w:bCs w:val="0"/>
                <w:color w:val="auto"/>
                <w:spacing w:val="-3"/>
                <w:sz w:val="18"/>
                <w:szCs w:val="18"/>
                <w:lang w:val="en-GB" w:eastAsia="zh-CN"/>
              </w:rPr>
              <w:t>【</w:t>
            </w:r>
            <w:r>
              <w:rPr>
                <w:rFonts w:hint="eastAsia" w:ascii="仿宋" w:hAnsi="仿宋" w:eastAsia="仿宋" w:cs="仿宋"/>
                <w:b/>
                <w:bCs w:val="0"/>
                <w:color w:val="auto"/>
                <w:spacing w:val="-3"/>
                <w:sz w:val="18"/>
                <w:szCs w:val="18"/>
                <w:lang w:val="en-GB"/>
              </w:rPr>
              <w:t>课程思政</w:t>
            </w:r>
            <w:r>
              <w:rPr>
                <w:rFonts w:hint="eastAsia" w:ascii="仿宋" w:hAnsi="仿宋" w:eastAsia="仿宋" w:cs="仿宋"/>
                <w:b/>
                <w:bCs w:val="0"/>
                <w:color w:val="auto"/>
                <w:spacing w:val="-3"/>
                <w:sz w:val="18"/>
                <w:szCs w:val="18"/>
                <w:lang w:val="en-GB" w:eastAsia="zh-CN"/>
              </w:rPr>
              <w:t>】</w:t>
            </w:r>
            <w:r>
              <w:rPr>
                <w:rFonts w:hint="eastAsia" w:ascii="仿宋" w:hAnsi="仿宋" w:eastAsia="仿宋" w:cs="仿宋"/>
                <w:b/>
                <w:bCs w:val="0"/>
                <w:color w:val="auto"/>
                <w:spacing w:val="-3"/>
                <w:sz w:val="18"/>
                <w:szCs w:val="18"/>
                <w:lang w:val="en-US" w:eastAsia="zh-CN"/>
              </w:rPr>
              <w:t>:</w:t>
            </w:r>
            <w:r>
              <w:rPr>
                <w:rFonts w:hint="eastAsia" w:ascii="仿宋" w:hAnsi="仿宋" w:eastAsia="仿宋" w:cs="仿宋"/>
                <w:kern w:val="2"/>
                <w:sz w:val="18"/>
                <w:szCs w:val="18"/>
                <w:lang w:val="en-GB" w:eastAsia="zh-CN" w:bidi="ar-SA"/>
              </w:rPr>
              <w:t>我国商业银行发展的辉煌历程</w:t>
            </w:r>
          </w:p>
        </w:tc>
        <w:tc>
          <w:tcPr>
            <w:tcW w:w="265"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US" w:eastAsia="zh-CN"/>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1"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2</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第二章</w:t>
            </w:r>
          </w:p>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sz w:val="18"/>
                <w:szCs w:val="18"/>
              </w:rPr>
              <w:t>商业银行资本管理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2.1 商业银行资本的性质与作用</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2.2 商业银行资本的构成</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2.3 资本充足与商业银行的稳健</w:t>
            </w:r>
          </w:p>
          <w:p>
            <w:pPr>
              <w:bidi w:val="0"/>
              <w:ind w:left="360" w:hanging="360" w:hangingChars="200"/>
              <w:rPr>
                <w:rFonts w:hint="eastAsia"/>
                <w:lang w:val="en-GB"/>
              </w:rPr>
            </w:pPr>
            <w:r>
              <w:rPr>
                <w:rFonts w:hint="eastAsia" w:ascii="仿宋" w:hAnsi="仿宋" w:eastAsia="仿宋" w:cs="仿宋"/>
                <w:sz w:val="18"/>
                <w:szCs w:val="18"/>
              </w:rPr>
              <w:t>2.4 资本的筹集与管理</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6</w:t>
            </w:r>
          </w:p>
        </w:tc>
        <w:tc>
          <w:tcPr>
            <w:tcW w:w="1351" w:type="pct"/>
            <w:vAlign w:val="center"/>
          </w:tcPr>
          <w:p>
            <w:pPr>
              <w:spacing w:line="240" w:lineRule="auto"/>
              <w:jc w:val="both"/>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银行业面临的主要风险</w:t>
            </w:r>
            <w:r>
              <w:rPr>
                <w:rFonts w:hint="eastAsia" w:ascii="仿宋" w:hAnsi="仿宋" w:eastAsia="仿宋" w:cs="仿宋"/>
                <w:sz w:val="18"/>
                <w:szCs w:val="18"/>
                <w:lang w:eastAsia="zh-CN"/>
              </w:rPr>
              <w:t>、</w:t>
            </w:r>
            <w:r>
              <w:rPr>
                <w:rFonts w:hint="eastAsia" w:ascii="仿宋" w:hAnsi="仿宋" w:eastAsia="仿宋" w:cs="仿宋"/>
                <w:sz w:val="18"/>
                <w:szCs w:val="18"/>
              </w:rPr>
              <w:t>商业银行资本的多种功能</w:t>
            </w:r>
            <w:r>
              <w:rPr>
                <w:rFonts w:hint="eastAsia" w:ascii="仿宋" w:hAnsi="仿宋" w:eastAsia="仿宋" w:cs="仿宋"/>
                <w:sz w:val="18"/>
                <w:szCs w:val="18"/>
                <w:lang w:eastAsia="zh-CN"/>
              </w:rPr>
              <w:t>、</w:t>
            </w:r>
            <w:r>
              <w:rPr>
                <w:rFonts w:hint="eastAsia" w:ascii="仿宋" w:hAnsi="仿宋" w:eastAsia="仿宋" w:cs="仿宋"/>
                <w:sz w:val="18"/>
                <w:szCs w:val="18"/>
              </w:rPr>
              <w:t>《巴塞尔协议》对资本的规定</w:t>
            </w:r>
            <w:r>
              <w:rPr>
                <w:rFonts w:hint="eastAsia" w:ascii="仿宋" w:hAnsi="仿宋" w:eastAsia="仿宋" w:cs="仿宋"/>
                <w:sz w:val="18"/>
                <w:szCs w:val="18"/>
                <w:lang w:eastAsia="zh-CN"/>
              </w:rPr>
              <w:t>、</w:t>
            </w:r>
            <w:r>
              <w:rPr>
                <w:rFonts w:hint="eastAsia" w:ascii="仿宋" w:hAnsi="仿宋" w:eastAsia="仿宋" w:cs="仿宋"/>
                <w:sz w:val="18"/>
                <w:szCs w:val="18"/>
              </w:rPr>
              <w:t>资本充足与商业银行的稳健经营</w:t>
            </w:r>
            <w:r>
              <w:rPr>
                <w:rFonts w:hint="eastAsia" w:ascii="仿宋" w:hAnsi="仿宋" w:eastAsia="仿宋" w:cs="仿宋"/>
                <w:sz w:val="18"/>
                <w:szCs w:val="18"/>
                <w:lang w:eastAsia="zh-CN"/>
              </w:rPr>
              <w:t>、</w:t>
            </w:r>
            <w:r>
              <w:rPr>
                <w:rFonts w:hint="eastAsia" w:ascii="仿宋" w:hAnsi="仿宋" w:eastAsia="仿宋" w:cs="仿宋"/>
                <w:sz w:val="18"/>
                <w:szCs w:val="18"/>
              </w:rPr>
              <w:t>《巴塞尔协议》的实施与意义</w:t>
            </w:r>
            <w:r>
              <w:rPr>
                <w:rFonts w:hint="eastAsia" w:ascii="仿宋" w:hAnsi="仿宋" w:eastAsia="仿宋" w:cs="仿宋"/>
                <w:sz w:val="18"/>
                <w:szCs w:val="18"/>
                <w:lang w:eastAsia="zh-CN"/>
              </w:rPr>
              <w:t>。</w:t>
            </w:r>
          </w:p>
          <w:p>
            <w:pPr>
              <w:spacing w:line="240" w:lineRule="auto"/>
              <w:jc w:val="both"/>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商业银行的规模与资本构成</w:t>
            </w:r>
            <w:r>
              <w:rPr>
                <w:rFonts w:hint="eastAsia" w:ascii="仿宋" w:hAnsi="仿宋" w:eastAsia="仿宋" w:cs="仿宋"/>
                <w:sz w:val="18"/>
                <w:szCs w:val="18"/>
                <w:lang w:eastAsia="zh-CN"/>
              </w:rPr>
              <w:t>、</w:t>
            </w:r>
            <w:r>
              <w:rPr>
                <w:rFonts w:hint="eastAsia" w:ascii="仿宋" w:hAnsi="仿宋" w:eastAsia="仿宋" w:cs="仿宋"/>
                <w:sz w:val="18"/>
                <w:szCs w:val="18"/>
              </w:rPr>
              <w:t>《巴塞尔协议Ⅲ》对资本充足的测定</w:t>
            </w:r>
          </w:p>
          <w:p>
            <w:pPr>
              <w:spacing w:line="240" w:lineRule="auto"/>
              <w:jc w:val="both"/>
              <w:rPr>
                <w:rFonts w:hint="eastAsia" w:ascii="仿宋" w:hAnsi="仿宋" w:eastAsia="仿宋" w:cs="仿宋"/>
                <w:b/>
                <w:spacing w:val="-3"/>
                <w:sz w:val="18"/>
                <w:szCs w:val="18"/>
                <w:lang w:val="en-GB"/>
              </w:rPr>
            </w:pPr>
            <w:r>
              <w:rPr>
                <w:rFonts w:hint="eastAsia" w:ascii="仿宋" w:hAnsi="仿宋" w:eastAsia="仿宋" w:cs="仿宋"/>
                <w:b/>
                <w:bCs w:val="0"/>
                <w:color w:val="auto"/>
                <w:spacing w:val="-3"/>
                <w:kern w:val="2"/>
                <w:sz w:val="18"/>
                <w:szCs w:val="18"/>
                <w:lang w:val="en-GB" w:eastAsia="zh-CN" w:bidi="ar-SA"/>
              </w:rPr>
              <w:t>【课程思政】</w:t>
            </w:r>
            <w:r>
              <w:rPr>
                <w:rFonts w:hint="eastAsia" w:ascii="仿宋" w:hAnsi="仿宋" w:eastAsia="仿宋" w:cs="仿宋"/>
                <w:b/>
                <w:bCs w:val="0"/>
                <w:color w:val="auto"/>
                <w:spacing w:val="-3"/>
                <w:kern w:val="2"/>
                <w:sz w:val="18"/>
                <w:szCs w:val="18"/>
                <w:lang w:val="en-US" w:eastAsia="zh-CN" w:bidi="ar-SA"/>
              </w:rPr>
              <w:t>:</w:t>
            </w:r>
            <w:r>
              <w:rPr>
                <w:rFonts w:hint="eastAsia" w:ascii="仿宋" w:hAnsi="仿宋" w:eastAsia="仿宋" w:cs="仿宋"/>
                <w:sz w:val="18"/>
                <w:szCs w:val="18"/>
              </w:rPr>
              <w:t>从《巴塞尔协议》实施，看银行监管的必要性。</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5"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3</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第三章</w:t>
            </w:r>
          </w:p>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sz w:val="18"/>
                <w:szCs w:val="18"/>
              </w:rPr>
              <w:t>商业银行负债管理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3.1 存款的种类和构成</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3.2 存款的定价</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3.3</w:t>
            </w:r>
            <w:r>
              <w:rPr>
                <w:rFonts w:hint="eastAsia" w:ascii="仿宋" w:hAnsi="仿宋" w:eastAsia="仿宋" w:cs="仿宋"/>
                <w:sz w:val="18"/>
                <w:szCs w:val="18"/>
                <w:lang w:val="en-US" w:eastAsia="zh-CN"/>
              </w:rPr>
              <w:t xml:space="preserve"> </w:t>
            </w:r>
            <w:r>
              <w:rPr>
                <w:rFonts w:hint="eastAsia" w:ascii="仿宋" w:hAnsi="仿宋" w:eastAsia="仿宋" w:cs="仿宋"/>
                <w:sz w:val="18"/>
                <w:szCs w:val="18"/>
              </w:rPr>
              <w:t>非存款性的</w:t>
            </w:r>
            <w:r>
              <w:rPr>
                <w:rFonts w:hint="eastAsia" w:ascii="仿宋" w:hAnsi="仿宋" w:eastAsia="仿宋" w:cs="仿宋"/>
                <w:sz w:val="18"/>
                <w:szCs w:val="18"/>
                <w:lang w:val="en-US" w:eastAsia="zh-CN"/>
              </w:rPr>
              <w:t xml:space="preserve">  </w:t>
            </w:r>
            <w:r>
              <w:rPr>
                <w:rFonts w:hint="eastAsia" w:ascii="仿宋" w:hAnsi="仿宋" w:eastAsia="仿宋" w:cs="仿宋"/>
                <w:sz w:val="18"/>
                <w:szCs w:val="18"/>
              </w:rPr>
              <w:t>资金来源</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3.4 商业银行负债成本管理</w:t>
            </w:r>
          </w:p>
          <w:p>
            <w:pPr>
              <w:bidi w:val="0"/>
              <w:ind w:left="360" w:hanging="360" w:hangingChars="200"/>
              <w:rPr>
                <w:rFonts w:hint="eastAsia" w:ascii="仿宋" w:hAnsi="仿宋" w:eastAsia="仿宋" w:cs="仿宋"/>
                <w:sz w:val="18"/>
                <w:szCs w:val="18"/>
                <w:lang w:val="en-GB"/>
              </w:rPr>
            </w:pPr>
            <w:r>
              <w:rPr>
                <w:rFonts w:hint="eastAsia" w:ascii="仿宋" w:hAnsi="仿宋" w:eastAsia="仿宋" w:cs="仿宋"/>
                <w:sz w:val="18"/>
                <w:szCs w:val="18"/>
              </w:rPr>
              <w:t>3.5 我国商业银行的负债结构分析</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4</w:t>
            </w:r>
          </w:p>
        </w:tc>
        <w:tc>
          <w:tcPr>
            <w:tcW w:w="1351" w:type="pct"/>
            <w:vAlign w:val="center"/>
          </w:tcPr>
          <w:p>
            <w:pPr>
              <w:spacing w:line="240" w:lineRule="auto"/>
              <w:jc w:val="both"/>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存款定价与商业银行的经营目标</w:t>
            </w:r>
            <w:r>
              <w:rPr>
                <w:rFonts w:hint="eastAsia" w:ascii="仿宋" w:hAnsi="仿宋" w:eastAsia="仿宋" w:cs="仿宋"/>
                <w:sz w:val="18"/>
                <w:szCs w:val="18"/>
                <w:lang w:eastAsia="zh-CN"/>
              </w:rPr>
              <w:t>、</w:t>
            </w:r>
            <w:r>
              <w:rPr>
                <w:rFonts w:hint="eastAsia" w:ascii="仿宋" w:hAnsi="仿宋" w:eastAsia="仿宋" w:cs="仿宋"/>
                <w:sz w:val="18"/>
                <w:szCs w:val="18"/>
              </w:rPr>
              <w:t>从中央银行的贴现借款</w:t>
            </w:r>
            <w:r>
              <w:rPr>
                <w:rFonts w:hint="eastAsia" w:ascii="仿宋" w:hAnsi="仿宋" w:eastAsia="仿宋" w:cs="仿宋"/>
                <w:sz w:val="18"/>
                <w:szCs w:val="18"/>
                <w:lang w:eastAsia="zh-CN"/>
              </w:rPr>
              <w:t>、</w:t>
            </w:r>
            <w:r>
              <w:rPr>
                <w:rFonts w:hint="eastAsia" w:ascii="仿宋" w:hAnsi="仿宋" w:eastAsia="仿宋" w:cs="仿宋"/>
                <w:sz w:val="18"/>
                <w:szCs w:val="18"/>
              </w:rPr>
              <w:t>证券回购</w:t>
            </w:r>
            <w:r>
              <w:rPr>
                <w:rFonts w:hint="eastAsia" w:ascii="仿宋" w:hAnsi="仿宋" w:eastAsia="仿宋" w:cs="仿宋"/>
                <w:sz w:val="18"/>
                <w:szCs w:val="18"/>
                <w:lang w:eastAsia="zh-CN"/>
              </w:rPr>
              <w:t>、</w:t>
            </w:r>
            <w:r>
              <w:rPr>
                <w:rFonts w:hint="eastAsia" w:ascii="仿宋" w:hAnsi="仿宋" w:eastAsia="仿宋" w:cs="仿宋"/>
                <w:sz w:val="18"/>
                <w:szCs w:val="18"/>
              </w:rPr>
              <w:t>发行中长期债券</w:t>
            </w:r>
            <w:r>
              <w:rPr>
                <w:rFonts w:hint="eastAsia" w:ascii="仿宋" w:hAnsi="仿宋" w:eastAsia="仿宋" w:cs="仿宋"/>
                <w:sz w:val="18"/>
                <w:szCs w:val="18"/>
                <w:lang w:eastAsia="zh-CN"/>
              </w:rPr>
              <w:t>、</w:t>
            </w:r>
            <w:r>
              <w:rPr>
                <w:rFonts w:hint="eastAsia" w:ascii="仿宋" w:hAnsi="仿宋" w:eastAsia="仿宋" w:cs="仿宋"/>
                <w:sz w:val="18"/>
                <w:szCs w:val="18"/>
              </w:rPr>
              <w:t>成本的分析方法</w:t>
            </w:r>
            <w:r>
              <w:rPr>
                <w:rFonts w:hint="eastAsia" w:ascii="仿宋" w:hAnsi="仿宋" w:eastAsia="仿宋" w:cs="仿宋"/>
                <w:sz w:val="18"/>
                <w:szCs w:val="18"/>
                <w:lang w:eastAsia="zh-CN"/>
              </w:rPr>
              <w:t>。</w:t>
            </w:r>
          </w:p>
          <w:p>
            <w:pPr>
              <w:suppressAutoHyphens/>
              <w:spacing w:before="156" w:beforeLines="50" w:after="156" w:afterLines="50" w:line="240" w:lineRule="auto"/>
              <w:jc w:val="both"/>
              <w:rPr>
                <w:rFonts w:hint="eastAsia" w:ascii="仿宋" w:hAnsi="仿宋" w:eastAsia="仿宋" w:cs="仿宋"/>
                <w:b/>
                <w:spacing w:val="-3"/>
                <w:sz w:val="18"/>
                <w:szCs w:val="18"/>
                <w:lang w:val="en-GB" w:eastAsia="zh-CN"/>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存款的成本加利润定价法</w:t>
            </w:r>
            <w:r>
              <w:rPr>
                <w:rFonts w:hint="eastAsia" w:ascii="仿宋" w:hAnsi="仿宋" w:eastAsia="仿宋" w:cs="仿宋"/>
                <w:sz w:val="18"/>
                <w:szCs w:val="18"/>
                <w:lang w:eastAsia="zh-CN"/>
              </w:rPr>
              <w:t>、</w:t>
            </w:r>
            <w:r>
              <w:rPr>
                <w:rFonts w:hint="eastAsia" w:ascii="仿宋" w:hAnsi="仿宋" w:eastAsia="仿宋" w:cs="仿宋"/>
                <w:sz w:val="18"/>
                <w:szCs w:val="18"/>
              </w:rPr>
              <w:t>边际成本定价法</w:t>
            </w:r>
            <w:r>
              <w:rPr>
                <w:rFonts w:hint="eastAsia" w:ascii="仿宋" w:hAnsi="仿宋" w:eastAsia="仿宋" w:cs="仿宋"/>
                <w:sz w:val="18"/>
                <w:szCs w:val="18"/>
                <w:lang w:eastAsia="zh-CN"/>
              </w:rPr>
              <w:t>、</w:t>
            </w:r>
            <w:r>
              <w:rPr>
                <w:rFonts w:hint="eastAsia" w:ascii="仿宋" w:hAnsi="仿宋" w:eastAsia="仿宋" w:cs="仿宋"/>
                <w:sz w:val="18"/>
                <w:szCs w:val="18"/>
              </w:rPr>
              <w:t>其他定价方法</w:t>
            </w:r>
            <w:r>
              <w:rPr>
                <w:rFonts w:hint="eastAsia" w:ascii="仿宋" w:hAnsi="仿宋" w:eastAsia="仿宋" w:cs="仿宋"/>
                <w:sz w:val="18"/>
                <w:szCs w:val="18"/>
                <w:lang w:eastAsia="zh-CN"/>
              </w:rPr>
              <w:t>、</w:t>
            </w:r>
            <w:r>
              <w:rPr>
                <w:rFonts w:hint="eastAsia" w:ascii="仿宋" w:hAnsi="仿宋" w:eastAsia="仿宋" w:cs="仿宋"/>
                <w:sz w:val="18"/>
                <w:szCs w:val="18"/>
              </w:rPr>
              <w:t>非存款性资金来源</w:t>
            </w:r>
            <w:r>
              <w:rPr>
                <w:rFonts w:hint="eastAsia" w:ascii="仿宋" w:hAnsi="仿宋" w:eastAsia="仿宋" w:cs="仿宋"/>
                <w:sz w:val="18"/>
                <w:szCs w:val="18"/>
                <w:lang w:eastAsia="zh-CN"/>
              </w:rPr>
              <w:t>。</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0"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4</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第四章</w:t>
            </w:r>
          </w:p>
          <w:p>
            <w:pPr>
              <w:rPr>
                <w:rFonts w:hint="eastAsia" w:ascii="仿宋" w:hAnsi="仿宋" w:eastAsia="仿宋" w:cs="仿宋"/>
                <w:sz w:val="18"/>
                <w:szCs w:val="18"/>
              </w:rPr>
            </w:pPr>
            <w:r>
              <w:rPr>
                <w:rFonts w:hint="eastAsia" w:ascii="仿宋" w:hAnsi="仿宋" w:eastAsia="仿宋" w:cs="仿宋"/>
                <w:sz w:val="18"/>
                <w:szCs w:val="18"/>
              </w:rPr>
              <w:t>商业银行现金资产管理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4.1 商业银行现金资产管理的目的和原则</w:t>
            </w:r>
          </w:p>
          <w:p>
            <w:pPr>
              <w:bidi w:val="0"/>
              <w:ind w:left="360" w:hanging="360" w:hangingChars="200"/>
              <w:rPr>
                <w:rFonts w:hint="eastAsia" w:ascii="仿宋" w:hAnsi="仿宋" w:eastAsia="仿宋" w:cs="仿宋"/>
                <w:sz w:val="18"/>
                <w:szCs w:val="18"/>
                <w:lang w:val="en-US" w:eastAsia="zh-CN"/>
              </w:rPr>
            </w:pPr>
            <w:r>
              <w:rPr>
                <w:rFonts w:hint="eastAsia" w:ascii="仿宋" w:hAnsi="仿宋" w:eastAsia="仿宋" w:cs="仿宋"/>
                <w:sz w:val="18"/>
                <w:szCs w:val="18"/>
              </w:rPr>
              <w:t>4.2 存款准备金的</w:t>
            </w:r>
            <w:r>
              <w:rPr>
                <w:rFonts w:hint="eastAsia" w:ascii="仿宋" w:hAnsi="仿宋" w:eastAsia="仿宋" w:cs="仿宋"/>
                <w:sz w:val="18"/>
                <w:szCs w:val="18"/>
                <w:lang w:val="en-US" w:eastAsia="zh-CN"/>
              </w:rPr>
              <w:t>管理</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4.3 商业银行的流动性需求</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4.4 商业银行的流动性管理</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4</w:t>
            </w:r>
          </w:p>
        </w:tc>
        <w:tc>
          <w:tcPr>
            <w:tcW w:w="1351" w:type="pct"/>
            <w:vAlign w:val="center"/>
          </w:tcPr>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现金资产的构成</w:t>
            </w:r>
            <w:r>
              <w:rPr>
                <w:rFonts w:hint="eastAsia" w:ascii="仿宋" w:hAnsi="仿宋" w:eastAsia="仿宋" w:cs="仿宋"/>
                <w:sz w:val="18"/>
                <w:szCs w:val="18"/>
                <w:lang w:eastAsia="zh-CN"/>
              </w:rPr>
              <w:t>、</w:t>
            </w:r>
            <w:r>
              <w:rPr>
                <w:rFonts w:hint="eastAsia" w:ascii="仿宋" w:hAnsi="仿宋" w:eastAsia="仿宋" w:cs="仿宋"/>
                <w:sz w:val="18"/>
                <w:szCs w:val="18"/>
              </w:rPr>
              <w:t>现金资产管理的目的及原则</w:t>
            </w:r>
            <w:r>
              <w:rPr>
                <w:rFonts w:hint="eastAsia" w:ascii="仿宋" w:hAnsi="仿宋" w:eastAsia="仿宋" w:cs="仿宋"/>
                <w:sz w:val="18"/>
                <w:szCs w:val="18"/>
                <w:lang w:eastAsia="zh-CN"/>
              </w:rPr>
              <w:t>、</w:t>
            </w:r>
            <w:r>
              <w:rPr>
                <w:rFonts w:hint="eastAsia" w:ascii="仿宋" w:hAnsi="仿宋" w:eastAsia="仿宋" w:cs="仿宋"/>
                <w:sz w:val="18"/>
                <w:szCs w:val="18"/>
              </w:rPr>
              <w:t>存款准备金及管理</w:t>
            </w:r>
            <w:r>
              <w:rPr>
                <w:rFonts w:hint="eastAsia" w:ascii="仿宋" w:hAnsi="仿宋" w:eastAsia="仿宋" w:cs="仿宋"/>
                <w:sz w:val="18"/>
                <w:szCs w:val="18"/>
                <w:lang w:eastAsia="zh-CN"/>
              </w:rPr>
              <w:t>、</w:t>
            </w:r>
            <w:r>
              <w:rPr>
                <w:rFonts w:hint="eastAsia" w:ascii="仿宋" w:hAnsi="仿宋" w:eastAsia="仿宋" w:cs="仿宋"/>
                <w:sz w:val="18"/>
                <w:szCs w:val="18"/>
              </w:rPr>
              <w:t>商业银行的流动性需求及其种类</w:t>
            </w:r>
            <w:r>
              <w:rPr>
                <w:rFonts w:hint="eastAsia" w:ascii="仿宋" w:hAnsi="仿宋" w:eastAsia="仿宋" w:cs="仿宋"/>
                <w:sz w:val="18"/>
                <w:szCs w:val="18"/>
                <w:lang w:eastAsia="zh-CN"/>
              </w:rPr>
              <w:t>、</w:t>
            </w:r>
            <w:r>
              <w:rPr>
                <w:rFonts w:hint="eastAsia" w:ascii="仿宋" w:hAnsi="仿宋" w:eastAsia="仿宋" w:cs="仿宋"/>
                <w:sz w:val="18"/>
                <w:szCs w:val="18"/>
              </w:rPr>
              <w:t>流动性需求与供给的协调管理方法</w:t>
            </w:r>
          </w:p>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银行流动性需求的预测</w:t>
            </w:r>
          </w:p>
          <w:p>
            <w:pPr>
              <w:rPr>
                <w:rFonts w:hint="eastAsia" w:ascii="仿宋" w:hAnsi="仿宋" w:eastAsia="仿宋" w:cs="仿宋"/>
                <w:sz w:val="18"/>
                <w:szCs w:val="18"/>
              </w:rPr>
            </w:pP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0"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5</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第五章</w:t>
            </w:r>
          </w:p>
          <w:p>
            <w:pPr>
              <w:rPr>
                <w:rFonts w:hint="eastAsia" w:ascii="仿宋" w:hAnsi="仿宋" w:eastAsia="仿宋" w:cs="仿宋"/>
                <w:sz w:val="18"/>
                <w:szCs w:val="18"/>
              </w:rPr>
            </w:pPr>
            <w:r>
              <w:rPr>
                <w:rFonts w:hint="eastAsia" w:ascii="仿宋" w:hAnsi="仿宋" w:eastAsia="仿宋" w:cs="仿宋"/>
                <w:sz w:val="18"/>
                <w:szCs w:val="18"/>
              </w:rPr>
              <w:t>贷款政策与管理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5.1 贷款的种类及组合</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5.2 贷款政策与程序</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5.3 贷款的审查</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5.4 贷款的质量评价</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5.5 问题贷款的发现和处理</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5.6 我国商业银行信贷资产管理现状</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US" w:eastAsia="zh-CN"/>
              </w:rPr>
            </w:pPr>
            <w:r>
              <w:rPr>
                <w:rFonts w:hint="eastAsia" w:ascii="仿宋" w:hAnsi="仿宋" w:eastAsia="仿宋" w:cs="仿宋"/>
                <w:b/>
                <w:bCs w:val="0"/>
                <w:spacing w:val="-3"/>
                <w:sz w:val="18"/>
                <w:szCs w:val="18"/>
                <w:lang w:val="en-US" w:eastAsia="zh-CN"/>
              </w:rPr>
              <w:t>5</w:t>
            </w:r>
          </w:p>
        </w:tc>
        <w:tc>
          <w:tcPr>
            <w:tcW w:w="1351" w:type="pct"/>
            <w:vAlign w:val="center"/>
          </w:tcPr>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贷款的种类</w:t>
            </w:r>
            <w:r>
              <w:rPr>
                <w:rFonts w:hint="eastAsia" w:ascii="仿宋" w:hAnsi="仿宋" w:eastAsia="仿宋" w:cs="仿宋"/>
                <w:sz w:val="18"/>
                <w:szCs w:val="18"/>
                <w:lang w:eastAsia="zh-CN"/>
              </w:rPr>
              <w:t>、</w:t>
            </w:r>
            <w:r>
              <w:rPr>
                <w:rFonts w:hint="eastAsia" w:ascii="仿宋" w:hAnsi="仿宋" w:eastAsia="仿宋" w:cs="仿宋"/>
                <w:sz w:val="18"/>
                <w:szCs w:val="18"/>
              </w:rPr>
              <w:t>贷款政策的原则</w:t>
            </w:r>
            <w:r>
              <w:rPr>
                <w:rFonts w:hint="eastAsia" w:ascii="仿宋" w:hAnsi="仿宋" w:eastAsia="仿宋" w:cs="仿宋"/>
                <w:sz w:val="18"/>
                <w:szCs w:val="18"/>
                <w:lang w:eastAsia="zh-CN"/>
              </w:rPr>
              <w:t>、</w:t>
            </w:r>
            <w:r>
              <w:rPr>
                <w:rFonts w:hint="eastAsia" w:ascii="仿宋" w:hAnsi="仿宋" w:eastAsia="仿宋" w:cs="仿宋"/>
                <w:sz w:val="18"/>
                <w:szCs w:val="18"/>
              </w:rPr>
              <w:t>贷款分类结果</w:t>
            </w:r>
            <w:r>
              <w:rPr>
                <w:rFonts w:hint="eastAsia" w:ascii="仿宋" w:hAnsi="仿宋" w:eastAsia="仿宋" w:cs="仿宋"/>
                <w:sz w:val="18"/>
                <w:szCs w:val="18"/>
                <w:lang w:eastAsia="zh-CN"/>
              </w:rPr>
              <w:t>、</w:t>
            </w:r>
            <w:r>
              <w:rPr>
                <w:rFonts w:hint="eastAsia" w:ascii="仿宋" w:hAnsi="仿宋" w:eastAsia="仿宋" w:cs="仿宋"/>
                <w:sz w:val="18"/>
                <w:szCs w:val="18"/>
              </w:rPr>
              <w:t>我国银行体系信贷资产的结构</w:t>
            </w:r>
            <w:r>
              <w:rPr>
                <w:rFonts w:hint="eastAsia" w:ascii="仿宋" w:hAnsi="仿宋" w:eastAsia="仿宋" w:cs="仿宋"/>
                <w:sz w:val="18"/>
                <w:szCs w:val="18"/>
                <w:lang w:eastAsia="zh-CN"/>
              </w:rPr>
              <w:t>、</w:t>
            </w:r>
            <w:r>
              <w:rPr>
                <w:rFonts w:hint="eastAsia" w:ascii="仿宋" w:hAnsi="仿宋" w:eastAsia="仿宋" w:cs="仿宋"/>
                <w:sz w:val="18"/>
                <w:szCs w:val="18"/>
              </w:rPr>
              <w:t>我国国有商业银行信贷资产的质量</w:t>
            </w:r>
            <w:r>
              <w:rPr>
                <w:rFonts w:hint="eastAsia" w:ascii="仿宋" w:hAnsi="仿宋" w:eastAsia="仿宋" w:cs="仿宋"/>
                <w:sz w:val="18"/>
                <w:szCs w:val="18"/>
                <w:lang w:eastAsia="zh-CN"/>
              </w:rPr>
              <w:t>。</w:t>
            </w:r>
          </w:p>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贷款损失准备金</w:t>
            </w:r>
            <w:r>
              <w:rPr>
                <w:rFonts w:hint="eastAsia" w:ascii="仿宋" w:hAnsi="仿宋" w:eastAsia="仿宋" w:cs="仿宋"/>
                <w:sz w:val="18"/>
                <w:szCs w:val="18"/>
                <w:lang w:eastAsia="zh-CN"/>
              </w:rPr>
              <w:t>。</w:t>
            </w:r>
          </w:p>
          <w:p>
            <w:pPr>
              <w:rPr>
                <w:rFonts w:hint="eastAsia" w:ascii="仿宋" w:hAnsi="仿宋" w:eastAsia="仿宋" w:cs="仿宋"/>
                <w:sz w:val="18"/>
                <w:szCs w:val="18"/>
              </w:rPr>
            </w:pP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6"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6</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第六章</w:t>
            </w:r>
          </w:p>
          <w:p>
            <w:pPr>
              <w:rPr>
                <w:rFonts w:hint="eastAsia" w:ascii="仿宋" w:hAnsi="仿宋" w:eastAsia="仿宋" w:cs="仿宋"/>
                <w:sz w:val="18"/>
                <w:szCs w:val="18"/>
              </w:rPr>
            </w:pPr>
            <w:r>
              <w:rPr>
                <w:rFonts w:hint="eastAsia" w:ascii="仿宋" w:hAnsi="仿宋" w:eastAsia="仿宋" w:cs="仿宋"/>
                <w:sz w:val="18"/>
                <w:szCs w:val="18"/>
              </w:rPr>
              <w:t>企业贷款</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6.1 企业贷款的种类</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6.2 对企业借款理由的分析</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6.3 借款企业的信用分析</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6.4 企业贷款的定价</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US" w:eastAsia="zh-CN"/>
              </w:rPr>
            </w:pPr>
            <w:r>
              <w:rPr>
                <w:rFonts w:hint="eastAsia" w:ascii="仿宋" w:hAnsi="仿宋" w:eastAsia="仿宋" w:cs="仿宋"/>
                <w:b/>
                <w:bCs w:val="0"/>
                <w:spacing w:val="-3"/>
                <w:sz w:val="18"/>
                <w:szCs w:val="18"/>
                <w:lang w:val="en-US" w:eastAsia="zh-CN"/>
              </w:rPr>
              <w:t>4</w:t>
            </w:r>
          </w:p>
        </w:tc>
        <w:tc>
          <w:tcPr>
            <w:tcW w:w="1351" w:type="pct"/>
            <w:vAlign w:val="center"/>
          </w:tcPr>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对借款企业现金流量的分析</w:t>
            </w:r>
            <w:r>
              <w:rPr>
                <w:rFonts w:hint="eastAsia" w:ascii="仿宋" w:hAnsi="仿宋" w:eastAsia="仿宋" w:cs="仿宋"/>
                <w:sz w:val="18"/>
                <w:szCs w:val="18"/>
                <w:lang w:eastAsia="zh-CN"/>
              </w:rPr>
              <w:t>、</w:t>
            </w:r>
            <w:r>
              <w:rPr>
                <w:rFonts w:hint="eastAsia" w:ascii="仿宋" w:hAnsi="仿宋" w:eastAsia="仿宋" w:cs="仿宋"/>
                <w:sz w:val="18"/>
                <w:szCs w:val="18"/>
              </w:rPr>
              <w:t>成本加成定价法</w:t>
            </w:r>
            <w:r>
              <w:rPr>
                <w:rFonts w:hint="eastAsia" w:ascii="仿宋" w:hAnsi="仿宋" w:eastAsia="仿宋" w:cs="仿宋"/>
                <w:sz w:val="18"/>
                <w:szCs w:val="18"/>
                <w:lang w:eastAsia="zh-CN"/>
              </w:rPr>
              <w:t>、</w:t>
            </w:r>
            <w:r>
              <w:rPr>
                <w:rFonts w:hint="eastAsia" w:ascii="仿宋" w:hAnsi="仿宋" w:eastAsia="仿宋" w:cs="仿宋"/>
                <w:sz w:val="18"/>
                <w:szCs w:val="18"/>
              </w:rPr>
              <w:t>价格领导模型定价法</w:t>
            </w:r>
            <w:r>
              <w:rPr>
                <w:rFonts w:hint="eastAsia" w:ascii="仿宋" w:hAnsi="仿宋" w:eastAsia="仿宋" w:cs="仿宋"/>
                <w:sz w:val="18"/>
                <w:szCs w:val="18"/>
                <w:lang w:eastAsia="zh-CN"/>
              </w:rPr>
              <w:t>、</w:t>
            </w:r>
            <w:r>
              <w:rPr>
                <w:rFonts w:hint="eastAsia" w:ascii="仿宋" w:hAnsi="仿宋" w:eastAsia="仿宋" w:cs="仿宋"/>
                <w:sz w:val="18"/>
                <w:szCs w:val="18"/>
              </w:rPr>
              <w:t>成本-收益定价法</w:t>
            </w:r>
            <w:r>
              <w:rPr>
                <w:rFonts w:hint="eastAsia" w:ascii="仿宋" w:hAnsi="仿宋" w:eastAsia="仿宋" w:cs="仿宋"/>
                <w:sz w:val="18"/>
                <w:szCs w:val="18"/>
                <w:lang w:eastAsia="zh-CN"/>
              </w:rPr>
              <w:t>。</w:t>
            </w:r>
          </w:p>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对借款企业的财务分析</w:t>
            </w:r>
            <w:r>
              <w:rPr>
                <w:rFonts w:hint="eastAsia" w:ascii="仿宋" w:hAnsi="仿宋" w:eastAsia="仿宋" w:cs="仿宋"/>
                <w:sz w:val="18"/>
                <w:szCs w:val="18"/>
                <w:lang w:eastAsia="zh-CN"/>
              </w:rPr>
              <w:t>。</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7</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第七章</w:t>
            </w:r>
          </w:p>
          <w:p>
            <w:pPr>
              <w:rPr>
                <w:rFonts w:hint="eastAsia" w:ascii="仿宋" w:hAnsi="仿宋" w:eastAsia="仿宋" w:cs="仿宋"/>
                <w:sz w:val="18"/>
                <w:szCs w:val="18"/>
              </w:rPr>
            </w:pPr>
            <w:r>
              <w:rPr>
                <w:rFonts w:hint="eastAsia" w:ascii="仿宋" w:hAnsi="仿宋" w:eastAsia="仿宋" w:cs="仿宋"/>
                <w:sz w:val="18"/>
                <w:szCs w:val="18"/>
              </w:rPr>
              <w:t>个人贷款</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7.1 个人贷款的种类</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7.2个人贷款的业务与经营</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7.3个人贷款的信用评估</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7.4个人贷款的定价</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3</w:t>
            </w:r>
          </w:p>
        </w:tc>
        <w:tc>
          <w:tcPr>
            <w:tcW w:w="1351" w:type="pct"/>
            <w:vAlign w:val="center"/>
          </w:tcPr>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个人信用评估及其经济意义</w:t>
            </w:r>
            <w:r>
              <w:rPr>
                <w:rFonts w:hint="eastAsia" w:ascii="仿宋" w:hAnsi="仿宋" w:eastAsia="仿宋" w:cs="仿宋"/>
                <w:sz w:val="18"/>
                <w:szCs w:val="18"/>
                <w:lang w:eastAsia="zh-CN"/>
              </w:rPr>
              <w:t>、</w:t>
            </w:r>
            <w:r>
              <w:rPr>
                <w:rFonts w:hint="eastAsia" w:ascii="仿宋" w:hAnsi="仿宋" w:eastAsia="仿宋" w:cs="仿宋"/>
                <w:sz w:val="18"/>
                <w:szCs w:val="18"/>
              </w:rPr>
              <w:t>个人财务报表的分析方法</w:t>
            </w:r>
            <w:r>
              <w:rPr>
                <w:rFonts w:hint="eastAsia" w:ascii="仿宋" w:hAnsi="仿宋" w:eastAsia="仿宋" w:cs="仿宋"/>
                <w:sz w:val="18"/>
                <w:szCs w:val="18"/>
                <w:lang w:eastAsia="zh-CN"/>
              </w:rPr>
              <w:t>。</w:t>
            </w:r>
          </w:p>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个人财务报表的综合分析</w:t>
            </w:r>
            <w:r>
              <w:rPr>
                <w:rFonts w:hint="eastAsia" w:ascii="仿宋" w:hAnsi="仿宋" w:eastAsia="仿宋" w:cs="仿宋"/>
                <w:sz w:val="18"/>
                <w:szCs w:val="18"/>
                <w:lang w:eastAsia="zh-CN"/>
              </w:rPr>
              <w:t>、</w:t>
            </w:r>
            <w:r>
              <w:rPr>
                <w:rFonts w:hint="eastAsia" w:ascii="仿宋" w:hAnsi="仿宋" w:eastAsia="仿宋" w:cs="仿宋"/>
                <w:sz w:val="18"/>
                <w:szCs w:val="18"/>
              </w:rPr>
              <w:t>个人贷款定价模型</w:t>
            </w:r>
            <w:r>
              <w:rPr>
                <w:rFonts w:hint="eastAsia" w:ascii="仿宋" w:hAnsi="仿宋" w:eastAsia="仿宋" w:cs="仿宋"/>
                <w:sz w:val="18"/>
                <w:szCs w:val="18"/>
                <w:lang w:eastAsia="zh-CN"/>
              </w:rPr>
              <w:t>。</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0"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8</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第八章</w:t>
            </w:r>
          </w:p>
          <w:p>
            <w:pPr>
              <w:rPr>
                <w:rFonts w:hint="eastAsia" w:ascii="仿宋" w:hAnsi="仿宋" w:eastAsia="仿宋" w:cs="仿宋"/>
                <w:sz w:val="18"/>
                <w:szCs w:val="18"/>
              </w:rPr>
            </w:pPr>
            <w:r>
              <w:rPr>
                <w:rFonts w:hint="eastAsia" w:ascii="仿宋" w:hAnsi="仿宋" w:eastAsia="仿宋" w:cs="仿宋"/>
                <w:sz w:val="18"/>
                <w:szCs w:val="18"/>
              </w:rPr>
              <w:t>商业银行证券投资管理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8.1 商业银行证券投资概述</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8.2 商业银行证券投资的收益与风险</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8.3 商业银行证券投资的一般策略</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8.4 银行业与证券业的分离与融合</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4</w:t>
            </w:r>
          </w:p>
        </w:tc>
        <w:tc>
          <w:tcPr>
            <w:tcW w:w="1351" w:type="pct"/>
            <w:vAlign w:val="center"/>
          </w:tcPr>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商业银行证券投资的功能</w:t>
            </w:r>
            <w:r>
              <w:rPr>
                <w:rFonts w:hint="eastAsia" w:ascii="仿宋" w:hAnsi="仿宋" w:eastAsia="仿宋" w:cs="仿宋"/>
                <w:sz w:val="18"/>
                <w:szCs w:val="18"/>
                <w:lang w:eastAsia="zh-CN"/>
              </w:rPr>
              <w:t>、</w:t>
            </w:r>
            <w:r>
              <w:rPr>
                <w:rFonts w:hint="eastAsia" w:ascii="仿宋" w:hAnsi="仿宋" w:eastAsia="仿宋" w:cs="仿宋"/>
                <w:sz w:val="18"/>
                <w:szCs w:val="18"/>
              </w:rPr>
              <w:t>商业银行证券投资收益与风险的关系</w:t>
            </w:r>
            <w:r>
              <w:rPr>
                <w:rFonts w:hint="eastAsia" w:ascii="仿宋" w:hAnsi="仿宋" w:eastAsia="仿宋" w:cs="仿宋"/>
                <w:sz w:val="18"/>
                <w:szCs w:val="18"/>
                <w:lang w:eastAsia="zh-CN"/>
              </w:rPr>
              <w:t>、</w:t>
            </w:r>
            <w:r>
              <w:rPr>
                <w:rFonts w:hint="eastAsia" w:ascii="仿宋" w:hAnsi="仿宋" w:eastAsia="仿宋" w:cs="仿宋"/>
                <w:sz w:val="18"/>
                <w:szCs w:val="18"/>
              </w:rPr>
              <w:t>商业银行证券投资的一般策略</w:t>
            </w:r>
            <w:r>
              <w:rPr>
                <w:rFonts w:hint="eastAsia" w:ascii="仿宋" w:hAnsi="仿宋" w:eastAsia="仿宋" w:cs="仿宋"/>
                <w:sz w:val="18"/>
                <w:szCs w:val="18"/>
                <w:lang w:eastAsia="zh-CN"/>
              </w:rPr>
              <w:t>、</w:t>
            </w:r>
            <w:r>
              <w:rPr>
                <w:rFonts w:hint="eastAsia" w:ascii="仿宋" w:hAnsi="仿宋" w:eastAsia="仿宋" w:cs="仿宋"/>
                <w:sz w:val="18"/>
                <w:szCs w:val="18"/>
              </w:rPr>
              <w:t>银行业与证券业的运行模式及其利弊分析</w:t>
            </w:r>
            <w:r>
              <w:rPr>
                <w:rFonts w:hint="eastAsia" w:ascii="仿宋" w:hAnsi="仿宋" w:eastAsia="仿宋" w:cs="仿宋"/>
                <w:sz w:val="18"/>
                <w:szCs w:val="18"/>
                <w:lang w:eastAsia="zh-CN"/>
              </w:rPr>
              <w:t>。</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7"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9</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第九章</w:t>
            </w:r>
          </w:p>
          <w:p>
            <w:pPr>
              <w:rPr>
                <w:rFonts w:hint="eastAsia" w:ascii="仿宋" w:hAnsi="仿宋" w:eastAsia="仿宋" w:cs="仿宋"/>
                <w:sz w:val="18"/>
                <w:szCs w:val="18"/>
              </w:rPr>
            </w:pPr>
            <w:r>
              <w:rPr>
                <w:rFonts w:hint="eastAsia" w:ascii="仿宋" w:hAnsi="仿宋" w:eastAsia="仿宋" w:cs="仿宋"/>
                <w:sz w:val="18"/>
                <w:szCs w:val="18"/>
              </w:rPr>
              <w:t>商业银行资产负债管理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9.1 商业银行资产负债管理理论及其发展</w:t>
            </w:r>
          </w:p>
          <w:p>
            <w:pPr>
              <w:bidi w:val="0"/>
              <w:ind w:left="360" w:hanging="360" w:hangingChars="200"/>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9.2 资产负债计划管理</w:t>
            </w:r>
          </w:p>
          <w:p>
            <w:pPr>
              <w:bidi w:val="0"/>
              <w:ind w:left="360" w:hanging="360" w:hangingChars="200"/>
              <w:rPr>
                <w:rFonts w:hint="default" w:ascii="仿宋" w:hAnsi="仿宋" w:eastAsia="仿宋" w:cs="仿宋"/>
                <w:sz w:val="18"/>
                <w:szCs w:val="18"/>
                <w:lang w:val="en-US" w:eastAsia="zh-CN"/>
              </w:rPr>
            </w:pPr>
            <w:r>
              <w:rPr>
                <w:rFonts w:hint="eastAsia" w:ascii="仿宋" w:hAnsi="仿宋" w:eastAsia="仿宋" w:cs="仿宋"/>
                <w:sz w:val="18"/>
                <w:szCs w:val="18"/>
              </w:rPr>
              <w:t>9.</w:t>
            </w:r>
            <w:r>
              <w:rPr>
                <w:rFonts w:hint="eastAsia" w:ascii="仿宋" w:hAnsi="仿宋" w:eastAsia="仿宋" w:cs="仿宋"/>
                <w:sz w:val="18"/>
                <w:szCs w:val="18"/>
                <w:lang w:val="en-US" w:eastAsia="zh-CN"/>
              </w:rPr>
              <w:t>3</w:t>
            </w:r>
            <w:r>
              <w:rPr>
                <w:rFonts w:hint="eastAsia" w:ascii="仿宋" w:hAnsi="仿宋" w:eastAsia="仿宋" w:cs="仿宋"/>
                <w:sz w:val="18"/>
                <w:szCs w:val="18"/>
              </w:rPr>
              <w:t xml:space="preserve"> 利率风险及</w:t>
            </w:r>
            <w:r>
              <w:rPr>
                <w:rFonts w:hint="eastAsia" w:ascii="仿宋" w:hAnsi="仿宋" w:eastAsia="仿宋" w:cs="仿宋"/>
                <w:sz w:val="18"/>
                <w:szCs w:val="18"/>
                <w:lang w:val="en-US" w:eastAsia="zh-CN"/>
              </w:rPr>
              <w:t>表内外对冲管理</w:t>
            </w:r>
          </w:p>
          <w:p>
            <w:pPr>
              <w:bidi w:val="0"/>
              <w:ind w:left="360" w:hanging="360" w:hangingChars="200"/>
              <w:rPr>
                <w:rFonts w:hint="eastAsia" w:ascii="仿宋" w:hAnsi="仿宋" w:eastAsia="仿宋" w:cs="仿宋"/>
                <w:sz w:val="18"/>
                <w:szCs w:val="18"/>
                <w:lang w:eastAsia="zh-CN"/>
              </w:rPr>
            </w:pPr>
            <w:r>
              <w:rPr>
                <w:rFonts w:hint="eastAsia" w:ascii="仿宋" w:hAnsi="仿宋" w:eastAsia="仿宋" w:cs="仿宋"/>
                <w:sz w:val="18"/>
                <w:szCs w:val="18"/>
              </w:rPr>
              <w:t>9.</w:t>
            </w:r>
            <w:r>
              <w:rPr>
                <w:rFonts w:hint="eastAsia" w:ascii="仿宋" w:hAnsi="仿宋" w:eastAsia="仿宋" w:cs="仿宋"/>
                <w:sz w:val="18"/>
                <w:szCs w:val="18"/>
                <w:lang w:val="en-US" w:eastAsia="zh-CN"/>
              </w:rPr>
              <w:t>4 内部资金转移定价</w:t>
            </w:r>
          </w:p>
        </w:tc>
        <w:tc>
          <w:tcPr>
            <w:tcW w:w="271" w:type="pct"/>
            <w:vAlign w:val="center"/>
          </w:tcPr>
          <w:p>
            <w:pPr>
              <w:suppressAutoHyphens/>
              <w:spacing w:before="156" w:beforeLines="50" w:after="156" w:afterLines="50" w:line="276" w:lineRule="auto"/>
              <w:jc w:val="center"/>
              <w:rPr>
                <w:rFonts w:hint="default" w:ascii="仿宋" w:hAnsi="仿宋" w:eastAsia="仿宋" w:cs="仿宋"/>
                <w:b/>
                <w:bCs w:val="0"/>
                <w:spacing w:val="-3"/>
                <w:sz w:val="18"/>
                <w:szCs w:val="18"/>
                <w:lang w:val="en-US" w:eastAsia="zh-CN"/>
              </w:rPr>
            </w:pPr>
            <w:r>
              <w:rPr>
                <w:rFonts w:hint="eastAsia" w:ascii="仿宋" w:hAnsi="仿宋" w:eastAsia="仿宋" w:cs="仿宋"/>
                <w:b/>
                <w:bCs w:val="0"/>
                <w:spacing w:val="-3"/>
                <w:sz w:val="18"/>
                <w:szCs w:val="18"/>
                <w:lang w:val="en-US" w:eastAsia="zh-CN"/>
              </w:rPr>
              <w:t>5</w:t>
            </w:r>
          </w:p>
        </w:tc>
        <w:tc>
          <w:tcPr>
            <w:tcW w:w="1351" w:type="pct"/>
            <w:vAlign w:val="center"/>
          </w:tcPr>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资金缺口管理</w:t>
            </w:r>
          </w:p>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持续期缺口管理</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10</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第十章</w:t>
            </w:r>
          </w:p>
          <w:p>
            <w:pPr>
              <w:rPr>
                <w:rFonts w:hint="eastAsia" w:ascii="仿宋" w:hAnsi="仿宋" w:eastAsia="仿宋" w:cs="仿宋"/>
                <w:sz w:val="18"/>
                <w:szCs w:val="18"/>
              </w:rPr>
            </w:pPr>
            <w:r>
              <w:rPr>
                <w:rFonts w:hint="eastAsia" w:ascii="仿宋" w:hAnsi="仿宋" w:eastAsia="仿宋" w:cs="仿宋"/>
                <w:sz w:val="18"/>
                <w:szCs w:val="18"/>
              </w:rPr>
              <w:t>商业银行中间业务与管理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10.1 中间业务概述</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10.2 商业银行中间业务的类型</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3</w:t>
            </w:r>
          </w:p>
        </w:tc>
        <w:tc>
          <w:tcPr>
            <w:tcW w:w="1351" w:type="pct"/>
            <w:vAlign w:val="center"/>
          </w:tcPr>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中间业务的种类</w:t>
            </w:r>
          </w:p>
          <w:p>
            <w:pPr>
              <w:rPr>
                <w:rFonts w:hint="eastAsia" w:ascii="仿宋" w:hAnsi="仿宋" w:eastAsia="仿宋" w:cs="仿宋"/>
                <w:sz w:val="18"/>
                <w:szCs w:val="18"/>
              </w:rPr>
            </w:pP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3"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11</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第十一章</w:t>
            </w:r>
          </w:p>
          <w:p>
            <w:pPr>
              <w:rPr>
                <w:rFonts w:hint="eastAsia" w:ascii="仿宋" w:hAnsi="仿宋" w:eastAsia="仿宋" w:cs="仿宋"/>
                <w:sz w:val="18"/>
                <w:szCs w:val="18"/>
              </w:rPr>
            </w:pPr>
            <w:r>
              <w:rPr>
                <w:rFonts w:hint="eastAsia" w:ascii="仿宋" w:hAnsi="仿宋" w:eastAsia="仿宋" w:cs="仿宋"/>
                <w:sz w:val="18"/>
                <w:szCs w:val="18"/>
              </w:rPr>
              <w:t>商业银行的业绩评价</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11.1商业银行的资产负债表</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11.2商业银行的损益表</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11.3商业银行的现金流量表</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11.4商业银行的盈利能力分析</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3</w:t>
            </w:r>
          </w:p>
        </w:tc>
        <w:tc>
          <w:tcPr>
            <w:tcW w:w="1351" w:type="pct"/>
            <w:vAlign w:val="center"/>
          </w:tcPr>
          <w:p>
            <w:pPr>
              <w:rPr>
                <w:rFonts w:hint="eastAsia" w:ascii="仿宋" w:hAnsi="仿宋" w:eastAsia="仿宋" w:cs="仿宋"/>
                <w:sz w:val="18"/>
                <w:szCs w:val="18"/>
                <w:lang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lang w:val="en-US" w:eastAsia="zh-CN"/>
              </w:rPr>
              <w:t>商业银行</w:t>
            </w:r>
            <w:r>
              <w:rPr>
                <w:rFonts w:hint="eastAsia" w:ascii="仿宋" w:hAnsi="仿宋" w:eastAsia="仿宋" w:cs="仿宋"/>
                <w:sz w:val="18"/>
                <w:szCs w:val="18"/>
              </w:rPr>
              <w:t>资产负债表</w:t>
            </w:r>
            <w:r>
              <w:rPr>
                <w:rFonts w:hint="eastAsia" w:ascii="仿宋" w:hAnsi="仿宋" w:eastAsia="仿宋" w:cs="仿宋"/>
                <w:sz w:val="18"/>
                <w:szCs w:val="18"/>
                <w:lang w:eastAsia="zh-CN"/>
              </w:rPr>
              <w:t>（</w:t>
            </w:r>
            <w:r>
              <w:rPr>
                <w:rFonts w:hint="eastAsia" w:ascii="仿宋" w:hAnsi="仿宋" w:eastAsia="仿宋" w:cs="仿宋"/>
                <w:sz w:val="18"/>
                <w:szCs w:val="18"/>
              </w:rPr>
              <w:t>含义</w:t>
            </w:r>
            <w:r>
              <w:rPr>
                <w:rFonts w:hint="eastAsia" w:ascii="仿宋" w:hAnsi="仿宋" w:eastAsia="仿宋" w:cs="仿宋"/>
                <w:sz w:val="18"/>
                <w:szCs w:val="18"/>
                <w:lang w:eastAsia="zh-CN"/>
              </w:rPr>
              <w:t>、</w:t>
            </w:r>
            <w:r>
              <w:rPr>
                <w:rFonts w:hint="eastAsia" w:ascii="仿宋" w:hAnsi="仿宋" w:eastAsia="仿宋" w:cs="仿宋"/>
                <w:sz w:val="18"/>
                <w:szCs w:val="18"/>
              </w:rPr>
              <w:t>结构</w:t>
            </w:r>
            <w:r>
              <w:rPr>
                <w:rFonts w:hint="eastAsia" w:ascii="仿宋" w:hAnsi="仿宋" w:eastAsia="仿宋" w:cs="仿宋"/>
                <w:sz w:val="18"/>
                <w:szCs w:val="18"/>
                <w:lang w:val="en-US" w:eastAsia="zh-CN"/>
              </w:rPr>
              <w:t>及</w:t>
            </w:r>
            <w:r>
              <w:rPr>
                <w:rFonts w:hint="eastAsia" w:ascii="仿宋" w:hAnsi="仿宋" w:eastAsia="仿宋" w:cs="仿宋"/>
                <w:sz w:val="18"/>
                <w:szCs w:val="18"/>
              </w:rPr>
              <w:t>内容</w:t>
            </w:r>
            <w:r>
              <w:rPr>
                <w:rFonts w:hint="eastAsia" w:ascii="仿宋" w:hAnsi="仿宋" w:eastAsia="仿宋" w:cs="仿宋"/>
                <w:sz w:val="18"/>
                <w:szCs w:val="18"/>
                <w:lang w:eastAsia="zh-CN"/>
              </w:rPr>
              <w:t>）</w:t>
            </w:r>
            <w:r>
              <w:rPr>
                <w:rFonts w:hint="eastAsia" w:ascii="仿宋" w:hAnsi="仿宋" w:eastAsia="仿宋" w:cs="仿宋"/>
                <w:sz w:val="18"/>
                <w:szCs w:val="18"/>
                <w:lang w:eastAsia="zh-CN"/>
              </w:rPr>
              <w:t>、</w:t>
            </w:r>
            <w:r>
              <w:rPr>
                <w:rFonts w:hint="eastAsia" w:ascii="仿宋" w:hAnsi="仿宋" w:eastAsia="仿宋" w:cs="仿宋"/>
                <w:sz w:val="18"/>
                <w:szCs w:val="18"/>
              </w:rPr>
              <w:t>现金流量表的含义</w:t>
            </w:r>
            <w:r>
              <w:rPr>
                <w:rFonts w:hint="eastAsia" w:ascii="仿宋" w:hAnsi="仿宋" w:eastAsia="仿宋" w:cs="仿宋"/>
                <w:sz w:val="18"/>
                <w:szCs w:val="18"/>
                <w:lang w:eastAsia="zh-CN"/>
              </w:rPr>
              <w:t>、</w:t>
            </w:r>
            <w:r>
              <w:rPr>
                <w:rFonts w:hint="eastAsia" w:ascii="仿宋" w:hAnsi="仿宋" w:eastAsia="仿宋" w:cs="仿宋"/>
                <w:sz w:val="18"/>
                <w:szCs w:val="18"/>
              </w:rPr>
              <w:t>几种常用的财务比率</w:t>
            </w:r>
            <w:r>
              <w:rPr>
                <w:rFonts w:hint="eastAsia" w:ascii="仿宋" w:hAnsi="仿宋" w:eastAsia="仿宋" w:cs="仿宋"/>
                <w:sz w:val="18"/>
                <w:szCs w:val="18"/>
                <w:lang w:eastAsia="zh-CN"/>
              </w:rPr>
              <w:t>、</w:t>
            </w:r>
            <w:r>
              <w:rPr>
                <w:rFonts w:hint="eastAsia" w:ascii="仿宋" w:hAnsi="仿宋" w:eastAsia="仿宋" w:cs="仿宋"/>
                <w:sz w:val="18"/>
                <w:szCs w:val="18"/>
              </w:rPr>
              <w:t>结构分析</w:t>
            </w:r>
            <w:r>
              <w:rPr>
                <w:rFonts w:hint="eastAsia" w:ascii="仿宋" w:hAnsi="仿宋" w:eastAsia="仿宋" w:cs="仿宋"/>
                <w:sz w:val="18"/>
                <w:szCs w:val="18"/>
                <w:lang w:eastAsia="zh-CN"/>
              </w:rPr>
              <w:t>、</w:t>
            </w:r>
            <w:r>
              <w:rPr>
                <w:rFonts w:hint="eastAsia" w:ascii="仿宋" w:hAnsi="仿宋" w:eastAsia="仿宋" w:cs="仿宋"/>
                <w:sz w:val="18"/>
                <w:szCs w:val="18"/>
              </w:rPr>
              <w:t>中国银保监会的综合评价指标体系</w:t>
            </w:r>
            <w:r>
              <w:rPr>
                <w:rFonts w:hint="eastAsia" w:ascii="仿宋" w:hAnsi="仿宋" w:eastAsia="仿宋" w:cs="仿宋"/>
                <w:sz w:val="18"/>
                <w:szCs w:val="18"/>
                <w:lang w:eastAsia="zh-CN"/>
              </w:rPr>
              <w:t>。</w:t>
            </w:r>
          </w:p>
          <w:p>
            <w:pPr>
              <w:rPr>
                <w:rFonts w:hint="eastAsia" w:ascii="仿宋" w:hAnsi="仿宋" w:eastAsia="仿宋" w:cs="仿宋"/>
                <w:sz w:val="18"/>
                <w:szCs w:val="18"/>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rPr>
              <w:t>“骆驼（CAMEL）”评级法</w:t>
            </w:r>
            <w:r>
              <w:rPr>
                <w:rFonts w:hint="eastAsia" w:ascii="仿宋" w:hAnsi="仿宋" w:eastAsia="仿宋" w:cs="仿宋"/>
                <w:sz w:val="18"/>
                <w:szCs w:val="18"/>
                <w:lang w:val="en-US" w:eastAsia="zh-CN"/>
              </w:rPr>
              <w:t>.</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7" w:hRule="atLeast"/>
          <w:jc w:val="center"/>
        </w:trPr>
        <w:tc>
          <w:tcPr>
            <w:tcW w:w="302" w:type="pct"/>
            <w:shd w:val="clear" w:color="auto" w:fill="auto"/>
            <w:vAlign w:val="center"/>
          </w:tcPr>
          <w:p>
            <w:pPr>
              <w:suppressAutoHyphens/>
              <w:spacing w:before="156" w:beforeLines="50" w:after="156" w:afterLines="50" w:line="276" w:lineRule="auto"/>
              <w:jc w:val="center"/>
              <w:rPr>
                <w:rFonts w:hint="eastAsia" w:ascii="仿宋" w:hAnsi="仿宋" w:eastAsia="仿宋" w:cs="仿宋"/>
                <w:bCs/>
                <w:spacing w:val="-3"/>
                <w:sz w:val="18"/>
                <w:szCs w:val="18"/>
                <w:lang w:val="en-GB"/>
              </w:rPr>
            </w:pPr>
            <w:r>
              <w:rPr>
                <w:rFonts w:hint="eastAsia" w:ascii="仿宋" w:hAnsi="仿宋" w:eastAsia="仿宋" w:cs="仿宋"/>
                <w:bCs/>
                <w:spacing w:val="-3"/>
                <w:sz w:val="18"/>
                <w:szCs w:val="18"/>
                <w:lang w:val="en-GB"/>
              </w:rPr>
              <w:t>12</w:t>
            </w:r>
          </w:p>
        </w:tc>
        <w:tc>
          <w:tcPr>
            <w:tcW w:w="544" w:type="pct"/>
            <w:shd w:val="clear" w:color="auto" w:fill="auto"/>
            <w:vAlign w:val="center"/>
          </w:tcPr>
          <w:p>
            <w:pPr>
              <w:rPr>
                <w:rFonts w:hint="eastAsia" w:ascii="仿宋" w:hAnsi="仿宋" w:eastAsia="仿宋" w:cs="仿宋"/>
                <w:sz w:val="18"/>
                <w:szCs w:val="18"/>
              </w:rPr>
            </w:pPr>
            <w:r>
              <w:rPr>
                <w:rFonts w:hint="eastAsia" w:ascii="仿宋" w:hAnsi="仿宋" w:eastAsia="仿宋" w:cs="仿宋"/>
                <w:sz w:val="18"/>
                <w:szCs w:val="18"/>
              </w:rPr>
              <w:t>第十二章</w:t>
            </w:r>
          </w:p>
          <w:p>
            <w:pPr>
              <w:rPr>
                <w:rFonts w:hint="eastAsia" w:ascii="仿宋" w:hAnsi="仿宋" w:eastAsia="仿宋" w:cs="仿宋"/>
                <w:sz w:val="18"/>
                <w:szCs w:val="18"/>
              </w:rPr>
            </w:pPr>
            <w:r>
              <w:rPr>
                <w:rFonts w:hint="eastAsia" w:ascii="仿宋" w:hAnsi="仿宋" w:eastAsia="仿宋" w:cs="仿宋"/>
                <w:sz w:val="18"/>
                <w:szCs w:val="18"/>
              </w:rPr>
              <w:t>商业银行的并购管理</w:t>
            </w:r>
          </w:p>
        </w:tc>
        <w:tc>
          <w:tcPr>
            <w:tcW w:w="1164" w:type="pct"/>
            <w:shd w:val="clear" w:color="auto" w:fill="auto"/>
            <w:vAlign w:val="center"/>
          </w:tcPr>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12.1  商业银行的并购动机</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12.2商业银行并购的价值</w:t>
            </w:r>
          </w:p>
          <w:p>
            <w:pPr>
              <w:bidi w:val="0"/>
              <w:ind w:left="360" w:hanging="360" w:hangingChars="200"/>
              <w:rPr>
                <w:rFonts w:hint="eastAsia" w:ascii="仿宋" w:hAnsi="仿宋" w:eastAsia="仿宋" w:cs="仿宋"/>
                <w:sz w:val="18"/>
                <w:szCs w:val="18"/>
              </w:rPr>
            </w:pPr>
            <w:r>
              <w:rPr>
                <w:rFonts w:hint="eastAsia" w:ascii="仿宋" w:hAnsi="仿宋" w:eastAsia="仿宋" w:cs="仿宋"/>
                <w:sz w:val="18"/>
                <w:szCs w:val="18"/>
              </w:rPr>
              <w:t>12.3商业银行大规模并购的效应评估</w:t>
            </w:r>
          </w:p>
        </w:tc>
        <w:tc>
          <w:tcPr>
            <w:tcW w:w="271" w:type="pct"/>
            <w:vAlign w:val="center"/>
          </w:tcPr>
          <w:p>
            <w:pPr>
              <w:suppressAutoHyphens/>
              <w:spacing w:before="156" w:beforeLines="50" w:after="156" w:afterLines="50" w:line="276" w:lineRule="auto"/>
              <w:jc w:val="center"/>
              <w:rPr>
                <w:rFonts w:hint="eastAsia" w:ascii="仿宋" w:hAnsi="仿宋" w:eastAsia="仿宋" w:cs="仿宋"/>
                <w:b/>
                <w:bCs w:val="0"/>
                <w:spacing w:val="-3"/>
                <w:sz w:val="18"/>
                <w:szCs w:val="18"/>
                <w:lang w:val="en-GB"/>
              </w:rPr>
            </w:pPr>
            <w:r>
              <w:rPr>
                <w:rFonts w:hint="eastAsia" w:ascii="仿宋" w:hAnsi="仿宋" w:eastAsia="仿宋" w:cs="仿宋"/>
                <w:b/>
                <w:bCs w:val="0"/>
                <w:spacing w:val="-3"/>
                <w:sz w:val="18"/>
                <w:szCs w:val="18"/>
                <w:lang w:val="en-GB"/>
              </w:rPr>
              <w:t>3</w:t>
            </w:r>
          </w:p>
        </w:tc>
        <w:tc>
          <w:tcPr>
            <w:tcW w:w="1351" w:type="pct"/>
            <w:vAlign w:val="center"/>
          </w:tcPr>
          <w:p>
            <w:pPr>
              <w:rPr>
                <w:rFonts w:hint="eastAsia" w:ascii="仿宋" w:hAnsi="仿宋" w:eastAsia="仿宋" w:cs="仿宋"/>
                <w:sz w:val="18"/>
                <w:szCs w:val="18"/>
                <w:lang w:val="en-US" w:eastAsia="zh-CN"/>
              </w:rPr>
            </w:pPr>
            <w:r>
              <w:rPr>
                <w:rFonts w:hint="eastAsia" w:ascii="仿宋" w:hAnsi="仿宋" w:eastAsia="仿宋" w:cs="仿宋"/>
                <w:b/>
                <w:bCs w:val="0"/>
                <w:color w:val="auto"/>
                <w:spacing w:val="-3"/>
                <w:kern w:val="2"/>
                <w:sz w:val="18"/>
                <w:szCs w:val="18"/>
                <w:lang w:val="en-US" w:eastAsia="zh-CN" w:bidi="ar-SA"/>
              </w:rPr>
              <w:t>【重点】:</w:t>
            </w:r>
            <w:r>
              <w:rPr>
                <w:rFonts w:hint="eastAsia" w:ascii="仿宋" w:hAnsi="仿宋" w:eastAsia="仿宋" w:cs="仿宋"/>
                <w:sz w:val="18"/>
                <w:szCs w:val="18"/>
              </w:rPr>
              <w:t>商业银行并购的主要原因</w:t>
            </w:r>
            <w:r>
              <w:rPr>
                <w:rFonts w:hint="eastAsia" w:ascii="仿宋" w:hAnsi="仿宋" w:eastAsia="仿宋" w:cs="仿宋"/>
                <w:sz w:val="18"/>
                <w:szCs w:val="18"/>
                <w:lang w:eastAsia="zh-CN"/>
              </w:rPr>
              <w:t>、</w:t>
            </w:r>
            <w:r>
              <w:rPr>
                <w:rFonts w:hint="eastAsia" w:ascii="仿宋" w:hAnsi="仿宋" w:eastAsia="仿宋" w:cs="仿宋"/>
                <w:sz w:val="18"/>
                <w:szCs w:val="18"/>
              </w:rPr>
              <w:t>其他评价方法</w:t>
            </w:r>
            <w:r>
              <w:rPr>
                <w:rFonts w:hint="eastAsia" w:ascii="仿宋" w:hAnsi="仿宋" w:eastAsia="仿宋" w:cs="仿宋"/>
                <w:sz w:val="18"/>
                <w:szCs w:val="18"/>
                <w:lang w:eastAsia="zh-CN"/>
              </w:rPr>
              <w:t>、</w:t>
            </w:r>
            <w:r>
              <w:rPr>
                <w:rFonts w:hint="eastAsia" w:ascii="仿宋" w:hAnsi="仿宋" w:eastAsia="仿宋" w:cs="仿宋"/>
                <w:sz w:val="18"/>
                <w:szCs w:val="18"/>
              </w:rPr>
              <w:t>商业银行并购的效应</w:t>
            </w:r>
            <w:r>
              <w:rPr>
                <w:rFonts w:hint="eastAsia" w:ascii="仿宋" w:hAnsi="仿宋" w:eastAsia="仿宋" w:cs="仿宋"/>
                <w:sz w:val="18"/>
                <w:szCs w:val="18"/>
                <w:lang w:eastAsia="zh-CN"/>
              </w:rPr>
              <w:t>。</w:t>
            </w:r>
          </w:p>
          <w:p>
            <w:pPr>
              <w:rPr>
                <w:rFonts w:hint="eastAsia" w:ascii="仿宋" w:hAnsi="仿宋" w:eastAsia="仿宋" w:cs="仿宋"/>
                <w:sz w:val="18"/>
                <w:szCs w:val="18"/>
                <w:lang w:val="en-GB"/>
              </w:rPr>
            </w:pPr>
            <w:r>
              <w:rPr>
                <w:rFonts w:hint="eastAsia" w:ascii="仿宋" w:hAnsi="仿宋" w:eastAsia="仿宋" w:cs="仿宋"/>
                <w:b/>
                <w:bCs w:val="0"/>
                <w:color w:val="auto"/>
                <w:spacing w:val="-3"/>
                <w:kern w:val="2"/>
                <w:sz w:val="18"/>
                <w:szCs w:val="18"/>
                <w:lang w:val="en-US" w:eastAsia="zh-CN" w:bidi="ar-SA"/>
              </w:rPr>
              <w:t>【难点】:</w:t>
            </w:r>
            <w:r>
              <w:rPr>
                <w:rFonts w:hint="eastAsia" w:ascii="仿宋" w:hAnsi="仿宋" w:eastAsia="仿宋" w:cs="仿宋"/>
                <w:sz w:val="18"/>
                <w:szCs w:val="18"/>
                <w:lang w:val="en-US" w:eastAsia="zh-CN"/>
              </w:rPr>
              <w:t>商业银行</w:t>
            </w:r>
            <w:r>
              <w:rPr>
                <w:rFonts w:hint="eastAsia" w:ascii="仿宋" w:hAnsi="仿宋" w:eastAsia="仿宋" w:cs="仿宋"/>
                <w:sz w:val="18"/>
                <w:szCs w:val="18"/>
              </w:rPr>
              <w:t>并购的价值（难点）</w:t>
            </w:r>
          </w:p>
        </w:tc>
        <w:tc>
          <w:tcPr>
            <w:tcW w:w="265"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bCs w:val="0"/>
                <w:spacing w:val="-3"/>
                <w:sz w:val="18"/>
                <w:szCs w:val="18"/>
                <w:lang w:val="en-GB"/>
              </w:rPr>
              <w:t>混合</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US" w:eastAsia="zh-CN"/>
              </w:rPr>
              <w:t>闭卷考试</w:t>
            </w:r>
          </w:p>
        </w:tc>
        <w:tc>
          <w:tcPr>
            <w:tcW w:w="550" w:type="pct"/>
            <w:vAlign w:val="center"/>
          </w:tcPr>
          <w:p>
            <w:pPr>
              <w:suppressAutoHyphens/>
              <w:spacing w:before="156" w:beforeLines="50" w:after="156" w:afterLines="50" w:line="276" w:lineRule="auto"/>
              <w:jc w:val="center"/>
              <w:rPr>
                <w:rFonts w:hint="eastAsia" w:ascii="仿宋" w:hAnsi="仿宋" w:eastAsia="仿宋" w:cs="仿宋"/>
                <w:b/>
                <w:spacing w:val="-3"/>
                <w:sz w:val="18"/>
                <w:szCs w:val="18"/>
                <w:lang w:val="en-GB"/>
              </w:rPr>
            </w:pPr>
            <w:r>
              <w:rPr>
                <w:rFonts w:hint="eastAsia" w:ascii="仿宋" w:hAnsi="仿宋" w:eastAsia="仿宋" w:cs="仿宋"/>
                <w:b/>
                <w:spacing w:val="-3"/>
                <w:sz w:val="18"/>
                <w:szCs w:val="18"/>
                <w:lang w:val="en-GB"/>
              </w:rPr>
              <w:t>4</w:t>
            </w:r>
          </w:p>
        </w:tc>
      </w:tr>
    </w:tbl>
    <w:p>
      <w:pPr>
        <w:ind w:firstLine="280" w:firstLineChars="1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pPr>
        <w:snapToGrid w:val="0"/>
        <w:spacing w:line="360" w:lineRule="auto"/>
        <w:ind w:firstLine="482" w:firstLineChars="200"/>
        <w:rPr>
          <w:rFonts w:hint="eastAsia" w:ascii="仿宋" w:hAnsi="仿宋" w:eastAsia="仿宋"/>
          <w:color w:val="FF0000"/>
          <w:sz w:val="24"/>
        </w:rPr>
      </w:pPr>
      <w:r>
        <w:rPr>
          <w:rFonts w:hint="eastAsia" w:ascii="仿宋" w:hAnsi="仿宋" w:eastAsia="仿宋"/>
          <w:b/>
          <w:color w:val="000000"/>
          <w:sz w:val="24"/>
        </w:rPr>
        <w:t>（一）成绩评定方式：百分制。</w:t>
      </w:r>
      <w:r>
        <w:rPr>
          <w:rFonts w:ascii="仿宋" w:hAnsi="仿宋" w:eastAsia="仿宋"/>
          <w:color w:val="FF0000"/>
          <w:sz w:val="24"/>
        </w:rPr>
        <w:t xml:space="preserve"> </w:t>
      </w:r>
    </w:p>
    <w:p>
      <w:pPr>
        <w:snapToGrid w:val="0"/>
        <w:spacing w:line="360" w:lineRule="auto"/>
        <w:ind w:firstLine="482" w:firstLineChars="200"/>
        <w:rPr>
          <w:rFonts w:hint="eastAsia" w:ascii="仿宋" w:hAnsi="仿宋" w:eastAsia="仿宋"/>
          <w:b/>
          <w:color w:val="000000"/>
          <w:sz w:val="24"/>
        </w:rPr>
      </w:pPr>
      <w:r>
        <w:rPr>
          <w:rFonts w:hint="eastAsia" w:ascii="仿宋" w:hAnsi="仿宋" w:eastAsia="仿宋"/>
          <w:b/>
          <w:color w:val="000000"/>
          <w:sz w:val="24"/>
        </w:rPr>
        <w:t>（二）成绩构成：</w:t>
      </w:r>
      <w:bookmarkStart w:id="2" w:name="_Hlk97151576"/>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eastAsia="仿宋"/>
          <w:bCs/>
          <w:sz w:val="24"/>
          <w:szCs w:val="24"/>
        </w:rPr>
      </w:pPr>
      <w:r>
        <w:rPr>
          <w:rFonts w:hint="eastAsia" w:eastAsia="仿宋"/>
          <w:sz w:val="24"/>
          <w:szCs w:val="24"/>
        </w:rPr>
        <w:t>考核方式由过程成绩和期末考试两部分构成，其中</w:t>
      </w:r>
      <w:r>
        <w:rPr>
          <w:rFonts w:hint="eastAsia" w:eastAsia="仿宋"/>
          <w:bCs/>
          <w:sz w:val="24"/>
          <w:szCs w:val="24"/>
        </w:rPr>
        <w:t>过程</w:t>
      </w:r>
      <w:r>
        <w:rPr>
          <w:rFonts w:eastAsia="仿宋"/>
          <w:bCs/>
          <w:sz w:val="24"/>
          <w:szCs w:val="24"/>
        </w:rPr>
        <w:t>成绩：40%</w:t>
      </w:r>
      <w:r>
        <w:rPr>
          <w:rFonts w:hint="eastAsia" w:eastAsia="仿宋"/>
          <w:bCs/>
          <w:sz w:val="24"/>
          <w:szCs w:val="24"/>
        </w:rPr>
        <w:t>，</w:t>
      </w:r>
      <w:r>
        <w:rPr>
          <w:rFonts w:eastAsia="仿宋"/>
          <w:bCs/>
          <w:sz w:val="24"/>
          <w:szCs w:val="24"/>
        </w:rPr>
        <w:t>包括考勤</w:t>
      </w:r>
      <w:r>
        <w:rPr>
          <w:rFonts w:hint="eastAsia" w:eastAsia="仿宋"/>
          <w:bCs/>
          <w:sz w:val="24"/>
          <w:szCs w:val="24"/>
        </w:rPr>
        <w:t>、</w:t>
      </w:r>
      <w:r>
        <w:rPr>
          <w:rFonts w:eastAsia="仿宋"/>
          <w:bCs/>
          <w:sz w:val="24"/>
          <w:szCs w:val="24"/>
        </w:rPr>
        <w:t>作业</w:t>
      </w:r>
      <w:r>
        <w:rPr>
          <w:rFonts w:hint="eastAsia" w:eastAsia="仿宋"/>
          <w:bCs/>
          <w:sz w:val="24"/>
          <w:szCs w:val="24"/>
        </w:rPr>
        <w:t>、</w:t>
      </w:r>
      <w:r>
        <w:rPr>
          <w:rFonts w:eastAsia="仿宋"/>
          <w:bCs/>
          <w:sz w:val="24"/>
          <w:szCs w:val="24"/>
        </w:rPr>
        <w:t>课堂表现等</w:t>
      </w:r>
      <w:r>
        <w:rPr>
          <w:rFonts w:hint="eastAsia" w:eastAsia="仿宋"/>
          <w:bCs/>
          <w:sz w:val="24"/>
          <w:szCs w:val="24"/>
        </w:rPr>
        <w:t>；期末考试</w:t>
      </w:r>
      <w:r>
        <w:rPr>
          <w:rFonts w:eastAsia="仿宋"/>
          <w:bCs/>
          <w:sz w:val="24"/>
          <w:szCs w:val="24"/>
        </w:rPr>
        <w:t>成绩：</w:t>
      </w:r>
      <w:r>
        <w:rPr>
          <w:rFonts w:hint="eastAsia" w:eastAsia="仿宋"/>
          <w:bCs/>
          <w:sz w:val="24"/>
          <w:szCs w:val="24"/>
        </w:rPr>
        <w:t>闭卷，笔试，占</w:t>
      </w:r>
      <w:r>
        <w:rPr>
          <w:rFonts w:eastAsia="仿宋"/>
          <w:bCs/>
          <w:sz w:val="24"/>
          <w:szCs w:val="24"/>
        </w:rPr>
        <w:t>60%</w:t>
      </w:r>
      <w:r>
        <w:rPr>
          <w:rFonts w:hint="eastAsia" w:eastAsia="仿宋"/>
          <w:bCs/>
          <w:sz w:val="24"/>
          <w:szCs w:val="24"/>
        </w:rPr>
        <w:t>，</w:t>
      </w:r>
      <w:r>
        <w:rPr>
          <w:rFonts w:eastAsia="仿宋"/>
          <w:bCs/>
          <w:sz w:val="24"/>
          <w:szCs w:val="24"/>
        </w:rPr>
        <w:t>主要考察学生</w:t>
      </w:r>
      <w:bookmarkEnd w:id="2"/>
      <w:r>
        <w:rPr>
          <w:rFonts w:hint="eastAsia" w:eastAsia="仿宋"/>
          <w:bCs/>
          <w:sz w:val="24"/>
          <w:szCs w:val="24"/>
        </w:rPr>
        <w:t>对各章节知识点的综合掌握程度。</w:t>
      </w: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788"/>
        <w:gridCol w:w="825"/>
        <w:gridCol w:w="2494"/>
        <w:gridCol w:w="2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633" w:type="dxa"/>
            <w:gridSpan w:val="2"/>
            <w:shd w:val="clear" w:color="auto" w:fill="D7D7D7" w:themeFill="background1" w:themeFillShade="D8"/>
            <w:vAlign w:val="center"/>
          </w:tcPr>
          <w:p>
            <w:pPr>
              <w:snapToGrid w:val="0"/>
              <w:spacing w:line="24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825" w:type="dxa"/>
            <w:shd w:val="clear" w:color="auto" w:fill="D7D7D7" w:themeFill="background1" w:themeFillShade="D8"/>
            <w:vAlign w:val="center"/>
          </w:tcPr>
          <w:p>
            <w:pPr>
              <w:snapToGrid w:val="0"/>
              <w:spacing w:line="240" w:lineRule="auto"/>
              <w:jc w:val="center"/>
              <w:rPr>
                <w:rFonts w:ascii="仿宋" w:hAnsi="仿宋" w:eastAsia="仿宋"/>
                <w:b/>
                <w:color w:val="000000"/>
                <w:sz w:val="24"/>
              </w:rPr>
            </w:pPr>
            <w:r>
              <w:rPr>
                <w:rFonts w:hint="eastAsia" w:ascii="仿宋" w:hAnsi="仿宋" w:eastAsia="仿宋"/>
                <w:b/>
                <w:color w:val="000000"/>
                <w:sz w:val="24"/>
              </w:rPr>
              <w:t>分值</w:t>
            </w:r>
          </w:p>
        </w:tc>
        <w:tc>
          <w:tcPr>
            <w:tcW w:w="2494" w:type="dxa"/>
            <w:shd w:val="clear" w:color="auto" w:fill="D7D7D7" w:themeFill="background1" w:themeFillShade="D8"/>
            <w:vAlign w:val="center"/>
          </w:tcPr>
          <w:p>
            <w:pPr>
              <w:snapToGrid w:val="0"/>
              <w:spacing w:line="24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2106" w:type="dxa"/>
            <w:shd w:val="clear" w:color="auto" w:fill="D7D7D7" w:themeFill="background1" w:themeFillShade="D8"/>
            <w:vAlign w:val="center"/>
          </w:tcPr>
          <w:p>
            <w:pPr>
              <w:snapToGrid w:val="0"/>
              <w:spacing w:line="24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845" w:type="dxa"/>
            <w:vMerge w:val="restart"/>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788" w:type="dxa"/>
            <w:shd w:val="clear" w:color="auto" w:fill="auto"/>
            <w:vAlign w:val="center"/>
          </w:tcPr>
          <w:p>
            <w:pPr>
              <w:snapToGrid w:val="0"/>
              <w:spacing w:line="360" w:lineRule="auto"/>
              <w:jc w:val="center"/>
              <w:rPr>
                <w:rFonts w:hint="eastAsia" w:ascii="仿宋" w:hAnsi="仿宋" w:eastAsia="仿宋"/>
                <w:b/>
                <w:color w:val="000000"/>
                <w:sz w:val="24"/>
              </w:rPr>
            </w:pPr>
            <w:r>
              <w:rPr>
                <w:rFonts w:hint="eastAsia" w:ascii="仿宋" w:hAnsi="仿宋" w:eastAsia="仿宋"/>
                <w:b/>
                <w:color w:val="000000"/>
                <w:sz w:val="24"/>
              </w:rPr>
              <w:t>作业</w:t>
            </w:r>
          </w:p>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实操</w:t>
            </w:r>
          </w:p>
        </w:tc>
        <w:tc>
          <w:tcPr>
            <w:tcW w:w="825"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5</w:t>
            </w:r>
          </w:p>
        </w:tc>
        <w:tc>
          <w:tcPr>
            <w:tcW w:w="2494" w:type="dxa"/>
            <w:vAlign w:val="center"/>
          </w:tcPr>
          <w:p>
            <w:pPr>
              <w:pStyle w:val="28"/>
              <w:snapToGrid w:val="0"/>
              <w:ind w:firstLine="240" w:firstLineChars="100"/>
              <w:jc w:val="left"/>
              <w:rPr>
                <w:rFonts w:hint="eastAsia" w:ascii="仿宋" w:hAnsi="仿宋" w:eastAsia="仿宋" w:cs="仿宋"/>
                <w:b/>
                <w:color w:val="000000"/>
                <w:sz w:val="24"/>
                <w:szCs w:val="24"/>
              </w:rPr>
            </w:pPr>
            <w:r>
              <w:rPr>
                <w:rFonts w:hint="eastAsia" w:ascii="仿宋" w:hAnsi="仿宋" w:eastAsia="仿宋" w:cs="仿宋"/>
                <w:color w:val="000000"/>
                <w:sz w:val="24"/>
                <w:szCs w:val="24"/>
              </w:rPr>
              <w:t>主要考核学生对每章节知识点的复习、理解和掌握程度。</w:t>
            </w:r>
          </w:p>
        </w:tc>
        <w:tc>
          <w:tcPr>
            <w:tcW w:w="2106"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rPr>
              <w:t>2、3、4</w:t>
            </w:r>
            <w:r>
              <w:rPr>
                <w:rFonts w:hint="eastAsia" w:ascii="仿宋" w:hAnsi="仿宋" w:eastAsia="仿宋"/>
                <w:b/>
                <w:color w:val="000000"/>
                <w:sz w:val="24"/>
                <w:lang w:eastAsia="zh-CN"/>
              </w:rPr>
              <w:t>、</w:t>
            </w:r>
            <w:r>
              <w:rPr>
                <w:rFonts w:hint="eastAsia" w:ascii="仿宋" w:hAnsi="仿宋" w:eastAsia="仿宋"/>
                <w:b/>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45"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78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825"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2494" w:type="dxa"/>
            <w:vAlign w:val="center"/>
          </w:tcPr>
          <w:p>
            <w:pPr>
              <w:snapToGrid w:val="0"/>
              <w:spacing w:line="360" w:lineRule="auto"/>
              <w:jc w:val="center"/>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bidi="ar-SA"/>
              </w:rPr>
              <w:t>点名5次，各占2分</w:t>
            </w:r>
          </w:p>
        </w:tc>
        <w:tc>
          <w:tcPr>
            <w:tcW w:w="2106" w:type="dxa"/>
            <w:vAlign w:val="center"/>
          </w:tcPr>
          <w:p>
            <w:pPr>
              <w:snapToGrid w:val="0"/>
              <w:spacing w:line="360" w:lineRule="auto"/>
              <w:jc w:val="center"/>
              <w:rPr>
                <w:rFonts w:ascii="仿宋" w:hAnsi="仿宋" w:eastAsia="仿宋"/>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845" w:type="dxa"/>
            <w:vMerge w:val="continue"/>
            <w:shd w:val="clear" w:color="auto" w:fill="auto"/>
            <w:vAlign w:val="center"/>
          </w:tcPr>
          <w:p>
            <w:pPr>
              <w:snapToGrid w:val="0"/>
              <w:spacing w:line="360" w:lineRule="auto"/>
              <w:jc w:val="center"/>
              <w:rPr>
                <w:rFonts w:ascii="仿宋" w:hAnsi="仿宋" w:eastAsia="仿宋"/>
                <w:b/>
                <w:color w:val="000000"/>
                <w:sz w:val="24"/>
              </w:rPr>
            </w:pPr>
          </w:p>
        </w:tc>
        <w:tc>
          <w:tcPr>
            <w:tcW w:w="78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专题报告</w:t>
            </w:r>
          </w:p>
        </w:tc>
        <w:tc>
          <w:tcPr>
            <w:tcW w:w="825"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5</w:t>
            </w:r>
          </w:p>
        </w:tc>
        <w:tc>
          <w:tcPr>
            <w:tcW w:w="2494" w:type="dxa"/>
            <w:vAlign w:val="center"/>
          </w:tcPr>
          <w:p>
            <w:pPr>
              <w:pStyle w:val="28"/>
              <w:numPr>
                <w:ilvl w:val="0"/>
                <w:numId w:val="0"/>
              </w:numPr>
              <w:snapToGrid w:val="0"/>
              <w:spacing w:line="240" w:lineRule="auto"/>
              <w:ind w:left="425" w:leftChars="0" w:hanging="425" w:firstLineChars="0"/>
              <w:jc w:val="left"/>
              <w:rPr>
                <w:rFonts w:hint="eastAsia" w:ascii="仿宋" w:hAnsi="仿宋" w:eastAsia="仿宋" w:cs="仿宋"/>
                <w:b/>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根据课程进度提出问题，分组做一次PPT演示，并进行课堂讨论；</w:t>
            </w:r>
          </w:p>
          <w:p>
            <w:pPr>
              <w:pStyle w:val="28"/>
              <w:numPr>
                <w:ilvl w:val="0"/>
                <w:numId w:val="0"/>
              </w:numPr>
              <w:snapToGrid w:val="0"/>
              <w:spacing w:line="240" w:lineRule="auto"/>
              <w:ind w:left="425" w:leftChars="0" w:hanging="425" w:firstLineChars="0"/>
              <w:jc w:val="left"/>
              <w:rPr>
                <w:rFonts w:hint="eastAsia" w:ascii="仿宋" w:hAnsi="仿宋" w:eastAsia="仿宋" w:cs="仿宋"/>
                <w:b/>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汇报演示内容形成课程论文，注重论文格式规范。</w:t>
            </w:r>
          </w:p>
        </w:tc>
        <w:tc>
          <w:tcPr>
            <w:tcW w:w="2106"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8" w:hRule="atLeast"/>
          <w:jc w:val="center"/>
        </w:trPr>
        <w:tc>
          <w:tcPr>
            <w:tcW w:w="845"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78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825"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6</w:t>
            </w:r>
            <w:r>
              <w:rPr>
                <w:rFonts w:ascii="仿宋" w:hAnsi="仿宋" w:eastAsia="仿宋"/>
                <w:b/>
                <w:color w:val="000000"/>
                <w:sz w:val="24"/>
              </w:rPr>
              <w:t>0</w:t>
            </w:r>
          </w:p>
        </w:tc>
        <w:tc>
          <w:tcPr>
            <w:tcW w:w="2494" w:type="dxa"/>
            <w:vAlign w:val="center"/>
          </w:tcPr>
          <w:p>
            <w:pPr>
              <w:pStyle w:val="28"/>
              <w:numPr>
                <w:ilvl w:val="0"/>
                <w:numId w:val="0"/>
              </w:numPr>
              <w:snapToGrid w:val="0"/>
              <w:spacing w:line="240" w:lineRule="auto"/>
              <w:ind w:left="425" w:leftChars="0" w:hanging="425" w:firstLineChars="0"/>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（1）卷面成绩100分，以卷面成绩乘以其在总评成绩中所占的比例计入课程总评成绩。</w:t>
            </w:r>
          </w:p>
          <w:p>
            <w:pPr>
              <w:pStyle w:val="28"/>
              <w:numPr>
                <w:ilvl w:val="0"/>
                <w:numId w:val="0"/>
              </w:numPr>
              <w:snapToGrid w:val="0"/>
              <w:spacing w:line="240" w:lineRule="auto"/>
              <w:ind w:left="425" w:leftChars="0" w:hanging="425" w:firstLineChars="0"/>
              <w:jc w:val="left"/>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（2）主要考核商业银行业务与经营的基本知识和基本理论。</w:t>
            </w:r>
          </w:p>
          <w:p>
            <w:pPr>
              <w:pStyle w:val="28"/>
              <w:numPr>
                <w:ilvl w:val="0"/>
                <w:numId w:val="0"/>
              </w:numPr>
              <w:snapToGrid w:val="0"/>
              <w:spacing w:line="240" w:lineRule="auto"/>
              <w:ind w:left="425" w:leftChars="0" w:hanging="425" w:firstLineChars="0"/>
              <w:jc w:val="left"/>
              <w:rPr>
                <w:color w:val="000000"/>
              </w:rPr>
            </w:pPr>
            <w:r>
              <w:rPr>
                <w:rFonts w:hint="eastAsia" w:ascii="仿宋" w:hAnsi="仿宋" w:eastAsia="仿宋" w:cs="仿宋"/>
                <w:color w:val="000000"/>
                <w:sz w:val="24"/>
                <w:szCs w:val="24"/>
                <w:lang w:eastAsia="zh-CN"/>
              </w:rPr>
              <w:t>考试题型为：选择题、计算题、分析题、简述题和论述题等。</w:t>
            </w:r>
            <w:r>
              <w:rPr>
                <w:color w:val="000000"/>
              </w:rPr>
              <w:t xml:space="preserve"> </w:t>
            </w:r>
          </w:p>
          <w:p>
            <w:pPr>
              <w:snapToGrid w:val="0"/>
              <w:spacing w:line="360" w:lineRule="auto"/>
              <w:jc w:val="left"/>
              <w:rPr>
                <w:rFonts w:ascii="仿宋" w:hAnsi="仿宋" w:eastAsia="仿宋"/>
                <w:bCs/>
                <w:color w:val="0070C0"/>
                <w:sz w:val="24"/>
              </w:rPr>
            </w:pPr>
          </w:p>
        </w:tc>
        <w:tc>
          <w:tcPr>
            <w:tcW w:w="2106"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2、3、4、5</w:t>
            </w:r>
          </w:p>
        </w:tc>
      </w:tr>
    </w:tbl>
    <w:p>
      <w:pPr>
        <w:snapToGrid w:val="0"/>
        <w:spacing w:line="360" w:lineRule="auto"/>
        <w:ind w:firstLine="482" w:firstLineChars="200"/>
        <w:rPr>
          <w:rFonts w:hint="eastAsia" w:ascii="仿宋" w:hAnsi="仿宋" w:eastAsia="仿宋"/>
          <w:b/>
          <w:color w:val="000000"/>
          <w:sz w:val="24"/>
        </w:rPr>
      </w:pPr>
    </w:p>
    <w:p>
      <w:pPr>
        <w:snapToGrid w:val="0"/>
        <w:spacing w:line="360" w:lineRule="auto"/>
        <w:ind w:firstLine="482" w:firstLineChars="200"/>
        <w:rPr>
          <w:rFonts w:hint="eastAsia" w:ascii="仿宋" w:hAnsi="仿宋" w:eastAsia="仿宋"/>
          <w:b/>
          <w:color w:val="000000"/>
          <w:sz w:val="24"/>
        </w:rPr>
      </w:pPr>
    </w:p>
    <w:p>
      <w:pPr>
        <w:snapToGrid w:val="0"/>
        <w:spacing w:line="360" w:lineRule="auto"/>
        <w:rPr>
          <w:rFonts w:hint="eastAsia" w:ascii="仿宋" w:hAnsi="仿宋" w:eastAsia="仿宋"/>
          <w:b/>
          <w:color w:val="000000"/>
          <w:sz w:val="24"/>
        </w:rPr>
      </w:pPr>
    </w:p>
    <w:p>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9"/>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108"/>
        <w:gridCol w:w="1134"/>
        <w:gridCol w:w="850"/>
        <w:gridCol w:w="851"/>
        <w:gridCol w:w="908"/>
        <w:gridCol w:w="919"/>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restart"/>
            <w:shd w:val="clear" w:color="auto" w:fill="D7D7D7" w:themeFill="background1" w:themeFillShade="D8"/>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1134" w:type="dxa"/>
            <w:vMerge w:val="restart"/>
            <w:shd w:val="clear" w:color="auto" w:fill="D7D7D7" w:themeFill="background1" w:themeFillShade="D8"/>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389" w:type="dxa"/>
            <w:gridSpan w:val="5"/>
            <w:shd w:val="clear" w:color="auto" w:fill="D7D7D7" w:themeFill="background1" w:themeFillShade="D8"/>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02" w:type="dxa"/>
            <w:gridSpan w:val="2"/>
            <w:vMerge w:val="continue"/>
            <w:shd w:val="clear" w:color="auto" w:fill="D7D7D7" w:themeFill="background1" w:themeFillShade="D8"/>
            <w:vAlign w:val="center"/>
          </w:tcPr>
          <w:p>
            <w:pPr>
              <w:snapToGrid w:val="0"/>
              <w:spacing w:line="360" w:lineRule="auto"/>
              <w:jc w:val="center"/>
              <w:rPr>
                <w:rFonts w:ascii="仿宋" w:hAnsi="仿宋" w:eastAsia="仿宋"/>
                <w:b/>
                <w:color w:val="000000"/>
                <w:sz w:val="24"/>
              </w:rPr>
            </w:pPr>
          </w:p>
        </w:tc>
        <w:tc>
          <w:tcPr>
            <w:tcW w:w="1134" w:type="dxa"/>
            <w:vMerge w:val="continue"/>
            <w:shd w:val="clear" w:color="auto" w:fill="D7D7D7" w:themeFill="background1" w:themeFillShade="D8"/>
          </w:tcPr>
          <w:p>
            <w:pPr>
              <w:snapToGrid w:val="0"/>
              <w:spacing w:line="360" w:lineRule="auto"/>
              <w:jc w:val="center"/>
              <w:rPr>
                <w:rFonts w:ascii="仿宋" w:hAnsi="仿宋" w:eastAsia="仿宋"/>
                <w:b/>
                <w:color w:val="000000"/>
                <w:sz w:val="24"/>
              </w:rPr>
            </w:pPr>
          </w:p>
        </w:tc>
        <w:tc>
          <w:tcPr>
            <w:tcW w:w="850" w:type="dxa"/>
            <w:shd w:val="clear" w:color="auto" w:fill="D7D7D7" w:themeFill="background1" w:themeFillShade="D8"/>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851" w:type="dxa"/>
            <w:shd w:val="clear" w:color="auto" w:fill="D7D7D7" w:themeFill="background1" w:themeFillShade="D8"/>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908" w:type="dxa"/>
            <w:shd w:val="clear" w:color="auto" w:fill="D7D7D7" w:themeFill="background1" w:themeFillShade="D8"/>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c>
          <w:tcPr>
            <w:tcW w:w="919" w:type="dxa"/>
            <w:shd w:val="clear" w:color="auto" w:fill="D7D7D7" w:themeFill="background1" w:themeFillShade="D8"/>
            <w:vAlign w:val="top"/>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4</w:t>
            </w:r>
          </w:p>
        </w:tc>
        <w:tc>
          <w:tcPr>
            <w:tcW w:w="861" w:type="dxa"/>
            <w:shd w:val="clear" w:color="auto" w:fill="D7D7D7" w:themeFill="background1" w:themeFillShade="D8"/>
            <w:vAlign w:val="top"/>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课程目标</w:t>
            </w:r>
            <w:r>
              <w:rPr>
                <w:rFonts w:hint="eastAsia" w:ascii="仿宋" w:hAnsi="仿宋" w:eastAsia="仿宋"/>
                <w:b/>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restart"/>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210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作业</w:t>
            </w:r>
          </w:p>
        </w:tc>
        <w:tc>
          <w:tcPr>
            <w:tcW w:w="1134" w:type="dxa"/>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rPr>
              <w:t>1</w:t>
            </w:r>
            <w:r>
              <w:rPr>
                <w:rFonts w:hint="eastAsia" w:ascii="仿宋" w:hAnsi="仿宋" w:eastAsia="仿宋"/>
                <w:b/>
                <w:color w:val="000000"/>
                <w:sz w:val="24"/>
                <w:lang w:val="en-US" w:eastAsia="zh-CN"/>
              </w:rPr>
              <w:t>0</w:t>
            </w:r>
          </w:p>
        </w:tc>
        <w:tc>
          <w:tcPr>
            <w:tcW w:w="850" w:type="dxa"/>
            <w:shd w:val="clear" w:color="auto" w:fill="auto"/>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2</w:t>
            </w:r>
          </w:p>
        </w:tc>
        <w:tc>
          <w:tcPr>
            <w:tcW w:w="851"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908"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919"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2</w:t>
            </w:r>
          </w:p>
        </w:tc>
        <w:tc>
          <w:tcPr>
            <w:tcW w:w="861"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tcBorders/>
            <w:shd w:val="clear" w:color="auto" w:fill="auto"/>
            <w:vAlign w:val="center"/>
          </w:tcPr>
          <w:p>
            <w:pPr>
              <w:snapToGrid w:val="0"/>
              <w:spacing w:line="360" w:lineRule="auto"/>
              <w:jc w:val="center"/>
              <w:rPr>
                <w:rFonts w:ascii="仿宋" w:hAnsi="仿宋" w:eastAsia="仿宋"/>
                <w:b/>
                <w:color w:val="000000"/>
                <w:sz w:val="24"/>
              </w:rPr>
            </w:pPr>
          </w:p>
        </w:tc>
        <w:tc>
          <w:tcPr>
            <w:tcW w:w="210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1134"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0</w:t>
            </w:r>
          </w:p>
        </w:tc>
        <w:tc>
          <w:tcPr>
            <w:tcW w:w="850" w:type="dxa"/>
            <w:shd w:val="clear" w:color="auto" w:fill="auto"/>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w:t>
            </w:r>
          </w:p>
        </w:tc>
        <w:tc>
          <w:tcPr>
            <w:tcW w:w="851"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w:t>
            </w:r>
          </w:p>
        </w:tc>
        <w:tc>
          <w:tcPr>
            <w:tcW w:w="908"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w:t>
            </w:r>
          </w:p>
        </w:tc>
        <w:tc>
          <w:tcPr>
            <w:tcW w:w="919"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w:t>
            </w:r>
          </w:p>
        </w:tc>
        <w:tc>
          <w:tcPr>
            <w:tcW w:w="861" w:type="dxa"/>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tcBorders/>
            <w:shd w:val="clear" w:color="auto" w:fill="auto"/>
            <w:vAlign w:val="center"/>
          </w:tcPr>
          <w:p>
            <w:pPr>
              <w:snapToGrid w:val="0"/>
              <w:spacing w:line="360" w:lineRule="auto"/>
              <w:jc w:val="center"/>
              <w:rPr>
                <w:rFonts w:ascii="仿宋" w:hAnsi="仿宋" w:eastAsia="仿宋"/>
                <w:b/>
                <w:color w:val="000000"/>
                <w:sz w:val="24"/>
              </w:rPr>
            </w:pPr>
          </w:p>
        </w:tc>
        <w:tc>
          <w:tcPr>
            <w:tcW w:w="2108" w:type="dxa"/>
            <w:shd w:val="clear" w:color="auto" w:fill="auto"/>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专题报告</w:t>
            </w:r>
          </w:p>
        </w:tc>
        <w:tc>
          <w:tcPr>
            <w:tcW w:w="1134" w:type="dxa"/>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1</w:t>
            </w:r>
            <w:r>
              <w:rPr>
                <w:rFonts w:ascii="仿宋" w:hAnsi="仿宋" w:eastAsia="仿宋"/>
                <w:b/>
                <w:color w:val="000000"/>
                <w:sz w:val="24"/>
              </w:rPr>
              <w:t>5</w:t>
            </w:r>
          </w:p>
        </w:tc>
        <w:tc>
          <w:tcPr>
            <w:tcW w:w="850" w:type="dxa"/>
            <w:shd w:val="clear" w:color="auto" w:fill="auto"/>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851" w:type="dxa"/>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908" w:type="dxa"/>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919" w:type="dxa"/>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c>
          <w:tcPr>
            <w:tcW w:w="861" w:type="dxa"/>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94" w:type="dxa"/>
            <w:vMerge w:val="continue"/>
            <w:tcBorders/>
            <w:shd w:val="clear" w:color="auto" w:fill="auto"/>
            <w:vAlign w:val="center"/>
          </w:tcPr>
          <w:p>
            <w:pPr>
              <w:snapToGrid w:val="0"/>
              <w:spacing w:line="360" w:lineRule="auto"/>
              <w:jc w:val="center"/>
              <w:rPr>
                <w:rFonts w:ascii="仿宋" w:hAnsi="仿宋" w:eastAsia="仿宋"/>
                <w:b/>
                <w:color w:val="000000"/>
                <w:sz w:val="24"/>
              </w:rPr>
            </w:pPr>
          </w:p>
        </w:tc>
        <w:tc>
          <w:tcPr>
            <w:tcW w:w="2108" w:type="dxa"/>
            <w:shd w:val="clear" w:color="auto" w:fill="auto"/>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实操</w:t>
            </w:r>
          </w:p>
        </w:tc>
        <w:tc>
          <w:tcPr>
            <w:tcW w:w="1134" w:type="dxa"/>
            <w:vAlign w:val="center"/>
          </w:tcPr>
          <w:p>
            <w:pPr>
              <w:snapToGrid w:val="0"/>
              <w:spacing w:line="360" w:lineRule="auto"/>
              <w:jc w:val="center"/>
              <w:rPr>
                <w:rFonts w:hint="eastAsia" w:ascii="仿宋" w:hAnsi="仿宋" w:eastAsia="仿宋"/>
                <w:b/>
                <w:color w:val="000000"/>
                <w:sz w:val="24"/>
                <w:lang w:val="en-US" w:eastAsia="zh-CN"/>
              </w:rPr>
            </w:pPr>
            <w:r>
              <w:rPr>
                <w:rFonts w:hint="eastAsia" w:ascii="仿宋" w:hAnsi="仿宋" w:eastAsia="仿宋"/>
                <w:b/>
                <w:color w:val="000000"/>
                <w:sz w:val="24"/>
                <w:lang w:val="en-US" w:eastAsia="zh-CN"/>
              </w:rPr>
              <w:t>5</w:t>
            </w:r>
          </w:p>
        </w:tc>
        <w:tc>
          <w:tcPr>
            <w:tcW w:w="850" w:type="dxa"/>
            <w:shd w:val="clear" w:color="auto" w:fill="auto"/>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c>
          <w:tcPr>
            <w:tcW w:w="851"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c>
          <w:tcPr>
            <w:tcW w:w="908"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c>
          <w:tcPr>
            <w:tcW w:w="919"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0</w:t>
            </w:r>
          </w:p>
        </w:tc>
        <w:tc>
          <w:tcPr>
            <w:tcW w:w="861"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694"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2108" w:type="dxa"/>
            <w:shd w:val="clear" w:color="auto" w:fill="auto"/>
            <w:vAlign w:val="center"/>
          </w:tcPr>
          <w:p>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1134" w:type="dxa"/>
            <w:vAlign w:val="center"/>
          </w:tcPr>
          <w:p>
            <w:pPr>
              <w:snapToGrid w:val="0"/>
              <w:spacing w:line="360" w:lineRule="auto"/>
              <w:jc w:val="center"/>
              <w:rPr>
                <w:rFonts w:hint="default" w:ascii="仿宋" w:hAnsi="仿宋" w:eastAsia="仿宋"/>
                <w:b/>
                <w:color w:val="000000"/>
                <w:sz w:val="24"/>
                <w:lang w:val="en-US" w:eastAsia="zh-CN"/>
              </w:rPr>
            </w:pPr>
            <w:r>
              <w:rPr>
                <w:rFonts w:hint="eastAsia" w:ascii="仿宋" w:hAnsi="仿宋" w:eastAsia="仿宋"/>
                <w:b/>
                <w:color w:val="000000"/>
                <w:sz w:val="24"/>
                <w:lang w:val="en-US" w:eastAsia="zh-CN"/>
              </w:rPr>
              <w:t>60</w:t>
            </w:r>
          </w:p>
        </w:tc>
        <w:tc>
          <w:tcPr>
            <w:tcW w:w="850" w:type="dxa"/>
            <w:shd w:val="clear" w:color="auto" w:fill="auto"/>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10</w:t>
            </w:r>
          </w:p>
        </w:tc>
        <w:tc>
          <w:tcPr>
            <w:tcW w:w="851"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15</w:t>
            </w:r>
          </w:p>
        </w:tc>
        <w:tc>
          <w:tcPr>
            <w:tcW w:w="908"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15</w:t>
            </w:r>
          </w:p>
        </w:tc>
        <w:tc>
          <w:tcPr>
            <w:tcW w:w="919" w:type="dxa"/>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15</w:t>
            </w:r>
          </w:p>
        </w:tc>
        <w:tc>
          <w:tcPr>
            <w:tcW w:w="861" w:type="dxa"/>
            <w:vAlign w:val="center"/>
          </w:tcPr>
          <w:p>
            <w:pPr>
              <w:snapToGrid w:val="0"/>
              <w:spacing w:line="360" w:lineRule="auto"/>
              <w:jc w:val="center"/>
              <w:rPr>
                <w:rFonts w:hint="eastAsia"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gridSpan w:val="3"/>
            <w:shd w:val="clear" w:color="auto" w:fill="auto"/>
            <w:vAlign w:val="center"/>
          </w:tcPr>
          <w:p>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850" w:type="dxa"/>
            <w:shd w:val="clear" w:color="auto" w:fill="auto"/>
            <w:vAlign w:val="center"/>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15</w:t>
            </w:r>
          </w:p>
        </w:tc>
        <w:tc>
          <w:tcPr>
            <w:tcW w:w="851"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21</w:t>
            </w:r>
          </w:p>
        </w:tc>
        <w:tc>
          <w:tcPr>
            <w:tcW w:w="908"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21</w:t>
            </w:r>
          </w:p>
        </w:tc>
        <w:tc>
          <w:tcPr>
            <w:tcW w:w="919"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18</w:t>
            </w:r>
          </w:p>
        </w:tc>
        <w:tc>
          <w:tcPr>
            <w:tcW w:w="861" w:type="dxa"/>
          </w:tcPr>
          <w:p>
            <w:pPr>
              <w:snapToGrid w:val="0"/>
              <w:spacing w:line="360" w:lineRule="auto"/>
              <w:jc w:val="center"/>
              <w:rPr>
                <w:rFonts w:hint="default" w:ascii="仿宋" w:hAnsi="仿宋" w:eastAsia="仿宋" w:cs="Times New Roman"/>
                <w:b/>
                <w:color w:val="000000"/>
                <w:sz w:val="24"/>
                <w:lang w:val="en-US" w:eastAsia="zh-CN"/>
              </w:rPr>
            </w:pPr>
            <w:r>
              <w:rPr>
                <w:rFonts w:hint="eastAsia" w:ascii="仿宋" w:hAnsi="仿宋" w:eastAsia="仿宋" w:cs="Times New Roman"/>
                <w:b/>
                <w:color w:val="000000"/>
                <w:sz w:val="24"/>
                <w:lang w:val="en-US" w:eastAsia="zh-CN"/>
              </w:rPr>
              <w:t>13</w:t>
            </w:r>
          </w:p>
        </w:tc>
      </w:tr>
    </w:tbl>
    <w:p>
      <w:pPr>
        <w:tabs>
          <w:tab w:val="left" w:pos="-5670"/>
          <w:tab w:val="left" w:pos="-5245"/>
          <w:tab w:val="left" w:pos="1134"/>
        </w:tabs>
        <w:spacing w:before="156" w:beforeLines="50" w:after="156" w:afterLines="50" w:line="360" w:lineRule="auto"/>
        <w:ind w:firstLine="280" w:firstLineChars="100"/>
        <w:rPr>
          <w:rFonts w:eastAsia="黑体"/>
          <w:color w:val="000000"/>
          <w:sz w:val="28"/>
          <w:szCs w:val="28"/>
        </w:rPr>
      </w:pPr>
      <w:bookmarkStart w:id="3" w:name="_Hlk49024753"/>
      <w:r>
        <w:rPr>
          <w:rFonts w:hint="eastAsia" w:eastAsia="黑体"/>
          <w:color w:val="000000"/>
          <w:sz w:val="28"/>
          <w:szCs w:val="28"/>
        </w:rPr>
        <w:t>六</w:t>
      </w:r>
      <w:r>
        <w:rPr>
          <w:rFonts w:eastAsia="黑体"/>
          <w:color w:val="000000"/>
          <w:sz w:val="28"/>
          <w:szCs w:val="28"/>
        </w:rPr>
        <w:t>、课程</w:t>
      </w:r>
      <w:r>
        <w:rPr>
          <w:rFonts w:hint="eastAsia" w:eastAsia="黑体"/>
          <w:color w:val="000000"/>
          <w:sz w:val="28"/>
          <w:szCs w:val="28"/>
        </w:rPr>
        <w:t>目标达成度评价</w:t>
      </w:r>
    </w:p>
    <w:p>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七</w:t>
      </w:r>
      <w:r>
        <w:rPr>
          <w:rFonts w:eastAsia="黑体"/>
          <w:color w:val="000000"/>
          <w:sz w:val="28"/>
          <w:szCs w:val="28"/>
        </w:rPr>
        <w:t>、</w:t>
      </w:r>
      <w:r>
        <w:rPr>
          <w:rFonts w:hint="eastAsia" w:eastAsia="黑体"/>
          <w:color w:val="000000"/>
          <w:sz w:val="28"/>
          <w:szCs w:val="28"/>
        </w:rPr>
        <w:t>学习建议</w:t>
      </w:r>
    </w:p>
    <w:bookmarkEnd w:id="3"/>
    <w:p>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sz w:val="22"/>
          <w:szCs w:val="22"/>
        </w:rPr>
      </w:pPr>
      <w:r>
        <w:rPr>
          <w:rFonts w:hint="eastAsia"/>
          <w:sz w:val="22"/>
          <w:szCs w:val="22"/>
        </w:rPr>
        <w:t>本课程运用课堂讲授、网上教学、比较分析、课后作业、研讨式教学等多层次教学方法和教学手段讲授课程的基本理论、基本原理、基本方法，</w:t>
      </w:r>
      <w:r>
        <w:rPr>
          <w:rStyle w:val="29"/>
          <w:sz w:val="22"/>
          <w:szCs w:val="22"/>
        </w:rPr>
        <w:t>使学生对商业银行的基本经营理论、管理理论和主要业务的实际操作有一个比较系统、全面的了解，从而开阔学生视野，培养学生的业务操作能力、管理能力和创新能力</w:t>
      </w:r>
      <w:r>
        <w:rPr>
          <w:rFonts w:hint="eastAsia"/>
          <w:sz w:val="22"/>
          <w:szCs w:val="22"/>
        </w:rPr>
        <w:t>；定性分析和定量分析相结合；专业知识和价值引领相结合，注意金融法律法规的学习，做一个合格的从业者。</w:t>
      </w:r>
    </w:p>
    <w:p>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sz w:val="22"/>
          <w:szCs w:val="22"/>
        </w:rPr>
      </w:pPr>
      <w:r>
        <w:rPr>
          <w:rFonts w:hint="eastAsia"/>
          <w:sz w:val="22"/>
          <w:szCs w:val="22"/>
        </w:rPr>
        <w:t>本课程在实施研究性教学过程中的主要内容：</w:t>
      </w:r>
    </w:p>
    <w:p>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sz w:val="22"/>
          <w:szCs w:val="22"/>
        </w:rPr>
      </w:pPr>
      <w:r>
        <w:rPr>
          <w:rFonts w:hint="eastAsia"/>
          <w:b/>
          <w:sz w:val="22"/>
          <w:szCs w:val="22"/>
        </w:rPr>
        <w:t>1.课堂讲授：</w:t>
      </w:r>
      <w:r>
        <w:rPr>
          <w:rFonts w:hint="eastAsia"/>
          <w:sz w:val="22"/>
          <w:szCs w:val="22"/>
        </w:rPr>
        <w:t>系统讲授本课程的主要理论和方法。</w:t>
      </w:r>
    </w:p>
    <w:p>
      <w:pPr>
        <w:pStyle w:val="27"/>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sz w:val="22"/>
          <w:szCs w:val="22"/>
        </w:rPr>
      </w:pPr>
      <w:r>
        <w:rPr>
          <w:rFonts w:hint="eastAsia"/>
          <w:b/>
          <w:sz w:val="22"/>
          <w:szCs w:val="22"/>
        </w:rPr>
        <w:t>2.网上教学：</w:t>
      </w:r>
      <w:r>
        <w:rPr>
          <w:rFonts w:hint="eastAsia"/>
          <w:sz w:val="22"/>
          <w:szCs w:val="22"/>
        </w:rPr>
        <w:t>开通班级的网上讨论组，学生可以自由讨论，教师可以对一些学生遇到的难点进行讲解。</w:t>
      </w:r>
    </w:p>
    <w:p>
      <w:pPr>
        <w:pStyle w:val="27"/>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rStyle w:val="29"/>
          <w:bCs/>
          <w:sz w:val="22"/>
          <w:szCs w:val="22"/>
        </w:rPr>
      </w:pPr>
      <w:r>
        <w:rPr>
          <w:rFonts w:hint="eastAsia"/>
          <w:b/>
          <w:sz w:val="22"/>
          <w:szCs w:val="22"/>
        </w:rPr>
        <w:t>3.比较分析：</w:t>
      </w:r>
      <w:r>
        <w:rPr>
          <w:rFonts w:hint="eastAsia"/>
          <w:bCs/>
          <w:sz w:val="22"/>
          <w:szCs w:val="22"/>
        </w:rPr>
        <w:t>重点难点突出，对关联理论知识，进行比较分析，注重学生分析问题能力的培养。</w:t>
      </w:r>
      <w:r>
        <w:rPr>
          <w:rStyle w:val="29"/>
          <w:bCs/>
          <w:sz w:val="22"/>
          <w:szCs w:val="22"/>
        </w:rPr>
        <w:t xml:space="preserve"> </w:t>
      </w:r>
    </w:p>
    <w:p>
      <w:pPr>
        <w:pStyle w:val="27"/>
        <w:keepNext w:val="0"/>
        <w:keepLines w:val="0"/>
        <w:pageBreakBefore w:val="0"/>
        <w:widowControl w:val="0"/>
        <w:kinsoku/>
        <w:wordWrap/>
        <w:overflowPunct/>
        <w:topLinePunct w:val="0"/>
        <w:autoSpaceDE/>
        <w:autoSpaceDN/>
        <w:bidi w:val="0"/>
        <w:adjustRightInd w:val="0"/>
        <w:snapToGrid w:val="0"/>
        <w:spacing w:line="360" w:lineRule="auto"/>
        <w:ind w:firstLine="422"/>
        <w:textAlignment w:val="auto"/>
        <w:rPr>
          <w:b/>
          <w:sz w:val="22"/>
          <w:szCs w:val="22"/>
        </w:rPr>
      </w:pPr>
      <w:r>
        <w:rPr>
          <w:rFonts w:hint="eastAsia"/>
          <w:b/>
          <w:sz w:val="22"/>
          <w:szCs w:val="22"/>
        </w:rPr>
        <w:t>4.课后作业：</w:t>
      </w:r>
      <w:r>
        <w:rPr>
          <w:rFonts w:hint="eastAsia"/>
          <w:sz w:val="22"/>
          <w:szCs w:val="22"/>
        </w:rPr>
        <w:t>针对每个单元的核心问题，通过一定量的课后作业锻炼学生对基本理论的理解。</w:t>
      </w:r>
    </w:p>
    <w:p>
      <w:pPr>
        <w:pStyle w:val="27"/>
        <w:keepNext w:val="0"/>
        <w:keepLines w:val="0"/>
        <w:pageBreakBefore w:val="0"/>
        <w:widowControl w:val="0"/>
        <w:kinsoku/>
        <w:wordWrap/>
        <w:overflowPunct/>
        <w:topLinePunct w:val="0"/>
        <w:autoSpaceDE/>
        <w:autoSpaceDN/>
        <w:bidi w:val="0"/>
        <w:adjustRightInd w:val="0"/>
        <w:snapToGrid w:val="0"/>
        <w:spacing w:line="360" w:lineRule="auto"/>
        <w:ind w:left="422" w:firstLine="0" w:firstLineChars="0"/>
        <w:textAlignment w:val="auto"/>
        <w:rPr>
          <w:sz w:val="22"/>
          <w:szCs w:val="22"/>
        </w:rPr>
      </w:pPr>
      <w:r>
        <w:rPr>
          <w:rFonts w:hint="eastAsia"/>
          <w:b/>
          <w:sz w:val="22"/>
          <w:szCs w:val="22"/>
        </w:rPr>
        <w:t>5.研讨式教学：</w:t>
      </w:r>
      <w:r>
        <w:rPr>
          <w:rFonts w:hint="eastAsia"/>
          <w:sz w:val="22"/>
          <w:szCs w:val="22"/>
        </w:rPr>
        <w:t>针对所学内容列出问题，学生用ppt的形式向全班同学公开汇报，最后形成课程论文。</w:t>
      </w:r>
    </w:p>
    <w:p>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pPr>
        <w:spacing w:line="360" w:lineRule="auto"/>
        <w:ind w:firstLine="482" w:firstLineChars="200"/>
        <w:rPr>
          <w:rFonts w:eastAsia="仿宋"/>
          <w:b/>
          <w:color w:val="000000"/>
          <w:sz w:val="24"/>
        </w:rPr>
      </w:pPr>
      <w:r>
        <w:rPr>
          <w:rFonts w:eastAsia="仿宋"/>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1024"/>
        <w:gridCol w:w="1128"/>
        <w:gridCol w:w="1280"/>
        <w:gridCol w:w="568"/>
        <w:gridCol w:w="1024"/>
        <w:gridCol w:w="1516"/>
        <w:gridCol w:w="1982"/>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3"/>
                <w:rFonts w:hint="default"/>
                <w:lang w:bidi="ar"/>
              </w:rPr>
              <w:t>版次</w:t>
            </w:r>
            <w:r>
              <w:rPr>
                <w:rFonts w:ascii="仿宋" w:hAnsi="仿宋" w:eastAsia="仿宋"/>
                <w:color w:val="0070C0"/>
                <w:sz w:val="24"/>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教材级</w:t>
            </w:r>
            <w:r>
              <w:rPr>
                <w:rStyle w:val="25"/>
                <w:lang w:bidi="ar"/>
              </w:rPr>
              <w:t>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商业银行业务与经营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年1</w:t>
            </w:r>
            <w:r>
              <w:rPr>
                <w:rFonts w:ascii="宋体" w:hAnsi="宋体" w:cs="宋体"/>
                <w:color w:val="000000"/>
                <w:kern w:val="0"/>
                <w:sz w:val="20"/>
                <w:szCs w:val="20"/>
                <w:lang w:bidi="ar"/>
              </w:rPr>
              <w:t>0</w:t>
            </w:r>
            <w:r>
              <w:rPr>
                <w:rFonts w:hint="eastAsia" w:ascii="宋体" w:hAnsi="宋体" w:cs="宋体"/>
                <w:color w:val="000000"/>
                <w:kern w:val="0"/>
                <w:sz w:val="20"/>
                <w:szCs w:val="20"/>
                <w:lang w:bidi="ar"/>
              </w:rPr>
              <w:t>月第6版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年1</w:t>
            </w:r>
            <w:r>
              <w:rPr>
                <w:rFonts w:ascii="宋体" w:hAnsi="宋体" w:cs="宋体"/>
                <w:color w:val="000000"/>
                <w:kern w:val="0"/>
                <w:sz w:val="20"/>
                <w:szCs w:val="20"/>
                <w:lang w:bidi="ar"/>
              </w:rPr>
              <w:t>0</w:t>
            </w:r>
            <w:r>
              <w:rPr>
                <w:rFonts w:hint="eastAsia" w:ascii="宋体" w:hAnsi="宋体" w:cs="宋体"/>
                <w:color w:val="000000"/>
                <w:kern w:val="0"/>
                <w:sz w:val="20"/>
                <w:szCs w:val="20"/>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庄毓敏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中国人民大学出版社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9</w:t>
            </w:r>
            <w:r>
              <w:rPr>
                <w:rFonts w:ascii="宋体" w:hAnsi="宋体" w:cs="宋体"/>
                <w:color w:val="000000"/>
                <w:sz w:val="20"/>
                <w:szCs w:val="20"/>
              </w:rPr>
              <w:t>787300309910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“十二五”普通高等教育本科国家级规划教材</w:t>
            </w:r>
          </w:p>
        </w:tc>
      </w:tr>
    </w:tbl>
    <w:p>
      <w:pPr>
        <w:spacing w:line="360" w:lineRule="auto"/>
        <w:ind w:firstLine="482" w:firstLineChars="200"/>
        <w:rPr>
          <w:rFonts w:eastAsia="仿宋"/>
          <w:b/>
          <w:color w:val="000000"/>
          <w:sz w:val="24"/>
        </w:rPr>
      </w:pPr>
    </w:p>
    <w:p>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9"/>
        <w:tblW w:w="0" w:type="auto"/>
        <w:tblInd w:w="0" w:type="dxa"/>
        <w:tblLayout w:type="autofit"/>
        <w:tblCellMar>
          <w:top w:w="0" w:type="dxa"/>
          <w:left w:w="108" w:type="dxa"/>
          <w:bottom w:w="0" w:type="dxa"/>
          <w:right w:w="108" w:type="dxa"/>
        </w:tblCellMar>
      </w:tblPr>
      <w:tblGrid>
        <w:gridCol w:w="618"/>
        <w:gridCol w:w="939"/>
        <w:gridCol w:w="936"/>
        <w:gridCol w:w="1030"/>
        <w:gridCol w:w="875"/>
        <w:gridCol w:w="698"/>
        <w:gridCol w:w="1516"/>
        <w:gridCol w:w="1885"/>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Style w:val="23"/>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Style w:val="25"/>
                <w:rFonts w:hint="default"/>
                <w:lang w:bidi="ar"/>
              </w:rPr>
              <w:t>印次</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000000"/>
                <w:sz w:val="20"/>
                <w:szCs w:val="20"/>
              </w:rPr>
            </w:pPr>
            <w:r>
              <w:rPr>
                <w:rStyle w:val="25"/>
                <w:rFonts w:hint="default"/>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eastAsia="仿宋"/>
                <w:szCs w:val="21"/>
              </w:rPr>
              <w:t>商业银行经营学</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年1月第6版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年1月第1次印刷</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sz w:val="20"/>
                <w:szCs w:val="20"/>
              </w:rPr>
              <w:t>戴国强</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高等教育出版社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9787</w:t>
            </w:r>
            <w:r>
              <w:rPr>
                <w:rFonts w:ascii="宋体" w:hAnsi="宋体" w:cs="宋体"/>
                <w:color w:val="000000"/>
                <w:kern w:val="0"/>
                <w:sz w:val="20"/>
                <w:szCs w:val="20"/>
                <w:lang w:bidi="ar"/>
              </w:rPr>
              <w:t>040569711</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“十二五”普通高等教育本科国家级规划教材</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eastAsia="仿宋"/>
                <w:szCs w:val="21"/>
              </w:rPr>
              <w:t>商业银行业经营管理</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21</w:t>
            </w:r>
            <w:r>
              <w:rPr>
                <w:rFonts w:hint="eastAsia" w:ascii="宋体" w:hAnsi="宋体" w:cs="宋体"/>
                <w:color w:val="000000"/>
                <w:kern w:val="0"/>
                <w:sz w:val="20"/>
                <w:szCs w:val="20"/>
                <w:lang w:bidi="ar"/>
              </w:rPr>
              <w:t>年9月第1版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w:t>
            </w:r>
            <w:r>
              <w:rPr>
                <w:rFonts w:ascii="宋体" w:hAnsi="宋体" w:cs="宋体"/>
                <w:color w:val="000000"/>
                <w:kern w:val="0"/>
                <w:sz w:val="20"/>
                <w:szCs w:val="20"/>
                <w:lang w:bidi="ar"/>
              </w:rPr>
              <w:t>22</w:t>
            </w:r>
            <w:r>
              <w:rPr>
                <w:rFonts w:hint="eastAsia" w:ascii="宋体" w:hAnsi="宋体" w:cs="宋体"/>
                <w:color w:val="000000"/>
                <w:kern w:val="0"/>
                <w:sz w:val="20"/>
                <w:szCs w:val="20"/>
                <w:lang w:bidi="ar"/>
              </w:rPr>
              <w:t>年9月第1次印刷</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张桥云</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机械工业出版社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9787</w:t>
            </w:r>
            <w:r>
              <w:rPr>
                <w:rFonts w:ascii="宋体" w:hAnsi="宋体" w:cs="宋体"/>
                <w:color w:val="000000"/>
                <w:kern w:val="0"/>
                <w:sz w:val="20"/>
                <w:szCs w:val="20"/>
                <w:lang w:bidi="ar"/>
              </w:rPr>
              <w:t>111690672</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高等教育精品课程系列教材</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3</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商业银行业务毓经营</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201</w:t>
            </w:r>
            <w:r>
              <w:rPr>
                <w:rFonts w:ascii="宋体" w:hAnsi="宋体" w:cs="宋体"/>
                <w:color w:val="000000"/>
                <w:kern w:val="0"/>
                <w:sz w:val="20"/>
                <w:szCs w:val="20"/>
                <w:lang w:bidi="ar"/>
              </w:rPr>
              <w:t>4</w:t>
            </w:r>
            <w:r>
              <w:rPr>
                <w:rFonts w:hint="eastAsia" w:ascii="宋体" w:hAnsi="宋体" w:cs="宋体"/>
                <w:color w:val="000000"/>
                <w:kern w:val="0"/>
                <w:sz w:val="20"/>
                <w:szCs w:val="20"/>
                <w:lang w:bidi="ar"/>
              </w:rPr>
              <w:t>年9月第1版</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r>
              <w:rPr>
                <w:rFonts w:ascii="宋体" w:hAnsi="宋体" w:cs="宋体"/>
                <w:color w:val="000000"/>
                <w:kern w:val="0"/>
                <w:sz w:val="20"/>
                <w:szCs w:val="20"/>
                <w:lang w:bidi="ar"/>
              </w:rPr>
              <w:t>021</w:t>
            </w:r>
            <w:r>
              <w:rPr>
                <w:rFonts w:hint="eastAsia" w:ascii="宋体" w:hAnsi="宋体" w:cs="宋体"/>
                <w:color w:val="000000"/>
                <w:kern w:val="0"/>
                <w:sz w:val="20"/>
                <w:szCs w:val="20"/>
                <w:lang w:bidi="ar"/>
              </w:rPr>
              <w:t>年7月第1次印刷</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顾金宏</w:t>
            </w:r>
          </w:p>
        </w:tc>
        <w:tc>
          <w:tcPr>
            <w:tcW w:w="6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人民邮电出版社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9787</w:t>
            </w:r>
            <w:r>
              <w:rPr>
                <w:rFonts w:ascii="宋体" w:hAnsi="宋体" w:cs="宋体"/>
                <w:color w:val="000000"/>
                <w:kern w:val="0"/>
                <w:sz w:val="20"/>
                <w:szCs w:val="20"/>
                <w:lang w:bidi="ar"/>
              </w:rPr>
              <w:t>115362063</w:t>
            </w:r>
          </w:p>
        </w:tc>
        <w:tc>
          <w:tcPr>
            <w:tcW w:w="18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2</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世纪高等学校金融学系列教材</w:t>
            </w:r>
          </w:p>
        </w:tc>
      </w:tr>
    </w:tbl>
    <w:p>
      <w:pPr>
        <w:spacing w:line="360" w:lineRule="auto"/>
        <w:ind w:firstLine="480" w:firstLineChars="200"/>
        <w:jc w:val="left"/>
        <w:rPr>
          <w:rFonts w:eastAsia="仿宋"/>
          <w:color w:val="000000"/>
          <w:sz w:val="24"/>
        </w:rPr>
      </w:pPr>
    </w:p>
    <w:p>
      <w:pPr>
        <w:spacing w:line="360" w:lineRule="auto"/>
        <w:jc w:val="left"/>
        <w:rPr>
          <w:rFonts w:eastAsia="仿宋"/>
          <w:color w:val="000000"/>
          <w:sz w:val="24"/>
        </w:rPr>
      </w:pPr>
    </w:p>
    <w:p>
      <w:pPr>
        <w:spacing w:line="360" w:lineRule="auto"/>
        <w:jc w:val="left"/>
        <w:rPr>
          <w:rFonts w:eastAsia="仿宋"/>
          <w:color w:val="000000"/>
          <w:sz w:val="24"/>
        </w:rPr>
      </w:pPr>
      <w:bookmarkStart w:id="4" w:name="_GoBack"/>
      <w:bookmarkEnd w:id="4"/>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A3239C"/>
    <w:multiLevelType w:val="singleLevel"/>
    <w:tmpl w:val="9BA3239C"/>
    <w:lvl w:ilvl="0" w:tentative="0">
      <w:start w:val="1"/>
      <w:numFmt w:val="bullet"/>
      <w:lvlText w:val=""/>
      <w:lvlJc w:val="left"/>
      <w:pPr>
        <w:ind w:left="420" w:hanging="420"/>
      </w:pPr>
      <w:rPr>
        <w:rFonts w:hint="default" w:ascii="Wingdings" w:hAnsi="Wingdings"/>
      </w:rPr>
    </w:lvl>
  </w:abstractNum>
  <w:abstractNum w:abstractNumId="1">
    <w:nsid w:val="2FC25917"/>
    <w:multiLevelType w:val="multilevel"/>
    <w:tmpl w:val="2FC2591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65F2D705"/>
    <w:multiLevelType w:val="singleLevel"/>
    <w:tmpl w:val="65F2D705"/>
    <w:lvl w:ilvl="0" w:tentative="0">
      <w:start w:val="1"/>
      <w:numFmt w:val="bullet"/>
      <w:lvlText w:val=""/>
      <w:lvlJc w:val="left"/>
      <w:pPr>
        <w:ind w:left="420" w:hanging="420"/>
      </w:pPr>
      <w:rPr>
        <w:rFonts w:hint="default" w:ascii="Wingdings" w:hAnsi="Wingdings"/>
      </w:rPr>
    </w:lvl>
  </w:abstractNum>
  <w:abstractNum w:abstractNumId="3">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JhYmZjODRiMzEzZjJhNGUxNGE2ZGRjMmIxNzAyZmU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0FB0"/>
    <w:rsid w:val="00073F42"/>
    <w:rsid w:val="0008066A"/>
    <w:rsid w:val="00081108"/>
    <w:rsid w:val="0008602A"/>
    <w:rsid w:val="000871BB"/>
    <w:rsid w:val="000A2BE4"/>
    <w:rsid w:val="000A3403"/>
    <w:rsid w:val="000A43EA"/>
    <w:rsid w:val="000A7BD5"/>
    <w:rsid w:val="000A7C74"/>
    <w:rsid w:val="000B1E1E"/>
    <w:rsid w:val="000B2DC8"/>
    <w:rsid w:val="000B3A17"/>
    <w:rsid w:val="000B5912"/>
    <w:rsid w:val="000C0DDF"/>
    <w:rsid w:val="000C284B"/>
    <w:rsid w:val="000C295E"/>
    <w:rsid w:val="000C29C2"/>
    <w:rsid w:val="000C79E7"/>
    <w:rsid w:val="000E1351"/>
    <w:rsid w:val="000E436E"/>
    <w:rsid w:val="000E51F0"/>
    <w:rsid w:val="000E576B"/>
    <w:rsid w:val="000F2E28"/>
    <w:rsid w:val="000F2FF1"/>
    <w:rsid w:val="00104902"/>
    <w:rsid w:val="00110815"/>
    <w:rsid w:val="001114CB"/>
    <w:rsid w:val="001125A9"/>
    <w:rsid w:val="00113CED"/>
    <w:rsid w:val="00121E0F"/>
    <w:rsid w:val="00123FE3"/>
    <w:rsid w:val="00130312"/>
    <w:rsid w:val="00134BA8"/>
    <w:rsid w:val="00135F58"/>
    <w:rsid w:val="00136608"/>
    <w:rsid w:val="0014252C"/>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11C0"/>
    <w:rsid w:val="00193EF8"/>
    <w:rsid w:val="00196827"/>
    <w:rsid w:val="001A1479"/>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0859"/>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40A1"/>
    <w:rsid w:val="002A129F"/>
    <w:rsid w:val="002A12D2"/>
    <w:rsid w:val="002A3182"/>
    <w:rsid w:val="002A3B25"/>
    <w:rsid w:val="002B2744"/>
    <w:rsid w:val="002B6CC3"/>
    <w:rsid w:val="002B76E0"/>
    <w:rsid w:val="002B79EE"/>
    <w:rsid w:val="002C15A1"/>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7F8"/>
    <w:rsid w:val="003418ED"/>
    <w:rsid w:val="0034226B"/>
    <w:rsid w:val="00344D76"/>
    <w:rsid w:val="00355C93"/>
    <w:rsid w:val="00361D51"/>
    <w:rsid w:val="00364883"/>
    <w:rsid w:val="00374D45"/>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3F5ABA"/>
    <w:rsid w:val="003F6934"/>
    <w:rsid w:val="0040617E"/>
    <w:rsid w:val="00412A67"/>
    <w:rsid w:val="004136C2"/>
    <w:rsid w:val="0042133D"/>
    <w:rsid w:val="00424F7C"/>
    <w:rsid w:val="00433AE7"/>
    <w:rsid w:val="00436A43"/>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86847"/>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3DC7"/>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394"/>
    <w:rsid w:val="00526A46"/>
    <w:rsid w:val="0053120E"/>
    <w:rsid w:val="00536A8F"/>
    <w:rsid w:val="0053749D"/>
    <w:rsid w:val="00540C72"/>
    <w:rsid w:val="00543C46"/>
    <w:rsid w:val="00545515"/>
    <w:rsid w:val="00550B7C"/>
    <w:rsid w:val="00551B14"/>
    <w:rsid w:val="00553E4C"/>
    <w:rsid w:val="005556D0"/>
    <w:rsid w:val="0055770E"/>
    <w:rsid w:val="0056444B"/>
    <w:rsid w:val="00567D47"/>
    <w:rsid w:val="00567F7C"/>
    <w:rsid w:val="00570F3F"/>
    <w:rsid w:val="00571DFD"/>
    <w:rsid w:val="0057618A"/>
    <w:rsid w:val="005767D1"/>
    <w:rsid w:val="005844B9"/>
    <w:rsid w:val="0058582C"/>
    <w:rsid w:val="00591DB7"/>
    <w:rsid w:val="00593861"/>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5D6D"/>
    <w:rsid w:val="005D77CF"/>
    <w:rsid w:val="005E00C3"/>
    <w:rsid w:val="005E5170"/>
    <w:rsid w:val="005F4048"/>
    <w:rsid w:val="005F4096"/>
    <w:rsid w:val="005F570E"/>
    <w:rsid w:val="0060122E"/>
    <w:rsid w:val="00602E3C"/>
    <w:rsid w:val="00610A69"/>
    <w:rsid w:val="00611E78"/>
    <w:rsid w:val="00614522"/>
    <w:rsid w:val="00615CDF"/>
    <w:rsid w:val="0061621B"/>
    <w:rsid w:val="00616560"/>
    <w:rsid w:val="00616992"/>
    <w:rsid w:val="006179D2"/>
    <w:rsid w:val="00623B46"/>
    <w:rsid w:val="00633975"/>
    <w:rsid w:val="00635901"/>
    <w:rsid w:val="00637615"/>
    <w:rsid w:val="006413F8"/>
    <w:rsid w:val="00643AA6"/>
    <w:rsid w:val="0064672B"/>
    <w:rsid w:val="00652259"/>
    <w:rsid w:val="00656A53"/>
    <w:rsid w:val="00661B95"/>
    <w:rsid w:val="00667B68"/>
    <w:rsid w:val="0067285F"/>
    <w:rsid w:val="00677486"/>
    <w:rsid w:val="00681EE7"/>
    <w:rsid w:val="0068216D"/>
    <w:rsid w:val="00683C1B"/>
    <w:rsid w:val="006850AB"/>
    <w:rsid w:val="00686D24"/>
    <w:rsid w:val="00692BE7"/>
    <w:rsid w:val="00693945"/>
    <w:rsid w:val="006942D5"/>
    <w:rsid w:val="00696C8A"/>
    <w:rsid w:val="00697835"/>
    <w:rsid w:val="006A3059"/>
    <w:rsid w:val="006B48F8"/>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2C93"/>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4057"/>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16B80"/>
    <w:rsid w:val="00822044"/>
    <w:rsid w:val="00835C1F"/>
    <w:rsid w:val="00835DE5"/>
    <w:rsid w:val="00844D01"/>
    <w:rsid w:val="008464A8"/>
    <w:rsid w:val="00847531"/>
    <w:rsid w:val="00852192"/>
    <w:rsid w:val="00857C52"/>
    <w:rsid w:val="008602B0"/>
    <w:rsid w:val="00865C06"/>
    <w:rsid w:val="008662B6"/>
    <w:rsid w:val="008715C3"/>
    <w:rsid w:val="00874A70"/>
    <w:rsid w:val="00875897"/>
    <w:rsid w:val="0087669B"/>
    <w:rsid w:val="00877CB2"/>
    <w:rsid w:val="00880682"/>
    <w:rsid w:val="00882C42"/>
    <w:rsid w:val="00884B7E"/>
    <w:rsid w:val="00886798"/>
    <w:rsid w:val="00891E65"/>
    <w:rsid w:val="00893713"/>
    <w:rsid w:val="00895336"/>
    <w:rsid w:val="008A1280"/>
    <w:rsid w:val="008B02D2"/>
    <w:rsid w:val="008B1F4F"/>
    <w:rsid w:val="008B1F8C"/>
    <w:rsid w:val="008B4DA7"/>
    <w:rsid w:val="008C24F4"/>
    <w:rsid w:val="008C64AF"/>
    <w:rsid w:val="008D3A58"/>
    <w:rsid w:val="008D7540"/>
    <w:rsid w:val="008E0850"/>
    <w:rsid w:val="008F6743"/>
    <w:rsid w:val="008F7598"/>
    <w:rsid w:val="00905F26"/>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2A13"/>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1C1F"/>
    <w:rsid w:val="0099302E"/>
    <w:rsid w:val="009A3AA4"/>
    <w:rsid w:val="009A48AF"/>
    <w:rsid w:val="009A5DA6"/>
    <w:rsid w:val="009A687C"/>
    <w:rsid w:val="009B00A4"/>
    <w:rsid w:val="009B15C5"/>
    <w:rsid w:val="009B278E"/>
    <w:rsid w:val="009B46DE"/>
    <w:rsid w:val="009B4C52"/>
    <w:rsid w:val="009C126B"/>
    <w:rsid w:val="009C145F"/>
    <w:rsid w:val="009C6508"/>
    <w:rsid w:val="009D1D80"/>
    <w:rsid w:val="009D5FEB"/>
    <w:rsid w:val="009E3A95"/>
    <w:rsid w:val="009E63D5"/>
    <w:rsid w:val="009F3DB1"/>
    <w:rsid w:val="009F5AE8"/>
    <w:rsid w:val="009F6921"/>
    <w:rsid w:val="00A01F18"/>
    <w:rsid w:val="00A0563A"/>
    <w:rsid w:val="00A06C6B"/>
    <w:rsid w:val="00A0763B"/>
    <w:rsid w:val="00A10972"/>
    <w:rsid w:val="00A12B8C"/>
    <w:rsid w:val="00A14D42"/>
    <w:rsid w:val="00A168D1"/>
    <w:rsid w:val="00A17A5B"/>
    <w:rsid w:val="00A2565E"/>
    <w:rsid w:val="00A26CFC"/>
    <w:rsid w:val="00A27258"/>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6714"/>
    <w:rsid w:val="00AC141A"/>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2AFF"/>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E720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20A2"/>
    <w:rsid w:val="00C667F1"/>
    <w:rsid w:val="00C66E7D"/>
    <w:rsid w:val="00C801F6"/>
    <w:rsid w:val="00C8125F"/>
    <w:rsid w:val="00C82CDC"/>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363C"/>
    <w:rsid w:val="00D04598"/>
    <w:rsid w:val="00D0482D"/>
    <w:rsid w:val="00D04ADD"/>
    <w:rsid w:val="00D050DF"/>
    <w:rsid w:val="00D16BA1"/>
    <w:rsid w:val="00D20B4C"/>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31A"/>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3B90"/>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486"/>
    <w:rsid w:val="00EF5910"/>
    <w:rsid w:val="00EF615D"/>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0FBA"/>
    <w:rsid w:val="00F83A68"/>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315A6117"/>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 w:val="24"/>
      <w:szCs w:val="20"/>
    </w:rPr>
  </w:style>
  <w:style w:type="paragraph" w:styleId="3">
    <w:name w:val="Document Map"/>
    <w:basedOn w:val="1"/>
    <w:link w:val="16"/>
    <w:unhideWhenUsed/>
    <w:qFormat/>
    <w:uiPriority w:val="99"/>
    <w:rPr>
      <w:rFonts w:ascii="宋体"/>
      <w:sz w:val="18"/>
      <w:szCs w:val="18"/>
    </w:rPr>
  </w:style>
  <w:style w:type="paragraph" w:styleId="4">
    <w:name w:val="annotation text"/>
    <w:basedOn w:val="1"/>
    <w:link w:val="13"/>
    <w:unhideWhenUsed/>
    <w:qFormat/>
    <w:uiPriority w:val="99"/>
    <w:pPr>
      <w:jc w:val="left"/>
    </w:pPr>
    <w:rPr>
      <w:kern w:val="0"/>
      <w:sz w:val="24"/>
    </w:rPr>
  </w:style>
  <w:style w:type="paragraph" w:styleId="5">
    <w:name w:val="Balloon Text"/>
    <w:basedOn w:val="1"/>
    <w:link w:val="14"/>
    <w:unhideWhenUsed/>
    <w:qFormat/>
    <w:uiPriority w:val="99"/>
    <w:rPr>
      <w:kern w:val="0"/>
      <w:sz w:val="18"/>
      <w:szCs w:val="18"/>
    </w:rPr>
  </w:style>
  <w:style w:type="paragraph" w:styleId="6">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link w:val="17"/>
    <w:unhideWhenUsed/>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annotation subject"/>
    <w:basedOn w:val="4"/>
    <w:next w:val="4"/>
    <w:link w:val="18"/>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rFonts w:cs="Times New Roman"/>
      <w:sz w:val="21"/>
      <w:szCs w:val="21"/>
    </w:rPr>
  </w:style>
  <w:style w:type="character" w:customStyle="1" w:styleId="13">
    <w:name w:val="批注文字 字符"/>
    <w:link w:val="4"/>
    <w:semiHidden/>
    <w:qFormat/>
    <w:locked/>
    <w:uiPriority w:val="99"/>
    <w:rPr>
      <w:rFonts w:ascii="Times New Roman" w:hAnsi="Times New Roman" w:eastAsia="宋体" w:cs="Times New Roman"/>
      <w:sz w:val="24"/>
      <w:szCs w:val="24"/>
    </w:rPr>
  </w:style>
  <w:style w:type="character" w:customStyle="1" w:styleId="14">
    <w:name w:val="批注框文本 字符"/>
    <w:link w:val="5"/>
    <w:semiHidden/>
    <w:qFormat/>
    <w:locked/>
    <w:uiPriority w:val="99"/>
    <w:rPr>
      <w:rFonts w:ascii="Times New Roman" w:hAnsi="Times New Roman" w:eastAsia="宋体" w:cs="Times New Roman"/>
      <w:sz w:val="18"/>
      <w:szCs w:val="18"/>
    </w:rPr>
  </w:style>
  <w:style w:type="character" w:customStyle="1" w:styleId="15">
    <w:name w:val="页脚 字符"/>
    <w:link w:val="6"/>
    <w:locked/>
    <w:uiPriority w:val="99"/>
    <w:rPr>
      <w:rFonts w:cs="Times New Roman"/>
      <w:sz w:val="18"/>
      <w:szCs w:val="18"/>
    </w:rPr>
  </w:style>
  <w:style w:type="character" w:customStyle="1" w:styleId="16">
    <w:name w:val="文档结构图 字符"/>
    <w:link w:val="3"/>
    <w:semiHidden/>
    <w:qFormat/>
    <w:uiPriority w:val="99"/>
    <w:rPr>
      <w:rFonts w:ascii="宋体" w:hAnsi="Times New Roman"/>
      <w:kern w:val="2"/>
      <w:sz w:val="18"/>
      <w:szCs w:val="18"/>
    </w:rPr>
  </w:style>
  <w:style w:type="character" w:customStyle="1" w:styleId="17">
    <w:name w:val="页眉 字符"/>
    <w:link w:val="7"/>
    <w:qFormat/>
    <w:locked/>
    <w:uiPriority w:val="99"/>
    <w:rPr>
      <w:rFonts w:cs="Times New Roman"/>
      <w:sz w:val="18"/>
      <w:szCs w:val="18"/>
    </w:rPr>
  </w:style>
  <w:style w:type="character" w:customStyle="1" w:styleId="18">
    <w:name w:val="批注主题 字符"/>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表段落1"/>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 w:type="paragraph" w:styleId="27">
    <w:name w:val="List Paragraph"/>
    <w:basedOn w:val="1"/>
    <w:qFormat/>
    <w:uiPriority w:val="0"/>
    <w:pPr>
      <w:ind w:firstLine="420" w:firstLineChars="200"/>
    </w:pPr>
  </w:style>
  <w:style w:type="paragraph" w:customStyle="1" w:styleId="28">
    <w:name w:val="p0"/>
    <w:basedOn w:val="1"/>
    <w:qFormat/>
    <w:uiPriority w:val="0"/>
    <w:pPr>
      <w:widowControl/>
    </w:pPr>
    <w:rPr>
      <w:kern w:val="0"/>
      <w:szCs w:val="21"/>
    </w:rPr>
  </w:style>
  <w:style w:type="character" w:customStyle="1" w:styleId="29">
    <w:name w:val="ql-font-timesnewroman"/>
    <w:basedOn w:val="11"/>
    <w:qFormat/>
    <w:uiPriority w:val="0"/>
  </w:style>
  <w:style w:type="paragraph" w:customStyle="1" w:styleId="30">
    <w:name w:val="ql-align-justify"/>
    <w:basedOn w:val="1"/>
    <w:qFormat/>
    <w:uiPriority w:val="0"/>
    <w:pPr>
      <w:widowControl/>
      <w:spacing w:before="100" w:beforeAutospacing="1" w:after="100" w:afterAutospacing="1"/>
      <w:jc w:val="left"/>
    </w:pPr>
    <w:rPr>
      <w:rFonts w:ascii="宋体" w:hAnsi="宋体" w:cs="宋体"/>
      <w:kern w:val="0"/>
      <w:sz w:val="24"/>
    </w:rPr>
  </w:style>
  <w:style w:type="character" w:customStyle="1" w:styleId="31">
    <w:name w:val="ql-font-songti"/>
    <w:basedOn w:val="1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5672</Words>
  <Characters>6075</Characters>
  <Lines>47</Lines>
  <Paragraphs>13</Paragraphs>
  <TotalTime>20</TotalTime>
  <ScaleCrop>false</ScaleCrop>
  <LinksUpToDate>false</LinksUpToDate>
  <CharactersWithSpaces>6179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2024-06-01T16:50:00Z</dcterms:created>
  <dc:creator>dell</dc:creator>
  <cp:lastModifiedBy>zio</cp:lastModifiedBy>
  <dcterms:modified xsi:type="dcterms:W3CDTF">2024-06-04T05:08:27Z</dcterms:modified>
  <dc:title>《工程结构抗震设计原理》课程教学大纲</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88130525EF2C46DCA5985BDC27B83439_13</vt:lpwstr>
  </property>
</Properties>
</file>