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E5F6">
      <w:pPr>
        <w:spacing w:before="156" w:beforeLines="50" w:after="156" w:afterLines="50" w:line="360" w:lineRule="auto"/>
        <w:jc w:val="left"/>
      </w:pPr>
      <w: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2392680" cy="358140"/>
            <wp:effectExtent l="0" t="0" r="7620" b="381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anchor>
        </w:drawing>
      </w:r>
      <w:r>
        <w:rPr/>
        <w:br w:type="textWrapping" w:clear="all"/>
      </w:r>
    </w:p>
    <w:p w14:paraId="4CFC17E9">
      <w:pPr>
        <w:spacing w:line="480" w:lineRule="auto"/>
        <w:rPr>
          <w:rFonts w:ascii="宋体" w:hAnsi="宋体"/>
          <w:color w:val="000000"/>
          <w:sz w:val="44"/>
          <w:szCs w:val="20"/>
        </w:rPr>
      </w:pPr>
    </w:p>
    <w:p w14:paraId="79E98100">
      <w:pPr>
        <w:tabs>
          <w:tab w:val="left" w:pos="880"/>
        </w:tabs>
        <w:spacing w:line="480" w:lineRule="auto"/>
        <w:rPr>
          <w:rFonts w:ascii="宋体" w:hAnsi="宋体"/>
          <w:color w:val="000000"/>
          <w:sz w:val="44"/>
          <w:szCs w:val="20"/>
        </w:rPr>
      </w:pPr>
      <w:r>
        <w:rPr>
          <w:rFonts w:ascii="宋体" w:hAnsi="宋体"/>
          <w:color w:val="000000"/>
          <w:sz w:val="44"/>
          <w:szCs w:val="20"/>
        </w:rPr>
        <w:tab/>
      </w:r>
    </w:p>
    <w:p w14:paraId="0EAFCB1F">
      <w:pPr>
        <w:spacing w:line="480" w:lineRule="auto"/>
        <w:rPr>
          <w:rFonts w:ascii="宋体" w:hAnsi="宋体"/>
          <w:color w:val="000000"/>
          <w:sz w:val="44"/>
          <w:szCs w:val="20"/>
        </w:rPr>
      </w:pPr>
    </w:p>
    <w:p w14:paraId="420CF650">
      <w:pPr>
        <w:spacing w:line="480" w:lineRule="auto"/>
        <w:jc w:val="center"/>
        <w:rPr>
          <w:rFonts w:eastAsia="黑体"/>
          <w:color w:val="000000"/>
          <w:sz w:val="44"/>
        </w:rPr>
      </w:pPr>
      <w:r>
        <w:rPr>
          <w:rFonts w:hint="eastAsia" w:eastAsia="黑体"/>
          <w:color w:val="000000"/>
          <w:sz w:val="44"/>
        </w:rPr>
        <w:t>《</w:t>
      </w:r>
      <w:r>
        <w:rPr>
          <w:rFonts w:hint="eastAsia" w:eastAsia="黑体"/>
          <w:sz w:val="44"/>
        </w:rPr>
        <w:t>中级财务会计I</w:t>
      </w:r>
      <w:r>
        <w:rPr>
          <w:rFonts w:hint="eastAsia" w:eastAsia="黑体"/>
          <w:color w:val="000000"/>
          <w:sz w:val="44"/>
        </w:rPr>
        <w:t>》教学大纲</w:t>
      </w:r>
    </w:p>
    <w:p w14:paraId="7BCAE7BD">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（第1版）</w:t>
      </w:r>
    </w:p>
    <w:p w14:paraId="01685C82">
      <w:pPr>
        <w:spacing w:line="480" w:lineRule="auto"/>
        <w:rPr>
          <w:color w:val="000000"/>
          <w:sz w:val="32"/>
          <w:szCs w:val="20"/>
        </w:rPr>
      </w:pPr>
    </w:p>
    <w:p w14:paraId="25A32D38">
      <w:pPr>
        <w:spacing w:line="480" w:lineRule="auto"/>
        <w:rPr>
          <w:color w:val="000000"/>
          <w:sz w:val="32"/>
          <w:szCs w:val="20"/>
        </w:rPr>
      </w:pPr>
    </w:p>
    <w:p w14:paraId="4B0E8F06">
      <w:pPr>
        <w:spacing w:line="480" w:lineRule="auto"/>
        <w:rPr>
          <w:color w:val="000000"/>
          <w:sz w:val="32"/>
          <w:szCs w:val="20"/>
        </w:rPr>
      </w:pPr>
    </w:p>
    <w:p w14:paraId="4AEE6644">
      <w:pPr>
        <w:spacing w:line="480" w:lineRule="auto"/>
        <w:rPr>
          <w:color w:val="000000"/>
          <w:sz w:val="32"/>
          <w:szCs w:val="20"/>
        </w:rPr>
      </w:pPr>
    </w:p>
    <w:p w14:paraId="1D2DB49A">
      <w:pPr>
        <w:spacing w:line="480" w:lineRule="auto"/>
        <w:rPr>
          <w:color w:val="000000"/>
          <w:sz w:val="32"/>
          <w:szCs w:val="20"/>
        </w:rPr>
      </w:pPr>
    </w:p>
    <w:p w14:paraId="63D5A9ED">
      <w:pPr>
        <w:spacing w:line="480" w:lineRule="auto"/>
        <w:rPr>
          <w:color w:val="000000"/>
          <w:sz w:val="32"/>
          <w:szCs w:val="20"/>
        </w:rPr>
      </w:pPr>
    </w:p>
    <w:p w14:paraId="11E8D7F7">
      <w:pPr>
        <w:spacing w:line="480" w:lineRule="auto"/>
        <w:rPr>
          <w:color w:val="000000"/>
          <w:sz w:val="32"/>
          <w:szCs w:val="20"/>
        </w:rPr>
      </w:pPr>
    </w:p>
    <w:p w14:paraId="3E462371">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602DAB09">
        <w:trPr>
          <w:jc w:val="center"/>
        </w:trPr>
        <w:tc>
          <w:tcPr>
            <w:tcW w:w="2376" w:type="dxa"/>
            <w:shd w:val="clear" w:color="auto" w:fill="auto"/>
            <w:vAlign w:val="bottom"/>
          </w:tcPr>
          <w:p w14:paraId="0961597F">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182AAEC8">
            <w:pPr>
              <w:spacing w:line="480" w:lineRule="auto"/>
              <w:jc w:val="center"/>
              <w:rPr>
                <w:rFonts w:hint="eastAsia" w:eastAsia="宋体"/>
                <w:color w:val="000000"/>
                <w:sz w:val="28"/>
                <w:lang w:eastAsia="zh-CN"/>
              </w:rPr>
            </w:pPr>
            <w:r>
              <w:rPr>
                <w:rFonts w:hint="eastAsia"/>
                <w:color w:val="000000"/>
                <w:sz w:val="28"/>
                <w:lang w:val="en-US" w:eastAsia="zh-CN"/>
              </w:rPr>
              <w:t>吕珺</w:t>
            </w:r>
            <w:bookmarkStart w:id="3" w:name="_GoBack"/>
            <w:bookmarkEnd w:id="3"/>
          </w:p>
        </w:tc>
      </w:tr>
      <w:tr w14:paraId="1B3233AF">
        <w:trPr>
          <w:jc w:val="center"/>
        </w:trPr>
        <w:tc>
          <w:tcPr>
            <w:tcW w:w="2376" w:type="dxa"/>
            <w:shd w:val="clear" w:color="auto" w:fill="auto"/>
            <w:vAlign w:val="bottom"/>
          </w:tcPr>
          <w:p w14:paraId="3013439B">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0116C41B">
            <w:pPr>
              <w:spacing w:line="480" w:lineRule="auto"/>
              <w:jc w:val="center"/>
              <w:rPr>
                <w:color w:val="000000"/>
                <w:sz w:val="28"/>
              </w:rPr>
            </w:pPr>
          </w:p>
        </w:tc>
      </w:tr>
    </w:tbl>
    <w:p w14:paraId="1E5A4498">
      <w:pPr>
        <w:jc w:val="center"/>
        <w:rPr>
          <w:rFonts w:ascii="仿宋" w:hAnsi="仿宋" w:eastAsia="仿宋"/>
          <w:color w:val="000000"/>
          <w:sz w:val="28"/>
          <w:u w:val="single"/>
        </w:rPr>
      </w:pPr>
    </w:p>
    <w:p w14:paraId="7EFBA39B">
      <w:pPr>
        <w:jc w:val="center"/>
        <w:rPr>
          <w:rFonts w:ascii="仿宋" w:hAnsi="仿宋" w:eastAsia="仿宋"/>
          <w:color w:val="000000"/>
          <w:sz w:val="28"/>
          <w:u w:val="single"/>
        </w:rPr>
      </w:pPr>
    </w:p>
    <w:p w14:paraId="47013543">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24年6月制定</w:t>
      </w:r>
      <w:r>
        <w:rPr>
          <w:rFonts w:ascii="仿宋_GB2312" w:eastAsia="仿宋_GB2312"/>
          <w:b/>
          <w:bCs/>
          <w:color w:val="000000"/>
          <w:sz w:val="28"/>
          <w:szCs w:val="28"/>
        </w:rPr>
        <w:br w:type="page"/>
      </w:r>
      <w:bookmarkStart w:id="0" w:name="_Toc231228604"/>
    </w:p>
    <w:p w14:paraId="714E711A">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42E5EA08">
        <w:trPr>
          <w:trHeight w:val="454" w:hRule="atLeast"/>
          <w:jc w:val="center"/>
        </w:trPr>
        <w:tc>
          <w:tcPr>
            <w:tcW w:w="1951" w:type="dxa"/>
            <w:vAlign w:val="center"/>
          </w:tcPr>
          <w:p w14:paraId="5879A987">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127BABB2">
            <w:pPr>
              <w:jc w:val="center"/>
              <w:rPr>
                <w:rFonts w:ascii="仿宋" w:hAnsi="仿宋" w:eastAsia="仿宋"/>
                <w:color w:val="000000"/>
                <w:sz w:val="24"/>
              </w:rPr>
            </w:pPr>
            <w:r>
              <w:rPr>
                <w:rFonts w:hint="eastAsia" w:ascii="仿宋" w:hAnsi="仿宋" w:eastAsia="仿宋"/>
                <w:color w:val="000000"/>
                <w:sz w:val="24"/>
              </w:rPr>
              <w:t>160721E004</w:t>
            </w:r>
          </w:p>
        </w:tc>
        <w:tc>
          <w:tcPr>
            <w:tcW w:w="1446" w:type="dxa"/>
            <w:vAlign w:val="center"/>
          </w:tcPr>
          <w:p w14:paraId="0913412E">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6FBFAC7D">
            <w:pPr>
              <w:jc w:val="center"/>
              <w:rPr>
                <w:rFonts w:ascii="仿宋" w:hAnsi="仿宋" w:eastAsia="仿宋"/>
                <w:color w:val="000000"/>
                <w:sz w:val="24"/>
              </w:rPr>
            </w:pPr>
            <w:r>
              <w:rPr>
                <w:rFonts w:hint="eastAsia" w:ascii="仿宋" w:hAnsi="仿宋" w:eastAsia="仿宋"/>
                <w:color w:val="000000"/>
                <w:sz w:val="24"/>
              </w:rPr>
              <w:t>工商管理学院/马克思主义学院</w:t>
            </w:r>
          </w:p>
        </w:tc>
      </w:tr>
      <w:tr w14:paraId="47B8A4F6">
        <w:trPr>
          <w:trHeight w:val="454" w:hRule="atLeast"/>
          <w:jc w:val="center"/>
        </w:trPr>
        <w:tc>
          <w:tcPr>
            <w:tcW w:w="1951" w:type="dxa"/>
            <w:vAlign w:val="center"/>
          </w:tcPr>
          <w:p w14:paraId="7DF00EF0">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14DB5469">
            <w:pPr>
              <w:jc w:val="center"/>
              <w:rPr>
                <w:rFonts w:ascii="仿宋" w:hAnsi="仿宋" w:eastAsia="仿宋"/>
                <w:color w:val="000000"/>
                <w:sz w:val="24"/>
              </w:rPr>
            </w:pPr>
            <w:r>
              <w:rPr>
                <w:rFonts w:hint="eastAsia" w:ascii="仿宋" w:hAnsi="仿宋" w:eastAsia="仿宋"/>
                <w:color w:val="000000"/>
                <w:sz w:val="24"/>
              </w:rPr>
              <w:t>中级财务会计（I）</w:t>
            </w:r>
          </w:p>
        </w:tc>
      </w:tr>
      <w:tr w14:paraId="7951EBB2">
        <w:trPr>
          <w:trHeight w:val="454" w:hRule="atLeast"/>
          <w:jc w:val="center"/>
        </w:trPr>
        <w:tc>
          <w:tcPr>
            <w:tcW w:w="1951" w:type="dxa"/>
            <w:vAlign w:val="center"/>
          </w:tcPr>
          <w:p w14:paraId="509FB5D1">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2FF6BA44">
            <w:pPr>
              <w:jc w:val="center"/>
              <w:rPr>
                <w:rFonts w:ascii="仿宋" w:hAnsi="仿宋" w:eastAsia="仿宋"/>
                <w:color w:val="000000"/>
                <w:sz w:val="24"/>
              </w:rPr>
            </w:pPr>
            <w:r>
              <w:rPr>
                <w:rFonts w:ascii="仿宋" w:hAnsi="仿宋" w:eastAsia="仿宋"/>
                <w:bCs/>
                <w:szCs w:val="21"/>
              </w:rPr>
              <w:t xml:space="preserve">Intermediate </w:t>
            </w:r>
            <w:r>
              <w:rPr>
                <w:rFonts w:ascii="仿宋" w:hAnsi="仿宋" w:eastAsia="仿宋"/>
                <w:bCs/>
                <w:szCs w:val="21"/>
                <w:lang w:val="en-GB"/>
              </w:rPr>
              <w:t xml:space="preserve">Financial </w:t>
            </w:r>
            <w:r>
              <w:rPr>
                <w:rFonts w:ascii="仿宋" w:hAnsi="仿宋" w:eastAsia="仿宋"/>
                <w:bCs/>
                <w:szCs w:val="21"/>
              </w:rPr>
              <w:t>Accounting</w:t>
            </w:r>
            <w:r>
              <w:rPr>
                <w:rFonts w:hint="eastAsia" w:ascii="仿宋" w:hAnsi="仿宋" w:eastAsia="仿宋"/>
                <w:bCs/>
                <w:szCs w:val="21"/>
              </w:rPr>
              <w:t xml:space="preserve"> </w:t>
            </w:r>
            <w:r>
              <w:rPr>
                <w:rFonts w:hint="eastAsia" w:ascii="仿宋" w:hAnsi="仿宋" w:eastAsia="仿宋"/>
                <w:szCs w:val="21"/>
              </w:rPr>
              <w:t>I</w:t>
            </w:r>
          </w:p>
        </w:tc>
      </w:tr>
      <w:tr w14:paraId="0307ABE2">
        <w:trPr>
          <w:trHeight w:val="454" w:hRule="atLeast"/>
          <w:jc w:val="center"/>
        </w:trPr>
        <w:tc>
          <w:tcPr>
            <w:tcW w:w="1951" w:type="dxa"/>
            <w:vAlign w:val="center"/>
          </w:tcPr>
          <w:p w14:paraId="66C19928">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0FE0AEAB">
            <w:pPr>
              <w:jc w:val="center"/>
              <w:rPr>
                <w:rFonts w:ascii="仿宋" w:hAnsi="仿宋" w:eastAsia="仿宋"/>
                <w:color w:val="000000"/>
                <w:sz w:val="24"/>
              </w:rPr>
            </w:pPr>
            <w:r>
              <w:rPr>
                <w:rFonts w:hint="eastAsia" w:ascii="仿宋" w:hAnsi="仿宋" w:eastAsia="仿宋"/>
                <w:color w:val="000000"/>
                <w:sz w:val="24"/>
              </w:rPr>
              <w:t>专业课：会计学专业必修课</w:t>
            </w:r>
          </w:p>
        </w:tc>
      </w:tr>
      <w:tr w14:paraId="72BF5FD8">
        <w:trPr>
          <w:trHeight w:val="454" w:hRule="atLeast"/>
          <w:jc w:val="center"/>
        </w:trPr>
        <w:tc>
          <w:tcPr>
            <w:tcW w:w="1951" w:type="dxa"/>
            <w:vAlign w:val="center"/>
          </w:tcPr>
          <w:p w14:paraId="76F7B8EE">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6A24047F">
            <w:pPr>
              <w:jc w:val="center"/>
              <w:rPr>
                <w:rFonts w:ascii="仿宋" w:hAnsi="仿宋" w:eastAsia="仿宋"/>
                <w:color w:val="0070C0"/>
                <w:sz w:val="24"/>
              </w:rPr>
            </w:pPr>
            <w:r>
              <w:rPr>
                <w:rFonts w:hint="eastAsia" w:ascii="仿宋" w:hAnsi="仿宋" w:eastAsia="仿宋"/>
                <w:color w:val="000000"/>
                <w:sz w:val="24"/>
              </w:rPr>
              <w:t>会计学</w:t>
            </w:r>
          </w:p>
        </w:tc>
      </w:tr>
      <w:tr w14:paraId="5B8BAF03">
        <w:trPr>
          <w:trHeight w:val="454" w:hRule="atLeast"/>
          <w:jc w:val="center"/>
        </w:trPr>
        <w:tc>
          <w:tcPr>
            <w:tcW w:w="1951" w:type="dxa"/>
            <w:vAlign w:val="center"/>
          </w:tcPr>
          <w:p w14:paraId="7791573E">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56BEDB9F">
            <w:pPr>
              <w:jc w:val="center"/>
              <w:rPr>
                <w:rFonts w:ascii="仿宋" w:hAnsi="仿宋" w:eastAsia="仿宋"/>
                <w:color w:val="000000"/>
                <w:sz w:val="24"/>
              </w:rPr>
            </w:pPr>
            <w:r>
              <w:rPr>
                <w:rFonts w:hint="eastAsia" w:ascii="仿宋" w:hAnsi="仿宋" w:eastAsia="仿宋"/>
                <w:color w:val="000000"/>
                <w:sz w:val="24"/>
              </w:rPr>
              <w:t>3</w:t>
            </w:r>
          </w:p>
        </w:tc>
        <w:tc>
          <w:tcPr>
            <w:tcW w:w="1693" w:type="dxa"/>
            <w:gridSpan w:val="2"/>
            <w:vAlign w:val="center"/>
          </w:tcPr>
          <w:p w14:paraId="1EA4B44B">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380D0CA">
            <w:pPr>
              <w:jc w:val="center"/>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8</w:t>
            </w:r>
          </w:p>
        </w:tc>
      </w:tr>
      <w:tr w14:paraId="5C57EAB9">
        <w:trPr>
          <w:trHeight w:val="454" w:hRule="atLeast"/>
          <w:jc w:val="center"/>
        </w:trPr>
        <w:tc>
          <w:tcPr>
            <w:tcW w:w="1951" w:type="dxa"/>
            <w:vAlign w:val="center"/>
          </w:tcPr>
          <w:p w14:paraId="473319FE">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6B59B79B">
            <w:pPr>
              <w:jc w:val="center"/>
              <w:rPr>
                <w:rFonts w:ascii="仿宋" w:hAnsi="仿宋" w:eastAsia="仿宋"/>
                <w:color w:val="000000"/>
                <w:sz w:val="24"/>
              </w:rPr>
            </w:pPr>
            <w:r>
              <w:rPr>
                <w:rFonts w:hint="eastAsia" w:ascii="仿宋" w:hAnsi="仿宋" w:eastAsia="仿宋"/>
                <w:color w:val="000000"/>
                <w:sz w:val="24"/>
              </w:rPr>
              <w:t>40</w:t>
            </w:r>
          </w:p>
        </w:tc>
        <w:tc>
          <w:tcPr>
            <w:tcW w:w="1693" w:type="dxa"/>
            <w:gridSpan w:val="2"/>
            <w:vAlign w:val="center"/>
          </w:tcPr>
          <w:p w14:paraId="12A84353">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4D7E3D0E">
            <w:pPr>
              <w:jc w:val="center"/>
              <w:rPr>
                <w:rFonts w:ascii="仿宋" w:hAnsi="仿宋" w:eastAsia="仿宋"/>
                <w:color w:val="000000"/>
                <w:sz w:val="24"/>
              </w:rPr>
            </w:pPr>
            <w:r>
              <w:rPr>
                <w:rFonts w:hint="eastAsia" w:ascii="仿宋" w:hAnsi="仿宋" w:eastAsia="仿宋"/>
                <w:color w:val="000000"/>
                <w:sz w:val="24"/>
              </w:rPr>
              <w:t>8</w:t>
            </w:r>
          </w:p>
        </w:tc>
      </w:tr>
      <w:tr w14:paraId="00171D81">
        <w:trPr>
          <w:trHeight w:val="454" w:hRule="atLeast"/>
          <w:jc w:val="center"/>
        </w:trPr>
        <w:tc>
          <w:tcPr>
            <w:tcW w:w="1951" w:type="dxa"/>
            <w:vAlign w:val="center"/>
          </w:tcPr>
          <w:p w14:paraId="51923F6F">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1BC7F264">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69A613EF">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2B033098">
            <w:pPr>
              <w:jc w:val="center"/>
              <w:rPr>
                <w:rFonts w:ascii="仿宋" w:hAnsi="仿宋" w:eastAsia="仿宋"/>
                <w:color w:val="000000"/>
                <w:sz w:val="24"/>
              </w:rPr>
            </w:pPr>
            <w:r>
              <w:rPr>
                <w:rFonts w:hint="eastAsia" w:ascii="仿宋" w:hAnsi="仿宋" w:eastAsia="仿宋"/>
                <w:color w:val="000000"/>
                <w:sz w:val="24"/>
              </w:rPr>
              <w:t>0</w:t>
            </w:r>
          </w:p>
        </w:tc>
      </w:tr>
      <w:tr w14:paraId="073D7AC0">
        <w:trPr>
          <w:trHeight w:val="454" w:hRule="atLeast"/>
          <w:jc w:val="center"/>
        </w:trPr>
        <w:tc>
          <w:tcPr>
            <w:tcW w:w="1951" w:type="dxa"/>
            <w:vAlign w:val="center"/>
          </w:tcPr>
          <w:p w14:paraId="1E7F1569">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22567F1B">
            <w:pPr>
              <w:jc w:val="center"/>
              <w:rPr>
                <w:rFonts w:ascii="仿宋" w:hAnsi="仿宋" w:eastAsia="仿宋"/>
                <w:color w:val="000000"/>
                <w:sz w:val="24"/>
              </w:rPr>
            </w:pPr>
            <w:r>
              <w:rPr>
                <w:rFonts w:hint="eastAsia" w:ascii="仿宋" w:hAnsi="仿宋" w:eastAsia="仿宋"/>
                <w:color w:val="000000"/>
                <w:sz w:val="24"/>
              </w:rPr>
              <w:t>会计学原理</w:t>
            </w:r>
          </w:p>
        </w:tc>
      </w:tr>
    </w:tbl>
    <w:p w14:paraId="4C6BA86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29D19F13">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r>
        <w:rPr>
          <w:rFonts w:hint="eastAsia" w:ascii="仿宋" w:hAnsi="仿宋" w:eastAsia="仿宋"/>
          <w:sz w:val="24"/>
        </w:rPr>
        <w:t>《中级财务会计</w:t>
      </w:r>
      <w:r>
        <w:rPr>
          <w:rFonts w:ascii="仿宋" w:hAnsi="仿宋" w:eastAsia="仿宋"/>
          <w:sz w:val="24"/>
        </w:rPr>
        <w:t>I</w:t>
      </w:r>
      <w:r>
        <w:rPr>
          <w:rFonts w:hint="eastAsia" w:ascii="仿宋" w:hAnsi="仿宋" w:eastAsia="仿宋"/>
          <w:sz w:val="24"/>
        </w:rPr>
        <w:t>》是教育部确定的“财经类专业核心课程”之一，该课程是全</w:t>
      </w:r>
      <w:r>
        <w:rPr>
          <w:rFonts w:ascii="仿宋" w:hAnsi="仿宋" w:eastAsia="仿宋"/>
          <w:sz w:val="24"/>
        </w:rPr>
        <w:t>校经管的通识课程之一</w:t>
      </w:r>
      <w:r>
        <w:rPr>
          <w:rFonts w:hint="eastAsia" w:ascii="仿宋" w:hAnsi="仿宋" w:eastAsia="仿宋"/>
          <w:sz w:val="24"/>
        </w:rPr>
        <w:t>，是会计学专业等各类学生的必修课程。本课程将从讨论财务会计的概念框架出发，使学生系统掌握财务会计的总体全貌。</w:t>
      </w:r>
    </w:p>
    <w:p w14:paraId="29AB3385">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r>
        <w:rPr>
          <w:rFonts w:hint="eastAsia" w:ascii="仿宋" w:hAnsi="仿宋" w:eastAsia="仿宋"/>
          <w:sz w:val="24"/>
        </w:rPr>
        <w:t>《中级财务会计</w:t>
      </w:r>
      <w:r>
        <w:rPr>
          <w:rFonts w:ascii="仿宋" w:hAnsi="仿宋" w:eastAsia="仿宋"/>
          <w:sz w:val="24"/>
        </w:rPr>
        <w:t>I</w:t>
      </w:r>
      <w:r>
        <w:rPr>
          <w:rFonts w:hint="eastAsia" w:ascii="仿宋" w:hAnsi="仿宋" w:eastAsia="仿宋"/>
          <w:sz w:val="24"/>
        </w:rPr>
        <w:t>》旨在培养学生的会计思维、激发学生对会计学的兴趣，掌握观察和分析会计问题的正确方法和解决会计问题的能力，为进一步学习会计学的高级财务会计等其他专业课程打下坚实的基础。</w:t>
      </w:r>
    </w:p>
    <w:p w14:paraId="267FD30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74D04A3B">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1F19024C">
      <w:pPr>
        <w:spacing w:line="360" w:lineRule="auto"/>
        <w:ind w:firstLine="482" w:firstLineChars="200"/>
        <w:rPr>
          <w:rFonts w:ascii="仿宋" w:hAnsi="仿宋" w:eastAsia="仿宋"/>
          <w:b/>
          <w:color w:val="000000"/>
          <w:sz w:val="24"/>
        </w:rPr>
      </w:pPr>
      <w:r>
        <w:rPr>
          <w:rFonts w:ascii="仿宋" w:hAnsi="仿宋" w:eastAsia="仿宋"/>
          <w:b/>
          <w:color w:val="000000"/>
          <w:sz w:val="24"/>
        </w:rPr>
        <w:t>课程目标1:</w:t>
      </w:r>
      <w:bookmarkStart w:id="1" w:name="_Hlk167875067"/>
    </w:p>
    <w:bookmarkEnd w:id="1"/>
    <w:p w14:paraId="103494D3">
      <w:pPr>
        <w:spacing w:line="360" w:lineRule="auto"/>
        <w:ind w:firstLine="480" w:firstLineChars="200"/>
        <w:rPr>
          <w:rFonts w:ascii="仿宋" w:hAnsi="仿宋" w:eastAsia="仿宋"/>
          <w:bCs/>
          <w:sz w:val="24"/>
        </w:rPr>
      </w:pPr>
      <w:r>
        <w:rPr>
          <w:rFonts w:hint="eastAsia" w:ascii="仿宋" w:hAnsi="仿宋" w:eastAsia="仿宋"/>
          <w:bCs/>
          <w:sz w:val="24"/>
        </w:rPr>
        <w:t>掌握财务会计的基本概念、基本理论</w:t>
      </w:r>
      <w:r>
        <w:rPr>
          <w:rFonts w:ascii="仿宋" w:hAnsi="仿宋" w:eastAsia="仿宋"/>
          <w:bCs/>
          <w:sz w:val="24"/>
        </w:rPr>
        <w:t>和基本方法</w:t>
      </w:r>
      <w:r>
        <w:rPr>
          <w:rFonts w:hint="eastAsia" w:ascii="仿宋" w:hAnsi="仿宋" w:eastAsia="仿宋"/>
          <w:bCs/>
          <w:sz w:val="24"/>
        </w:rPr>
        <w:t>。</w:t>
      </w:r>
    </w:p>
    <w:p w14:paraId="01B613AE">
      <w:pPr>
        <w:spacing w:line="360" w:lineRule="auto"/>
        <w:ind w:firstLine="482" w:firstLineChars="200"/>
      </w:pPr>
      <w:r>
        <w:rPr>
          <w:rFonts w:ascii="仿宋" w:hAnsi="仿宋" w:eastAsia="仿宋"/>
          <w:b/>
          <w:color w:val="000000"/>
          <w:sz w:val="24"/>
        </w:rPr>
        <w:t>课程目标2:</w:t>
      </w:r>
    </w:p>
    <w:p w14:paraId="2036921A">
      <w:pPr>
        <w:spacing w:line="360" w:lineRule="auto"/>
        <w:ind w:firstLine="480" w:firstLineChars="200"/>
        <w:rPr>
          <w:rFonts w:ascii="仿宋" w:hAnsi="仿宋" w:eastAsia="仿宋"/>
          <w:bCs/>
          <w:sz w:val="24"/>
        </w:rPr>
      </w:pPr>
      <w:r>
        <w:rPr>
          <w:rFonts w:hint="eastAsia" w:ascii="仿宋" w:hAnsi="仿宋" w:eastAsia="仿宋"/>
          <w:bCs/>
          <w:sz w:val="24"/>
        </w:rPr>
        <w:t>运用财务</w:t>
      </w:r>
      <w:r>
        <w:rPr>
          <w:rFonts w:ascii="仿宋" w:hAnsi="仿宋" w:eastAsia="仿宋"/>
          <w:bCs/>
          <w:sz w:val="24"/>
        </w:rPr>
        <w:t>会计的基本概念和基本理论理解和解释</w:t>
      </w:r>
      <w:r>
        <w:rPr>
          <w:rFonts w:hint="eastAsia" w:ascii="仿宋" w:hAnsi="仿宋" w:eastAsia="仿宋"/>
          <w:bCs/>
          <w:sz w:val="24"/>
        </w:rPr>
        <w:t>企业</w:t>
      </w:r>
      <w:r>
        <w:rPr>
          <w:rFonts w:ascii="仿宋" w:hAnsi="仿宋" w:eastAsia="仿宋"/>
          <w:bCs/>
          <w:sz w:val="24"/>
        </w:rPr>
        <w:t>的经济业务或经济事项。</w:t>
      </w:r>
    </w:p>
    <w:p w14:paraId="53BE19A7">
      <w:pPr>
        <w:spacing w:line="360" w:lineRule="auto"/>
        <w:ind w:firstLine="482" w:firstLineChars="200"/>
        <w:rPr>
          <w:rFonts w:ascii="仿宋" w:hAnsi="仿宋" w:eastAsia="仿宋"/>
          <w:b/>
          <w:color w:val="000000"/>
          <w:sz w:val="24"/>
        </w:rPr>
      </w:pPr>
      <w:r>
        <w:rPr>
          <w:rFonts w:ascii="仿宋" w:hAnsi="仿宋" w:eastAsia="仿宋"/>
          <w:b/>
          <w:color w:val="000000"/>
          <w:sz w:val="24"/>
        </w:rPr>
        <w:t>课程目标3:</w:t>
      </w:r>
    </w:p>
    <w:p w14:paraId="1CE7A35D">
      <w:pPr>
        <w:spacing w:line="360" w:lineRule="auto"/>
        <w:ind w:firstLine="480" w:firstLineChars="200"/>
        <w:rPr>
          <w:rFonts w:ascii="仿宋" w:hAnsi="仿宋" w:eastAsia="仿宋"/>
          <w:bCs/>
          <w:sz w:val="24"/>
        </w:rPr>
      </w:pPr>
      <w:r>
        <w:rPr>
          <w:rFonts w:ascii="仿宋" w:hAnsi="仿宋" w:eastAsia="仿宋"/>
          <w:bCs/>
          <w:sz w:val="24"/>
        </w:rPr>
        <w:t>通过</w:t>
      </w:r>
      <w:r>
        <w:rPr>
          <w:rFonts w:hint="eastAsia" w:ascii="仿宋" w:hAnsi="仿宋" w:eastAsia="仿宋"/>
          <w:bCs/>
          <w:sz w:val="24"/>
        </w:rPr>
        <w:t>课程实验，培养学生从财务</w:t>
      </w:r>
      <w:r>
        <w:rPr>
          <w:rFonts w:ascii="仿宋" w:hAnsi="仿宋" w:eastAsia="仿宋"/>
          <w:bCs/>
          <w:sz w:val="24"/>
        </w:rPr>
        <w:t>会计的角度分析企业经济业务并形成财务会计信息的</w:t>
      </w:r>
      <w:r>
        <w:rPr>
          <w:rFonts w:hint="eastAsia" w:ascii="仿宋" w:hAnsi="仿宋" w:eastAsia="仿宋"/>
          <w:bCs/>
          <w:sz w:val="24"/>
        </w:rPr>
        <w:t>能力。</w:t>
      </w:r>
    </w:p>
    <w:p w14:paraId="5F9C7F4D">
      <w:pPr>
        <w:spacing w:line="360" w:lineRule="auto"/>
        <w:ind w:firstLine="482" w:firstLineChars="200"/>
        <w:rPr>
          <w:rFonts w:ascii="仿宋" w:hAnsi="仿宋" w:eastAsia="仿宋"/>
          <w:b/>
          <w:color w:val="000000"/>
          <w:sz w:val="24"/>
        </w:rPr>
      </w:pPr>
      <w:r>
        <w:rPr>
          <w:rFonts w:ascii="仿宋" w:hAnsi="仿宋" w:eastAsia="仿宋"/>
          <w:b/>
          <w:color w:val="000000"/>
          <w:sz w:val="24"/>
        </w:rPr>
        <w:t>课程目标4:</w:t>
      </w:r>
    </w:p>
    <w:p w14:paraId="7D450725">
      <w:pPr>
        <w:snapToGrid w:val="0"/>
        <w:spacing w:line="360" w:lineRule="auto"/>
        <w:ind w:firstLine="480" w:firstLineChars="200"/>
        <w:rPr>
          <w:rFonts w:ascii="仿宋" w:hAnsi="仿宋" w:eastAsia="仿宋"/>
          <w:bCs/>
          <w:sz w:val="24"/>
        </w:rPr>
      </w:pPr>
      <w:r>
        <w:rPr>
          <w:rFonts w:hint="eastAsia" w:ascii="仿宋" w:hAnsi="仿宋" w:eastAsia="仿宋"/>
          <w:bCs/>
          <w:sz w:val="24"/>
        </w:rPr>
        <w:t>了解经济</w:t>
      </w:r>
      <w:r>
        <w:rPr>
          <w:rFonts w:ascii="仿宋" w:hAnsi="仿宋" w:eastAsia="仿宋"/>
          <w:bCs/>
          <w:sz w:val="24"/>
        </w:rPr>
        <w:t>环境与企业会计准则的关系以及制定企业会计准则过程中的各种考量。</w:t>
      </w:r>
    </w:p>
    <w:p w14:paraId="0E722827">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2408"/>
        <w:gridCol w:w="2129"/>
        <w:gridCol w:w="1466"/>
      </w:tblGrid>
      <w:tr w14:paraId="50A5F62B">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268266A8">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04B1E4BD">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6D6BF6B0">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6818149D">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596FDE51">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0886384C">
            <w:pPr>
              <w:widowControl/>
              <w:spacing w:line="276" w:lineRule="auto"/>
              <w:rPr>
                <w:rFonts w:ascii="仿宋" w:hAnsi="仿宋" w:eastAsia="仿宋"/>
                <w:color w:val="0070C0"/>
                <w:sz w:val="24"/>
              </w:rPr>
            </w:pPr>
            <w:r>
              <w:rPr>
                <w:rFonts w:hint="eastAsia" w:ascii="仿宋" w:hAnsi="仿宋" w:eastAsia="仿宋"/>
                <w:b/>
                <w:bCs/>
                <w:sz w:val="24"/>
              </w:rPr>
              <w:t>毕业要求1：</w:t>
            </w:r>
            <w:r>
              <w:rPr>
                <w:rFonts w:hint="eastAsia" w:ascii="仿宋" w:hAnsi="仿宋" w:eastAsia="仿宋"/>
                <w:sz w:val="24"/>
              </w:rPr>
              <w:t>具备人文和科学素质、知识和能力，具有良好的道德修养与社会责任感，具有健康的体魄和心理素质，具有较强的语言与文字沟通能力，具备终身学习</w:t>
            </w:r>
          </w:p>
        </w:tc>
        <w:tc>
          <w:tcPr>
            <w:tcW w:w="1413" w:type="pct"/>
            <w:tcBorders>
              <w:top w:val="single" w:color="auto" w:sz="4" w:space="0"/>
              <w:left w:val="nil"/>
              <w:bottom w:val="single" w:color="auto" w:sz="4" w:space="0"/>
              <w:right w:val="single" w:color="auto" w:sz="4" w:space="0"/>
            </w:tcBorders>
            <w:vAlign w:val="center"/>
          </w:tcPr>
          <w:p w14:paraId="49B964FD">
            <w:pPr>
              <w:spacing w:line="276" w:lineRule="auto"/>
              <w:rPr>
                <w:rFonts w:ascii="仿宋" w:hAnsi="仿宋" w:eastAsia="仿宋"/>
                <w:sz w:val="24"/>
              </w:rPr>
            </w:pPr>
            <w:r>
              <w:rPr>
                <w:rFonts w:ascii="仿宋" w:hAnsi="仿宋" w:eastAsia="仿宋"/>
                <w:b/>
                <w:bCs/>
                <w:sz w:val="24"/>
              </w:rPr>
              <w:t>观测点1-3</w:t>
            </w:r>
            <w:r>
              <w:rPr>
                <w:rFonts w:hint="eastAsia" w:ascii="仿宋" w:hAnsi="仿宋" w:eastAsia="仿宋"/>
                <w:b/>
                <w:bCs/>
                <w:sz w:val="24"/>
              </w:rPr>
              <w:t>：</w:t>
            </w:r>
            <w:r>
              <w:rPr>
                <w:rFonts w:hint="eastAsia" w:ascii="仿宋" w:hAnsi="仿宋" w:eastAsia="仿宋"/>
                <w:sz w:val="24"/>
              </w:rPr>
              <w:t>理解职业道德与学术诚信的含义及意义，培养职业使命感与社会责任感。认识自我，了解职业，树立积极正确的职业观，促使学生理性地规划未来发展，进而促进学生的全面发展和终身发展。</w:t>
            </w:r>
          </w:p>
        </w:tc>
        <w:tc>
          <w:tcPr>
            <w:tcW w:w="1249" w:type="pct"/>
            <w:tcBorders>
              <w:top w:val="single" w:color="auto" w:sz="4" w:space="0"/>
              <w:left w:val="nil"/>
              <w:bottom w:val="single" w:color="auto" w:sz="4" w:space="0"/>
              <w:right w:val="single" w:color="auto" w:sz="4" w:space="0"/>
            </w:tcBorders>
            <w:vAlign w:val="center"/>
          </w:tcPr>
          <w:p w14:paraId="58208519">
            <w:pPr>
              <w:spacing w:line="276" w:lineRule="auto"/>
              <w:rPr>
                <w:rFonts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1B059E4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14:paraId="56A302D7">
            <w:pPr>
              <w:spacing w:line="276" w:lineRule="auto"/>
              <w:ind w:left="360"/>
              <w:rPr>
                <w:rFonts w:ascii="仿宋" w:hAnsi="仿宋" w:eastAsia="仿宋"/>
                <w:color w:val="000000"/>
                <w:sz w:val="24"/>
              </w:rPr>
            </w:pPr>
            <w:r>
              <w:rPr>
                <w:rFonts w:hint="eastAsia" w:ascii="仿宋" w:hAnsi="仿宋" w:eastAsia="仿宋"/>
                <w:sz w:val="22"/>
                <w:szCs w:val="22"/>
                <w:lang w:val="zh-CN"/>
              </w:rPr>
              <w:sym w:font="Wingdings 2" w:char="F052"/>
            </w:r>
            <w:r>
              <w:rPr>
                <w:rFonts w:ascii="仿宋" w:hAnsi="仿宋" w:eastAsia="仿宋"/>
                <w:color w:val="000000"/>
                <w:sz w:val="24"/>
              </w:rPr>
              <w:t xml:space="preserve">  </w:t>
            </w:r>
            <w:r>
              <w:rPr>
                <w:rFonts w:hint="eastAsia" w:ascii="仿宋" w:hAnsi="仿宋" w:eastAsia="仿宋"/>
                <w:color w:val="000000"/>
                <w:sz w:val="24"/>
              </w:rPr>
              <w:t>M</w:t>
            </w:r>
          </w:p>
          <w:p w14:paraId="025116C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39AD9C17">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tcPr>
          <w:p w14:paraId="4FDB4DD9">
            <w:pPr>
              <w:widowControl/>
              <w:spacing w:line="276" w:lineRule="auto"/>
              <w:rPr>
                <w:rFonts w:ascii="仿宋" w:hAnsi="仿宋" w:eastAsia="仿宋"/>
                <w:b/>
                <w:bCs/>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4</w:t>
            </w:r>
            <w:r>
              <w:rPr>
                <w:rFonts w:hint="eastAsia" w:ascii="仿宋" w:hAnsi="仿宋" w:eastAsia="仿宋"/>
                <w:b/>
                <w:bCs/>
                <w:color w:val="000000"/>
                <w:kern w:val="0"/>
                <w:sz w:val="24"/>
              </w:rPr>
              <w:t>：</w:t>
            </w:r>
            <w:r>
              <w:rPr>
                <w:rFonts w:ascii="仿宋" w:hAnsi="仿宋" w:eastAsia="仿宋"/>
                <w:sz w:val="24"/>
              </w:rPr>
              <w:t>具备会计专门知识和技能，系统掌握会计学基本理论、基本方法和专业技能，熟练掌握定性和定量分析方法，能够准确的陈述和处 理会计事项，养成敏锐的职业洞察力和职业判断能力</w:t>
            </w:r>
          </w:p>
        </w:tc>
        <w:tc>
          <w:tcPr>
            <w:tcW w:w="1413" w:type="pct"/>
            <w:tcBorders>
              <w:top w:val="single" w:color="auto" w:sz="4" w:space="0"/>
              <w:left w:val="nil"/>
              <w:bottom w:val="single" w:color="auto" w:sz="4" w:space="0"/>
              <w:right w:val="single" w:color="auto" w:sz="4" w:space="0"/>
            </w:tcBorders>
            <w:vAlign w:val="center"/>
          </w:tcPr>
          <w:p w14:paraId="39FEB44B">
            <w:pPr>
              <w:spacing w:line="276" w:lineRule="auto"/>
              <w:rPr>
                <w:rFonts w:ascii="仿宋" w:hAnsi="仿宋" w:eastAsia="仿宋"/>
                <w:sz w:val="24"/>
              </w:rPr>
            </w:pPr>
            <w:r>
              <w:rPr>
                <w:rFonts w:hint="eastAsia" w:ascii="仿宋" w:hAnsi="仿宋" w:eastAsia="仿宋"/>
                <w:b/>
                <w:bCs/>
                <w:color w:val="000000"/>
                <w:sz w:val="24"/>
              </w:rPr>
              <w:t>观测点</w:t>
            </w:r>
            <w:r>
              <w:rPr>
                <w:rFonts w:ascii="仿宋" w:hAnsi="仿宋" w:eastAsia="仿宋"/>
                <w:b/>
                <w:bCs/>
                <w:color w:val="000000"/>
                <w:sz w:val="24"/>
              </w:rPr>
              <w:t>4-1</w:t>
            </w:r>
            <w:r>
              <w:rPr>
                <w:rFonts w:hint="eastAsia" w:ascii="仿宋" w:hAnsi="仿宋" w:eastAsia="仿宋"/>
                <w:b/>
                <w:bCs/>
                <w:color w:val="000000"/>
                <w:sz w:val="24"/>
              </w:rPr>
              <w:t>：</w:t>
            </w:r>
            <w:r>
              <w:rPr>
                <w:rFonts w:hint="eastAsia" w:ascii="仿宋" w:hAnsi="仿宋" w:eastAsia="仿宋"/>
                <w:sz w:val="24"/>
              </w:rPr>
              <w:t>掌握会计学的基本理论和基础知识，具有学科知识融合贯通能力。</w:t>
            </w:r>
          </w:p>
        </w:tc>
        <w:tc>
          <w:tcPr>
            <w:tcW w:w="1249" w:type="pct"/>
            <w:tcBorders>
              <w:top w:val="single" w:color="auto" w:sz="4" w:space="0"/>
              <w:left w:val="nil"/>
              <w:bottom w:val="single" w:color="auto" w:sz="4" w:space="0"/>
              <w:right w:val="single" w:color="auto" w:sz="4" w:space="0"/>
            </w:tcBorders>
            <w:vAlign w:val="center"/>
          </w:tcPr>
          <w:p w14:paraId="486869B2">
            <w:pPr>
              <w:spacing w:line="276" w:lineRule="auto"/>
              <w:rPr>
                <w:rFonts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vAlign w:val="center"/>
          </w:tcPr>
          <w:p w14:paraId="758C2BC9">
            <w:pPr>
              <w:spacing w:line="276" w:lineRule="auto"/>
              <w:ind w:left="360"/>
              <w:rPr>
                <w:rFonts w:ascii="仿宋" w:hAnsi="仿宋" w:eastAsia="仿宋"/>
                <w:color w:val="000000"/>
                <w:sz w:val="24"/>
              </w:rPr>
            </w:pPr>
            <w:r>
              <w:rPr>
                <w:rFonts w:hint="eastAsia" w:ascii="仿宋" w:hAnsi="仿宋" w:eastAsia="仿宋"/>
                <w:sz w:val="22"/>
                <w:szCs w:val="22"/>
                <w:lang w:val="zh-CN"/>
              </w:rPr>
              <w:sym w:font="Wingdings 2" w:char="F052"/>
            </w:r>
            <w:r>
              <w:rPr>
                <w:rFonts w:ascii="仿宋" w:hAnsi="仿宋" w:eastAsia="仿宋"/>
                <w:sz w:val="22"/>
                <w:szCs w:val="22"/>
                <w:lang w:val="zh-CN"/>
              </w:rPr>
              <w:t xml:space="preserve">  </w:t>
            </w:r>
            <w:r>
              <w:rPr>
                <w:rFonts w:hint="eastAsia" w:ascii="仿宋" w:hAnsi="仿宋" w:eastAsia="仿宋"/>
                <w:color w:val="000000"/>
                <w:sz w:val="24"/>
              </w:rPr>
              <w:t>H</w:t>
            </w:r>
          </w:p>
          <w:p w14:paraId="504974E9">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16AB478E">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2E2228DC">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tcPr>
          <w:p w14:paraId="73C2EFBD">
            <w:pPr>
              <w:widowControl/>
              <w:spacing w:line="276" w:lineRule="auto"/>
              <w:rPr>
                <w:rFonts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4</w:t>
            </w:r>
            <w:r>
              <w:rPr>
                <w:rFonts w:hint="eastAsia" w:ascii="仿宋" w:hAnsi="仿宋" w:eastAsia="仿宋"/>
                <w:b/>
                <w:bCs/>
                <w:color w:val="000000"/>
                <w:kern w:val="0"/>
                <w:sz w:val="24"/>
              </w:rPr>
              <w:t>：</w:t>
            </w:r>
            <w:r>
              <w:rPr>
                <w:rFonts w:ascii="仿宋" w:hAnsi="仿宋" w:eastAsia="仿宋"/>
                <w:sz w:val="24"/>
              </w:rPr>
              <w:t>具备会计专门知识和技能，系统掌握会计学基本理论、基本方法和专业技能，熟练掌握定性和定量分析方法，能够准确的陈述和处 理会计事项</w:t>
            </w:r>
            <w:r>
              <w:rPr>
                <w:rFonts w:hint="eastAsia" w:ascii="仿宋" w:hAnsi="仿宋" w:eastAsia="仿宋"/>
                <w:sz w:val="24"/>
              </w:rPr>
              <w:t>，</w:t>
            </w:r>
            <w:r>
              <w:rPr>
                <w:rFonts w:ascii="仿宋" w:hAnsi="仿宋" w:eastAsia="仿宋"/>
                <w:sz w:val="24"/>
              </w:rPr>
              <w:t>养成敏锐的职业洞察力和职业判断能力</w:t>
            </w:r>
          </w:p>
        </w:tc>
        <w:tc>
          <w:tcPr>
            <w:tcW w:w="1413" w:type="pct"/>
            <w:tcBorders>
              <w:top w:val="single" w:color="auto" w:sz="4" w:space="0"/>
              <w:left w:val="nil"/>
              <w:bottom w:val="single" w:color="auto" w:sz="4" w:space="0"/>
              <w:right w:val="single" w:color="auto" w:sz="4" w:space="0"/>
            </w:tcBorders>
            <w:vAlign w:val="center"/>
          </w:tcPr>
          <w:p w14:paraId="1C515615">
            <w:pPr>
              <w:spacing w:line="276" w:lineRule="auto"/>
              <w:rPr>
                <w:rFonts w:ascii="仿宋" w:hAnsi="仿宋" w:eastAsia="仿宋"/>
                <w:sz w:val="24"/>
              </w:rPr>
            </w:pPr>
            <w:r>
              <w:rPr>
                <w:rFonts w:hint="eastAsia" w:ascii="仿宋" w:hAnsi="仿宋" w:eastAsia="仿宋"/>
                <w:b/>
                <w:bCs/>
                <w:color w:val="000000"/>
                <w:sz w:val="24"/>
              </w:rPr>
              <w:t>观测点</w:t>
            </w:r>
            <w:r>
              <w:rPr>
                <w:rFonts w:ascii="仿宋" w:hAnsi="仿宋" w:eastAsia="仿宋"/>
                <w:b/>
                <w:bCs/>
                <w:color w:val="000000"/>
                <w:sz w:val="24"/>
              </w:rPr>
              <w:t>4-2</w:t>
            </w:r>
            <w:r>
              <w:rPr>
                <w:rFonts w:hint="eastAsia" w:ascii="仿宋" w:hAnsi="仿宋" w:eastAsia="仿宋"/>
                <w:b/>
                <w:bCs/>
                <w:color w:val="000000"/>
                <w:sz w:val="24"/>
              </w:rPr>
              <w:t>：</w:t>
            </w:r>
            <w:r>
              <w:rPr>
                <w:rFonts w:hint="eastAsia" w:ascii="仿宋" w:hAnsi="仿宋" w:eastAsia="仿宋"/>
                <w:sz w:val="24"/>
              </w:rPr>
              <w:t>掌握会计学所必备的分析方法和工具，并能够应用于现实问题的能力。</w:t>
            </w:r>
          </w:p>
        </w:tc>
        <w:tc>
          <w:tcPr>
            <w:tcW w:w="1249" w:type="pct"/>
            <w:tcBorders>
              <w:top w:val="single" w:color="auto" w:sz="4" w:space="0"/>
              <w:left w:val="nil"/>
              <w:bottom w:val="single" w:color="auto" w:sz="4" w:space="0"/>
              <w:right w:val="single" w:color="auto" w:sz="4" w:space="0"/>
            </w:tcBorders>
            <w:vAlign w:val="center"/>
          </w:tcPr>
          <w:p w14:paraId="12406D21">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vAlign w:val="center"/>
          </w:tcPr>
          <w:p w14:paraId="4391FF71">
            <w:pPr>
              <w:spacing w:line="276" w:lineRule="auto"/>
              <w:ind w:left="360"/>
              <w:rPr>
                <w:rFonts w:ascii="仿宋" w:hAnsi="仿宋" w:eastAsia="仿宋"/>
                <w:color w:val="000000"/>
                <w:sz w:val="24"/>
              </w:rPr>
            </w:pPr>
            <w:r>
              <w:rPr>
                <w:rFonts w:hint="eastAsia" w:ascii="仿宋" w:hAnsi="仿宋" w:eastAsia="仿宋"/>
                <w:sz w:val="22"/>
                <w:szCs w:val="22"/>
                <w:lang w:val="zh-CN"/>
              </w:rPr>
              <w:sym w:font="Wingdings 2" w:char="F052"/>
            </w:r>
            <w:r>
              <w:rPr>
                <w:rFonts w:ascii="仿宋" w:hAnsi="仿宋" w:eastAsia="仿宋"/>
                <w:sz w:val="22"/>
                <w:szCs w:val="22"/>
                <w:lang w:val="zh-CN"/>
              </w:rPr>
              <w:t xml:space="preserve">  </w:t>
            </w:r>
            <w:r>
              <w:rPr>
                <w:rFonts w:hint="eastAsia" w:ascii="仿宋" w:hAnsi="仿宋" w:eastAsia="仿宋"/>
                <w:color w:val="000000"/>
                <w:sz w:val="24"/>
              </w:rPr>
              <w:t>H</w:t>
            </w:r>
          </w:p>
          <w:p w14:paraId="04D104B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7E6B7EAA">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75D39852">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tcPr>
          <w:p w14:paraId="250B0FD8">
            <w:pPr>
              <w:widowControl/>
              <w:spacing w:line="276" w:lineRule="auto"/>
              <w:rPr>
                <w:rFonts w:ascii="仿宋" w:hAnsi="仿宋" w:eastAsia="仿宋"/>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8</w:t>
            </w:r>
            <w:r>
              <w:rPr>
                <w:rFonts w:hint="eastAsia" w:ascii="仿宋" w:hAnsi="仿宋" w:eastAsia="仿宋"/>
                <w:b/>
                <w:bCs/>
                <w:color w:val="000000"/>
                <w:kern w:val="0"/>
                <w:sz w:val="24"/>
              </w:rPr>
              <w:t>：</w:t>
            </w:r>
            <w:r>
              <w:rPr>
                <w:rFonts w:hint="eastAsia" w:ascii="仿宋" w:hAnsi="仿宋" w:eastAsia="仿宋"/>
                <w:sz w:val="24"/>
              </w:rPr>
              <w:t>具备较强的专业逻辑思维分析能力、专业综合实践与评价能力和财务会计信息技术应用能力</w:t>
            </w:r>
          </w:p>
        </w:tc>
        <w:tc>
          <w:tcPr>
            <w:tcW w:w="1413" w:type="pct"/>
            <w:tcBorders>
              <w:top w:val="single" w:color="auto" w:sz="4" w:space="0"/>
              <w:left w:val="nil"/>
              <w:bottom w:val="single" w:color="auto" w:sz="4" w:space="0"/>
              <w:right w:val="single" w:color="auto" w:sz="4" w:space="0"/>
            </w:tcBorders>
            <w:vAlign w:val="center"/>
          </w:tcPr>
          <w:p w14:paraId="265FE472">
            <w:pPr>
              <w:spacing w:line="276" w:lineRule="auto"/>
              <w:rPr>
                <w:rFonts w:ascii="仿宋" w:hAnsi="仿宋" w:eastAsia="仿宋"/>
                <w:sz w:val="24"/>
              </w:rPr>
            </w:pPr>
            <w:r>
              <w:rPr>
                <w:rFonts w:hint="eastAsia" w:ascii="仿宋" w:hAnsi="仿宋" w:eastAsia="仿宋"/>
                <w:b/>
                <w:bCs/>
                <w:color w:val="000000"/>
                <w:sz w:val="24"/>
              </w:rPr>
              <w:t>观测点</w:t>
            </w:r>
            <w:r>
              <w:rPr>
                <w:rFonts w:ascii="仿宋" w:hAnsi="仿宋" w:eastAsia="仿宋"/>
                <w:b/>
                <w:bCs/>
                <w:color w:val="000000"/>
                <w:sz w:val="24"/>
              </w:rPr>
              <w:t>8-3</w:t>
            </w:r>
            <w:r>
              <w:rPr>
                <w:rFonts w:hint="eastAsia" w:ascii="仿宋" w:hAnsi="仿宋" w:eastAsia="仿宋"/>
                <w:b/>
                <w:bCs/>
                <w:color w:val="000000"/>
                <w:sz w:val="24"/>
              </w:rPr>
              <w:t>：</w:t>
            </w:r>
            <w:r>
              <w:rPr>
                <w:rFonts w:hint="eastAsia" w:ascii="仿宋" w:hAnsi="仿宋" w:eastAsia="仿宋"/>
                <w:sz w:val="24"/>
              </w:rPr>
              <w:t>通过会计实验与实践训练，养成较强的逻辑思维分析能力、实践应用与评价能力和财务会计信息技术应用能力。</w:t>
            </w:r>
          </w:p>
        </w:tc>
        <w:tc>
          <w:tcPr>
            <w:tcW w:w="1249" w:type="pct"/>
            <w:tcBorders>
              <w:top w:val="single" w:color="auto" w:sz="4" w:space="0"/>
              <w:left w:val="nil"/>
              <w:bottom w:val="single" w:color="auto" w:sz="4" w:space="0"/>
              <w:right w:val="single" w:color="auto" w:sz="4" w:space="0"/>
            </w:tcBorders>
            <w:vAlign w:val="center"/>
          </w:tcPr>
          <w:p w14:paraId="4AF3B968">
            <w:pPr>
              <w:spacing w:line="276" w:lineRule="auto"/>
              <w:rPr>
                <w:rFonts w:ascii="仿宋" w:hAnsi="仿宋" w:eastAsia="仿宋"/>
                <w:color w:val="000000"/>
                <w:kern w:val="0"/>
                <w:sz w:val="24"/>
              </w:rPr>
            </w:pPr>
            <w:r>
              <w:rPr>
                <w:rFonts w:hint="eastAsia" w:ascii="仿宋" w:hAnsi="仿宋" w:eastAsia="仿宋"/>
                <w:color w:val="000000"/>
                <w:kern w:val="0"/>
                <w:sz w:val="24"/>
              </w:rPr>
              <w:t>课程目标4</w:t>
            </w:r>
          </w:p>
        </w:tc>
        <w:tc>
          <w:tcPr>
            <w:tcW w:w="860" w:type="pct"/>
            <w:tcBorders>
              <w:top w:val="single" w:color="auto" w:sz="4" w:space="0"/>
              <w:left w:val="nil"/>
              <w:bottom w:val="single" w:color="auto" w:sz="4" w:space="0"/>
              <w:right w:val="single" w:color="auto" w:sz="4" w:space="0"/>
            </w:tcBorders>
            <w:vAlign w:val="center"/>
          </w:tcPr>
          <w:p w14:paraId="117828EE">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14:paraId="1AB15B51">
            <w:pPr>
              <w:spacing w:line="276" w:lineRule="auto"/>
              <w:ind w:left="360"/>
              <w:rPr>
                <w:rFonts w:ascii="仿宋" w:hAnsi="仿宋" w:eastAsia="仿宋"/>
                <w:color w:val="000000"/>
                <w:sz w:val="24"/>
              </w:rPr>
            </w:pPr>
            <w:r>
              <w:rPr>
                <w:rFonts w:hint="eastAsia" w:ascii="仿宋" w:hAnsi="仿宋" w:eastAsia="仿宋"/>
                <w:sz w:val="22"/>
                <w:szCs w:val="22"/>
                <w:lang w:val="zh-CN"/>
              </w:rPr>
              <w:sym w:font="Wingdings 2" w:char="F052"/>
            </w:r>
            <w:r>
              <w:rPr>
                <w:rFonts w:ascii="仿宋" w:hAnsi="仿宋" w:eastAsia="仿宋"/>
                <w:sz w:val="22"/>
                <w:szCs w:val="22"/>
                <w:lang w:val="zh-CN"/>
              </w:rPr>
              <w:t xml:space="preserve">  </w:t>
            </w:r>
            <w:r>
              <w:rPr>
                <w:rFonts w:hint="eastAsia" w:ascii="仿宋" w:hAnsi="仿宋" w:eastAsia="仿宋"/>
                <w:color w:val="000000"/>
                <w:sz w:val="24"/>
              </w:rPr>
              <w:t>M</w:t>
            </w:r>
          </w:p>
          <w:p w14:paraId="0F0C82B4">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bl>
    <w:p w14:paraId="3E363D8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
        <w:gridCol w:w="831"/>
        <w:gridCol w:w="1524"/>
        <w:gridCol w:w="463"/>
        <w:gridCol w:w="1829"/>
        <w:gridCol w:w="841"/>
        <w:gridCol w:w="841"/>
        <w:gridCol w:w="841"/>
      </w:tblGrid>
      <w:tr w14:paraId="11FFD26A">
        <w:trPr>
          <w:jc w:val="center"/>
        </w:trPr>
        <w:tc>
          <w:tcPr>
            <w:tcW w:w="304" w:type="pct"/>
            <w:shd w:val="clear" w:color="auto" w:fill="auto"/>
            <w:vAlign w:val="center"/>
          </w:tcPr>
          <w:p w14:paraId="127E19F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4" w:type="pct"/>
            <w:shd w:val="clear" w:color="auto" w:fill="auto"/>
            <w:vAlign w:val="center"/>
          </w:tcPr>
          <w:p w14:paraId="7F93AA5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998" w:type="pct"/>
            <w:shd w:val="clear" w:color="auto" w:fill="auto"/>
            <w:vAlign w:val="center"/>
          </w:tcPr>
          <w:p w14:paraId="2876AE9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303" w:type="pct"/>
            <w:vAlign w:val="center"/>
          </w:tcPr>
          <w:p w14:paraId="79D8A75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198" w:type="pct"/>
            <w:vAlign w:val="center"/>
          </w:tcPr>
          <w:p w14:paraId="5828F8E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03A6453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551" w:type="pct"/>
            <w:vAlign w:val="center"/>
          </w:tcPr>
          <w:p w14:paraId="0B557D2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51" w:type="pct"/>
            <w:vAlign w:val="center"/>
          </w:tcPr>
          <w:p w14:paraId="7F94B47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551" w:type="pct"/>
            <w:vAlign w:val="center"/>
          </w:tcPr>
          <w:p w14:paraId="730881B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72AF700C">
        <w:trPr>
          <w:jc w:val="center"/>
        </w:trPr>
        <w:tc>
          <w:tcPr>
            <w:tcW w:w="304" w:type="pct"/>
            <w:shd w:val="clear" w:color="auto" w:fill="auto"/>
            <w:vAlign w:val="center"/>
          </w:tcPr>
          <w:p w14:paraId="29FD05CF">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544" w:type="pct"/>
            <w:shd w:val="clear" w:color="auto" w:fill="auto"/>
            <w:vAlign w:val="center"/>
          </w:tcPr>
          <w:p w14:paraId="68110D62">
            <w:pPr>
              <w:jc w:val="center"/>
              <w:rPr>
                <w:rFonts w:ascii="仿宋" w:hAnsi="仿宋" w:eastAsia="仿宋"/>
                <w:sz w:val="18"/>
                <w:szCs w:val="18"/>
              </w:rPr>
            </w:pPr>
            <w:r>
              <w:rPr>
                <w:rFonts w:hint="eastAsia" w:ascii="仿宋" w:hAnsi="仿宋" w:eastAsia="仿宋"/>
                <w:sz w:val="18"/>
                <w:szCs w:val="18"/>
                <w:lang w:val="zh-CN"/>
              </w:rPr>
              <w:t>第一章</w:t>
            </w:r>
            <w:r>
              <w:rPr>
                <w:rFonts w:hint="eastAsia" w:ascii="仿宋" w:hAnsi="仿宋" w:eastAsia="仿宋"/>
                <w:sz w:val="18"/>
                <w:szCs w:val="18"/>
              </w:rPr>
              <w:t xml:space="preserve"> </w:t>
            </w:r>
          </w:p>
          <w:p w14:paraId="19A1FBFC">
            <w:pPr>
              <w:jc w:val="center"/>
              <w:rPr>
                <w:rFonts w:ascii="仿宋" w:hAnsi="仿宋" w:eastAsia="仿宋"/>
                <w:sz w:val="18"/>
                <w:szCs w:val="18"/>
                <w:lang w:val="zh-CN"/>
              </w:rPr>
            </w:pPr>
            <w:r>
              <w:rPr>
                <w:rFonts w:hint="eastAsia" w:ascii="仿宋" w:hAnsi="仿宋" w:eastAsia="仿宋"/>
                <w:sz w:val="18"/>
                <w:szCs w:val="18"/>
              </w:rPr>
              <w:t>总论</w:t>
            </w:r>
          </w:p>
        </w:tc>
        <w:tc>
          <w:tcPr>
            <w:tcW w:w="998" w:type="pct"/>
            <w:shd w:val="clear" w:color="auto" w:fill="auto"/>
            <w:vAlign w:val="center"/>
          </w:tcPr>
          <w:p w14:paraId="40D82EE8">
            <w:pPr>
              <w:jc w:val="left"/>
              <w:rPr>
                <w:rFonts w:ascii="仿宋" w:hAnsi="仿宋" w:eastAsia="仿宋"/>
                <w:sz w:val="18"/>
                <w:szCs w:val="18"/>
              </w:rPr>
            </w:pPr>
            <w:r>
              <w:rPr>
                <w:rFonts w:hint="eastAsia" w:ascii="仿宋" w:hAnsi="仿宋" w:eastAsia="仿宋"/>
                <w:sz w:val="18"/>
                <w:szCs w:val="18"/>
              </w:rPr>
              <w:t>1.财务会计</w:t>
            </w:r>
            <w:r>
              <w:rPr>
                <w:rFonts w:ascii="仿宋" w:hAnsi="仿宋" w:eastAsia="仿宋"/>
                <w:sz w:val="18"/>
                <w:szCs w:val="18"/>
              </w:rPr>
              <w:t>的概念</w:t>
            </w:r>
          </w:p>
          <w:p w14:paraId="25FF733D">
            <w:pPr>
              <w:jc w:val="left"/>
              <w:rPr>
                <w:rFonts w:ascii="仿宋" w:hAnsi="仿宋" w:eastAsia="仿宋"/>
                <w:sz w:val="18"/>
                <w:szCs w:val="18"/>
              </w:rPr>
            </w:pPr>
            <w:r>
              <w:rPr>
                <w:rFonts w:hint="eastAsia" w:ascii="仿宋" w:hAnsi="仿宋" w:eastAsia="仿宋"/>
                <w:sz w:val="18"/>
                <w:szCs w:val="18"/>
              </w:rPr>
              <w:t>2.财务会计</w:t>
            </w:r>
            <w:r>
              <w:rPr>
                <w:rFonts w:ascii="仿宋" w:hAnsi="仿宋" w:eastAsia="仿宋"/>
                <w:sz w:val="18"/>
                <w:szCs w:val="18"/>
              </w:rPr>
              <w:t>目标</w:t>
            </w:r>
          </w:p>
          <w:p w14:paraId="7DCF5CF4">
            <w:pPr>
              <w:jc w:val="left"/>
              <w:rPr>
                <w:rFonts w:ascii="仿宋" w:hAnsi="仿宋" w:eastAsia="仿宋"/>
                <w:sz w:val="18"/>
                <w:szCs w:val="18"/>
              </w:rPr>
            </w:pPr>
            <w:r>
              <w:rPr>
                <w:rFonts w:hint="eastAsia" w:ascii="仿宋" w:hAnsi="仿宋" w:eastAsia="仿宋"/>
                <w:sz w:val="18"/>
                <w:szCs w:val="18"/>
              </w:rPr>
              <w:t>3.财务会计</w:t>
            </w:r>
            <w:r>
              <w:rPr>
                <w:rFonts w:ascii="仿宋" w:hAnsi="仿宋" w:eastAsia="仿宋"/>
                <w:sz w:val="18"/>
                <w:szCs w:val="18"/>
              </w:rPr>
              <w:t>假设和财务会计基础</w:t>
            </w:r>
          </w:p>
          <w:p w14:paraId="41CCD402">
            <w:pPr>
              <w:jc w:val="left"/>
              <w:rPr>
                <w:rFonts w:ascii="仿宋" w:hAnsi="仿宋" w:eastAsia="仿宋"/>
                <w:sz w:val="18"/>
                <w:szCs w:val="18"/>
              </w:rPr>
            </w:pPr>
            <w:r>
              <w:rPr>
                <w:rFonts w:hint="eastAsia" w:ascii="仿宋" w:hAnsi="仿宋" w:eastAsia="仿宋"/>
                <w:sz w:val="18"/>
                <w:szCs w:val="18"/>
              </w:rPr>
              <w:t>4.财务会计</w:t>
            </w:r>
            <w:r>
              <w:rPr>
                <w:rFonts w:ascii="仿宋" w:hAnsi="仿宋" w:eastAsia="仿宋"/>
                <w:sz w:val="18"/>
                <w:szCs w:val="18"/>
              </w:rPr>
              <w:t>信息</w:t>
            </w:r>
            <w:r>
              <w:rPr>
                <w:rFonts w:hint="eastAsia" w:ascii="仿宋" w:hAnsi="仿宋" w:eastAsia="仿宋"/>
                <w:sz w:val="18"/>
                <w:szCs w:val="18"/>
              </w:rPr>
              <w:t>质量</w:t>
            </w:r>
            <w:r>
              <w:rPr>
                <w:rFonts w:ascii="仿宋" w:hAnsi="仿宋" w:eastAsia="仿宋"/>
                <w:sz w:val="18"/>
                <w:szCs w:val="18"/>
              </w:rPr>
              <w:t>要求</w:t>
            </w:r>
          </w:p>
          <w:p w14:paraId="5A23D101">
            <w:pPr>
              <w:jc w:val="left"/>
              <w:rPr>
                <w:rFonts w:ascii="仿宋" w:hAnsi="仿宋" w:eastAsia="仿宋"/>
                <w:sz w:val="18"/>
                <w:szCs w:val="18"/>
              </w:rPr>
            </w:pPr>
            <w:r>
              <w:rPr>
                <w:rFonts w:hint="eastAsia" w:ascii="仿宋" w:hAnsi="仿宋" w:eastAsia="仿宋"/>
                <w:sz w:val="18"/>
                <w:szCs w:val="18"/>
              </w:rPr>
              <w:t>5.财务会计</w:t>
            </w:r>
            <w:r>
              <w:rPr>
                <w:rFonts w:ascii="仿宋" w:hAnsi="仿宋" w:eastAsia="仿宋"/>
                <w:sz w:val="18"/>
                <w:szCs w:val="18"/>
              </w:rPr>
              <w:t>要素及其确认和计量原则</w:t>
            </w:r>
          </w:p>
          <w:p w14:paraId="50DEE056">
            <w:pPr>
              <w:jc w:val="left"/>
              <w:rPr>
                <w:rFonts w:ascii="仿宋" w:hAnsi="仿宋" w:eastAsia="仿宋"/>
                <w:sz w:val="18"/>
                <w:szCs w:val="18"/>
              </w:rPr>
            </w:pPr>
            <w:r>
              <w:rPr>
                <w:rFonts w:hint="eastAsia" w:ascii="仿宋" w:hAnsi="仿宋" w:eastAsia="仿宋"/>
                <w:sz w:val="18"/>
                <w:szCs w:val="18"/>
              </w:rPr>
              <w:t>6.财务会计报告</w:t>
            </w:r>
          </w:p>
          <w:p w14:paraId="0A2B0EA2">
            <w:pPr>
              <w:jc w:val="left"/>
              <w:rPr>
                <w:rFonts w:ascii="仿宋" w:hAnsi="仿宋" w:eastAsia="仿宋"/>
                <w:sz w:val="18"/>
                <w:szCs w:val="18"/>
              </w:rPr>
            </w:pPr>
            <w:r>
              <w:rPr>
                <w:rFonts w:hint="eastAsia" w:ascii="仿宋" w:hAnsi="仿宋" w:eastAsia="仿宋"/>
                <w:sz w:val="18"/>
                <w:szCs w:val="18"/>
              </w:rPr>
              <w:t>7.财务会计规范</w:t>
            </w:r>
          </w:p>
        </w:tc>
        <w:tc>
          <w:tcPr>
            <w:tcW w:w="303" w:type="pct"/>
            <w:vAlign w:val="center"/>
          </w:tcPr>
          <w:p w14:paraId="04FDD5F2">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4</w:t>
            </w:r>
          </w:p>
        </w:tc>
        <w:tc>
          <w:tcPr>
            <w:tcW w:w="1198" w:type="pct"/>
            <w:vAlign w:val="center"/>
          </w:tcPr>
          <w:p w14:paraId="3EDA244A">
            <w:pPr>
              <w:suppressAutoHyphens/>
              <w:spacing w:line="276" w:lineRule="auto"/>
              <w:jc w:val="left"/>
              <w:rPr>
                <w:rFonts w:ascii="仿宋" w:hAnsi="仿宋" w:eastAsia="仿宋"/>
                <w:sz w:val="18"/>
                <w:szCs w:val="18"/>
              </w:rPr>
            </w:pPr>
            <w:r>
              <w:rPr>
                <w:rFonts w:hint="eastAsia" w:ascii="仿宋" w:hAnsi="仿宋" w:eastAsia="仿宋"/>
                <w:sz w:val="18"/>
                <w:szCs w:val="18"/>
              </w:rPr>
              <w:t>重点：1.财务会计信息质量要求。</w:t>
            </w:r>
          </w:p>
          <w:p w14:paraId="0FAD3D0C">
            <w:pPr>
              <w:suppressAutoHyphens/>
              <w:spacing w:line="276" w:lineRule="auto"/>
              <w:jc w:val="left"/>
              <w:rPr>
                <w:rFonts w:ascii="仿宋" w:hAnsi="仿宋" w:eastAsia="仿宋"/>
                <w:sz w:val="18"/>
                <w:szCs w:val="18"/>
              </w:rPr>
            </w:pPr>
            <w:r>
              <w:rPr>
                <w:rFonts w:hint="eastAsia" w:ascii="仿宋" w:hAnsi="仿宋" w:eastAsia="仿宋"/>
                <w:sz w:val="18"/>
                <w:szCs w:val="18"/>
              </w:rPr>
              <w:t>2.财务会计要素的确认和计量原则。</w:t>
            </w:r>
          </w:p>
          <w:p w14:paraId="614A30F6">
            <w:pPr>
              <w:suppressAutoHyphens/>
              <w:spacing w:before="156" w:beforeLines="50" w:after="156" w:afterLines="50" w:line="276" w:lineRule="auto"/>
              <w:jc w:val="left"/>
              <w:rPr>
                <w:rFonts w:eastAsia="仿宋"/>
                <w:b/>
                <w:spacing w:val="-3"/>
                <w:sz w:val="24"/>
                <w:lang w:val="en-GB"/>
              </w:rPr>
            </w:pPr>
            <w:r>
              <w:rPr>
                <w:rFonts w:hint="eastAsia" w:ascii="仿宋" w:hAnsi="仿宋" w:eastAsia="仿宋"/>
                <w:sz w:val="18"/>
                <w:szCs w:val="18"/>
              </w:rPr>
              <w:t>课程思政：结合会计信息的首要质量要求之一是可靠性的案例, 融入实事求是的理念，不可以以虚构的经济业务为依据进行会计核算，要求会计人员的专业工作应当遵守诚信的品德要求和工作要求。</w:t>
            </w:r>
          </w:p>
        </w:tc>
        <w:tc>
          <w:tcPr>
            <w:tcW w:w="551" w:type="pct"/>
            <w:vAlign w:val="center"/>
          </w:tcPr>
          <w:p w14:paraId="7FE89491">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课堂面授</w:t>
            </w:r>
          </w:p>
          <w:p w14:paraId="216676D0">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启发教学</w:t>
            </w:r>
          </w:p>
        </w:tc>
        <w:tc>
          <w:tcPr>
            <w:tcW w:w="551" w:type="pct"/>
            <w:vAlign w:val="center"/>
          </w:tcPr>
          <w:p w14:paraId="21891D27">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作业、平时测验、期末考试</w:t>
            </w:r>
          </w:p>
        </w:tc>
        <w:tc>
          <w:tcPr>
            <w:tcW w:w="551" w:type="pct"/>
            <w:vAlign w:val="center"/>
          </w:tcPr>
          <w:p w14:paraId="64651BEA">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课程目标1</w:t>
            </w:r>
          </w:p>
        </w:tc>
      </w:tr>
      <w:tr w14:paraId="749BB454">
        <w:trPr>
          <w:jc w:val="center"/>
        </w:trPr>
        <w:tc>
          <w:tcPr>
            <w:tcW w:w="304" w:type="pct"/>
            <w:shd w:val="clear" w:color="auto" w:fill="auto"/>
            <w:vAlign w:val="center"/>
          </w:tcPr>
          <w:p w14:paraId="60D9664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544" w:type="pct"/>
            <w:shd w:val="clear" w:color="auto" w:fill="auto"/>
            <w:vAlign w:val="center"/>
          </w:tcPr>
          <w:p w14:paraId="2A7C5BB2">
            <w:pPr>
              <w:jc w:val="center"/>
              <w:rPr>
                <w:rFonts w:ascii="仿宋" w:hAnsi="仿宋" w:eastAsia="仿宋"/>
                <w:sz w:val="18"/>
                <w:szCs w:val="18"/>
              </w:rPr>
            </w:pPr>
            <w:r>
              <w:rPr>
                <w:rFonts w:hint="eastAsia" w:ascii="仿宋" w:hAnsi="仿宋" w:eastAsia="仿宋"/>
                <w:sz w:val="18"/>
                <w:szCs w:val="18"/>
              </w:rPr>
              <w:t>第二章</w:t>
            </w:r>
          </w:p>
          <w:p w14:paraId="2009310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rPr>
              <w:t>货币资金与应收款项</w:t>
            </w:r>
          </w:p>
        </w:tc>
        <w:tc>
          <w:tcPr>
            <w:tcW w:w="998" w:type="pct"/>
            <w:shd w:val="clear" w:color="auto" w:fill="auto"/>
            <w:vAlign w:val="center"/>
          </w:tcPr>
          <w:p w14:paraId="32342D85">
            <w:pPr>
              <w:rPr>
                <w:rFonts w:ascii="仿宋" w:hAnsi="仿宋" w:eastAsia="仿宋"/>
                <w:sz w:val="18"/>
                <w:szCs w:val="18"/>
              </w:rPr>
            </w:pPr>
            <w:r>
              <w:rPr>
                <w:rFonts w:hint="eastAsia" w:ascii="仿宋" w:hAnsi="仿宋" w:eastAsia="仿宋"/>
                <w:sz w:val="18"/>
                <w:szCs w:val="18"/>
              </w:rPr>
              <w:t>1.货币资金</w:t>
            </w:r>
          </w:p>
          <w:p w14:paraId="69A2C431">
            <w:pPr>
              <w:rPr>
                <w:rFonts w:ascii="仿宋" w:hAnsi="仿宋" w:eastAsia="仿宋"/>
                <w:sz w:val="18"/>
                <w:szCs w:val="18"/>
              </w:rPr>
            </w:pPr>
            <w:r>
              <w:rPr>
                <w:rFonts w:ascii="仿宋" w:hAnsi="仿宋" w:eastAsia="仿宋"/>
                <w:sz w:val="18"/>
                <w:szCs w:val="18"/>
              </w:rPr>
              <w:t>2</w:t>
            </w:r>
            <w:r>
              <w:rPr>
                <w:rFonts w:hint="eastAsia" w:ascii="仿宋" w:hAnsi="仿宋" w:eastAsia="仿宋"/>
                <w:sz w:val="18"/>
                <w:szCs w:val="18"/>
              </w:rPr>
              <w:t>.应收款项</w:t>
            </w:r>
          </w:p>
        </w:tc>
        <w:tc>
          <w:tcPr>
            <w:tcW w:w="303" w:type="pct"/>
            <w:vAlign w:val="center"/>
          </w:tcPr>
          <w:p w14:paraId="289435E3">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2</w:t>
            </w:r>
          </w:p>
        </w:tc>
        <w:tc>
          <w:tcPr>
            <w:tcW w:w="1198" w:type="pct"/>
            <w:vAlign w:val="center"/>
          </w:tcPr>
          <w:p w14:paraId="1B2FF827">
            <w:pPr>
              <w:jc w:val="left"/>
              <w:rPr>
                <w:rFonts w:ascii="仿宋" w:hAnsi="仿宋" w:eastAsia="仿宋"/>
                <w:sz w:val="18"/>
                <w:szCs w:val="18"/>
                <w:lang w:val="zh-CN"/>
              </w:rPr>
            </w:pPr>
            <w:r>
              <w:rPr>
                <w:rFonts w:hint="eastAsia" w:ascii="仿宋" w:hAnsi="仿宋" w:eastAsia="仿宋"/>
                <w:sz w:val="18"/>
                <w:szCs w:val="18"/>
              </w:rPr>
              <w:t>重点：应收款项</w:t>
            </w:r>
            <w:r>
              <w:rPr>
                <w:rFonts w:ascii="仿宋" w:hAnsi="仿宋" w:eastAsia="仿宋"/>
                <w:sz w:val="18"/>
                <w:szCs w:val="18"/>
              </w:rPr>
              <w:t>的核算</w:t>
            </w:r>
          </w:p>
          <w:p w14:paraId="72A7BFC3">
            <w:pPr>
              <w:spacing w:before="156" w:beforeLines="50" w:after="156" w:afterLines="50"/>
              <w:jc w:val="left"/>
              <w:rPr>
                <w:rFonts w:ascii="仿宋" w:hAnsi="仿宋" w:eastAsia="仿宋"/>
                <w:sz w:val="18"/>
                <w:szCs w:val="18"/>
                <w:lang w:val="zh-CN"/>
              </w:rPr>
            </w:pPr>
            <w:r>
              <w:rPr>
                <w:rFonts w:hint="eastAsia" w:ascii="仿宋" w:hAnsi="仿宋" w:eastAsia="仿宋"/>
                <w:sz w:val="18"/>
                <w:szCs w:val="18"/>
                <w:lang w:val="zh-CN"/>
              </w:rPr>
              <w:t>难点：应收</w:t>
            </w:r>
            <w:r>
              <w:rPr>
                <w:rFonts w:ascii="仿宋" w:hAnsi="仿宋" w:eastAsia="仿宋"/>
                <w:sz w:val="18"/>
                <w:szCs w:val="18"/>
                <w:lang w:val="zh-CN"/>
              </w:rPr>
              <w:t>款项的减值核算</w:t>
            </w:r>
          </w:p>
          <w:p w14:paraId="6845D1D3">
            <w:pPr>
              <w:suppressAutoHyphens/>
              <w:spacing w:before="156" w:beforeLines="50" w:after="156" w:afterLines="50" w:line="276" w:lineRule="auto"/>
              <w:jc w:val="left"/>
              <w:rPr>
                <w:rFonts w:eastAsia="仿宋"/>
                <w:b/>
                <w:spacing w:val="-3"/>
                <w:sz w:val="24"/>
                <w:lang w:val="en-GB"/>
              </w:rPr>
            </w:pPr>
            <w:r>
              <w:rPr>
                <w:rFonts w:hint="eastAsia" w:ascii="仿宋" w:hAnsi="仿宋" w:eastAsia="仿宋"/>
                <w:sz w:val="18"/>
                <w:szCs w:val="18"/>
              </w:rPr>
              <w:t>课程思政：结合会计信息的首要质量要求之一是可靠性的案例, 融入实事求是的理念，不可以以虚构的经济业务为依据进行会计核算，要求会计人员的专业工作应当遵守诚信的品德要求和工作要求。</w:t>
            </w:r>
          </w:p>
        </w:tc>
        <w:tc>
          <w:tcPr>
            <w:tcW w:w="551" w:type="pct"/>
            <w:vAlign w:val="center"/>
          </w:tcPr>
          <w:p w14:paraId="320EAA07">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课堂面授</w:t>
            </w:r>
          </w:p>
        </w:tc>
        <w:tc>
          <w:tcPr>
            <w:tcW w:w="551" w:type="pct"/>
            <w:vAlign w:val="center"/>
          </w:tcPr>
          <w:p w14:paraId="59AB80D0">
            <w:pPr>
              <w:suppressAutoHyphens/>
              <w:spacing w:before="156" w:beforeLines="50" w:after="156" w:afterLines="50" w:line="276" w:lineRule="auto"/>
              <w:rPr>
                <w:rFonts w:eastAsia="仿宋"/>
                <w:b/>
                <w:spacing w:val="-3"/>
                <w:sz w:val="24"/>
                <w:lang w:val="en-GB"/>
              </w:rPr>
            </w:pPr>
            <w:r>
              <w:rPr>
                <w:rFonts w:hint="eastAsia" w:eastAsia="仿宋"/>
                <w:bCs/>
                <w:spacing w:val="-3"/>
                <w:sz w:val="24"/>
                <w:lang w:val="en-GB"/>
              </w:rPr>
              <w:t>作业、平时测验、期末考试</w:t>
            </w:r>
          </w:p>
        </w:tc>
        <w:tc>
          <w:tcPr>
            <w:tcW w:w="551" w:type="pct"/>
            <w:vAlign w:val="center"/>
          </w:tcPr>
          <w:p w14:paraId="4080452D">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w:t>
            </w:r>
          </w:p>
        </w:tc>
      </w:tr>
      <w:tr w14:paraId="7AF94A6C">
        <w:trPr>
          <w:jc w:val="center"/>
        </w:trPr>
        <w:tc>
          <w:tcPr>
            <w:tcW w:w="304" w:type="pct"/>
            <w:shd w:val="clear" w:color="auto" w:fill="auto"/>
            <w:vAlign w:val="center"/>
          </w:tcPr>
          <w:p w14:paraId="6026BDD8">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544" w:type="pct"/>
            <w:shd w:val="clear" w:color="auto" w:fill="auto"/>
            <w:vAlign w:val="center"/>
          </w:tcPr>
          <w:p w14:paraId="76037A1A">
            <w:pPr>
              <w:rPr>
                <w:rFonts w:ascii="仿宋" w:hAnsi="仿宋" w:eastAsia="仿宋"/>
                <w:sz w:val="18"/>
                <w:szCs w:val="18"/>
              </w:rPr>
            </w:pPr>
            <w:r>
              <w:rPr>
                <w:rFonts w:hint="eastAsia" w:ascii="仿宋" w:hAnsi="仿宋" w:eastAsia="仿宋"/>
                <w:sz w:val="18"/>
                <w:szCs w:val="18"/>
              </w:rPr>
              <w:t>第二章</w:t>
            </w:r>
          </w:p>
          <w:p w14:paraId="35B4188F">
            <w:pPr>
              <w:jc w:val="center"/>
              <w:rPr>
                <w:rFonts w:ascii="仿宋" w:hAnsi="仿宋" w:eastAsia="仿宋"/>
                <w:sz w:val="18"/>
                <w:szCs w:val="18"/>
                <w:lang w:val="zh-CN"/>
              </w:rPr>
            </w:pPr>
            <w:r>
              <w:rPr>
                <w:rFonts w:hint="eastAsia" w:ascii="仿宋" w:hAnsi="仿宋" w:eastAsia="仿宋"/>
                <w:sz w:val="18"/>
                <w:szCs w:val="18"/>
              </w:rPr>
              <w:t>货币资金与应收款项</w:t>
            </w:r>
          </w:p>
        </w:tc>
        <w:tc>
          <w:tcPr>
            <w:tcW w:w="998" w:type="pct"/>
            <w:shd w:val="clear" w:color="auto" w:fill="auto"/>
            <w:vAlign w:val="center"/>
          </w:tcPr>
          <w:p w14:paraId="532AC15F">
            <w:pPr>
              <w:suppressAutoHyphens/>
              <w:spacing w:before="156" w:beforeLines="50" w:after="156" w:afterLines="50" w:line="276" w:lineRule="auto"/>
              <w:jc w:val="left"/>
              <w:rPr>
                <w:rFonts w:eastAsia="仿宋"/>
                <w:b/>
                <w:spacing w:val="-3"/>
                <w:sz w:val="24"/>
                <w:lang w:val="en-GB"/>
              </w:rPr>
            </w:pPr>
            <w:r>
              <w:rPr>
                <w:rFonts w:hint="eastAsia" w:ascii="仿宋" w:hAnsi="仿宋" w:eastAsia="仿宋"/>
                <w:sz w:val="18"/>
                <w:szCs w:val="18"/>
                <w:lang w:val="zh-CN"/>
              </w:rPr>
              <w:t>实验1：</w:t>
            </w:r>
            <w:r>
              <w:rPr>
                <w:rFonts w:hint="eastAsia" w:ascii="仿宋" w:hAnsi="仿宋" w:eastAsia="仿宋"/>
                <w:sz w:val="18"/>
                <w:szCs w:val="18"/>
              </w:rPr>
              <w:t>货币资金业务核算</w:t>
            </w:r>
          </w:p>
        </w:tc>
        <w:tc>
          <w:tcPr>
            <w:tcW w:w="303" w:type="pct"/>
            <w:vAlign w:val="center"/>
          </w:tcPr>
          <w:p w14:paraId="0E11A992">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4</w:t>
            </w:r>
          </w:p>
        </w:tc>
        <w:tc>
          <w:tcPr>
            <w:tcW w:w="1198" w:type="pct"/>
            <w:vAlign w:val="center"/>
          </w:tcPr>
          <w:p w14:paraId="59B2212C">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理解银行存款</w:t>
            </w:r>
            <w:r>
              <w:rPr>
                <w:rFonts w:ascii="仿宋" w:hAnsi="仿宋" w:eastAsia="仿宋"/>
                <w:sz w:val="18"/>
                <w:szCs w:val="18"/>
                <w:lang w:val="zh-CN"/>
              </w:rPr>
              <w:t>余额表的编制原理</w:t>
            </w:r>
            <w:r>
              <w:rPr>
                <w:rFonts w:hint="eastAsia" w:ascii="仿宋" w:hAnsi="仿宋" w:eastAsia="仿宋"/>
                <w:sz w:val="18"/>
                <w:szCs w:val="18"/>
                <w:lang w:val="zh-CN"/>
              </w:rPr>
              <w:t>；</w:t>
            </w:r>
          </w:p>
          <w:p w14:paraId="3D8D22AE">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掌握银行存款</w:t>
            </w:r>
            <w:r>
              <w:rPr>
                <w:rFonts w:ascii="仿宋" w:hAnsi="仿宋" w:eastAsia="仿宋"/>
                <w:sz w:val="18"/>
                <w:szCs w:val="18"/>
                <w:lang w:val="zh-CN"/>
              </w:rPr>
              <w:t>余额表的编制方法</w:t>
            </w:r>
          </w:p>
        </w:tc>
        <w:tc>
          <w:tcPr>
            <w:tcW w:w="551" w:type="pct"/>
            <w:vAlign w:val="center"/>
          </w:tcPr>
          <w:p w14:paraId="243B8132">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实训</w:t>
            </w:r>
          </w:p>
        </w:tc>
        <w:tc>
          <w:tcPr>
            <w:tcW w:w="551" w:type="pct"/>
            <w:vAlign w:val="center"/>
          </w:tcPr>
          <w:p w14:paraId="5D2F955B">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课堂实验</w:t>
            </w:r>
          </w:p>
        </w:tc>
        <w:tc>
          <w:tcPr>
            <w:tcW w:w="551" w:type="pct"/>
            <w:vAlign w:val="center"/>
          </w:tcPr>
          <w:p w14:paraId="6AB02C42">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w:t>
            </w:r>
            <w:r>
              <w:rPr>
                <w:rFonts w:ascii="仿宋" w:hAnsi="仿宋" w:eastAsia="仿宋"/>
                <w:color w:val="000000"/>
                <w:kern w:val="0"/>
                <w:sz w:val="24"/>
              </w:rPr>
              <w:t>3</w:t>
            </w:r>
          </w:p>
        </w:tc>
      </w:tr>
      <w:tr w14:paraId="2D860922">
        <w:trPr>
          <w:jc w:val="center"/>
        </w:trPr>
        <w:tc>
          <w:tcPr>
            <w:tcW w:w="304" w:type="pct"/>
            <w:shd w:val="clear" w:color="auto" w:fill="auto"/>
            <w:vAlign w:val="center"/>
          </w:tcPr>
          <w:p w14:paraId="7FFE51EF">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4</w:t>
            </w:r>
          </w:p>
        </w:tc>
        <w:tc>
          <w:tcPr>
            <w:tcW w:w="544" w:type="pct"/>
            <w:shd w:val="clear" w:color="auto" w:fill="auto"/>
            <w:vAlign w:val="center"/>
          </w:tcPr>
          <w:p w14:paraId="26844ED7">
            <w:pPr>
              <w:jc w:val="center"/>
              <w:rPr>
                <w:rFonts w:ascii="仿宋" w:hAnsi="仿宋" w:eastAsia="仿宋"/>
                <w:sz w:val="18"/>
                <w:szCs w:val="18"/>
                <w:lang w:val="zh-CN"/>
              </w:rPr>
            </w:pPr>
            <w:r>
              <w:rPr>
                <w:rFonts w:hint="eastAsia" w:ascii="仿宋" w:hAnsi="仿宋" w:eastAsia="仿宋"/>
                <w:sz w:val="18"/>
                <w:szCs w:val="18"/>
              </w:rPr>
              <w:t>第三章</w:t>
            </w:r>
          </w:p>
          <w:p w14:paraId="24ED59F5">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rPr>
              <w:t>存货</w:t>
            </w:r>
          </w:p>
        </w:tc>
        <w:tc>
          <w:tcPr>
            <w:tcW w:w="998" w:type="pct"/>
            <w:shd w:val="clear" w:color="auto" w:fill="auto"/>
            <w:vAlign w:val="center"/>
          </w:tcPr>
          <w:p w14:paraId="43D9224C">
            <w:pPr>
              <w:rPr>
                <w:rFonts w:ascii="仿宋" w:hAnsi="仿宋" w:eastAsia="仿宋"/>
                <w:sz w:val="18"/>
                <w:szCs w:val="18"/>
              </w:rPr>
            </w:pPr>
            <w:r>
              <w:rPr>
                <w:rFonts w:ascii="仿宋" w:hAnsi="仿宋" w:eastAsia="仿宋"/>
                <w:sz w:val="18"/>
                <w:szCs w:val="18"/>
              </w:rPr>
              <w:t>1.</w:t>
            </w:r>
            <w:r>
              <w:rPr>
                <w:rFonts w:hint="eastAsia" w:ascii="仿宋" w:hAnsi="仿宋" w:eastAsia="仿宋"/>
                <w:sz w:val="18"/>
                <w:szCs w:val="18"/>
              </w:rPr>
              <w:t>存货的概念与种类</w:t>
            </w:r>
          </w:p>
          <w:p w14:paraId="34FCB37B">
            <w:pPr>
              <w:rPr>
                <w:rFonts w:ascii="仿宋" w:hAnsi="仿宋" w:eastAsia="仿宋"/>
                <w:sz w:val="18"/>
                <w:szCs w:val="18"/>
              </w:rPr>
            </w:pPr>
            <w:r>
              <w:rPr>
                <w:rFonts w:hint="eastAsia" w:ascii="仿宋" w:hAnsi="仿宋" w:eastAsia="仿宋"/>
                <w:sz w:val="18"/>
                <w:szCs w:val="18"/>
              </w:rPr>
              <w:t>2.原材料</w:t>
            </w:r>
          </w:p>
          <w:p w14:paraId="790DF3B2">
            <w:pPr>
              <w:rPr>
                <w:rFonts w:ascii="仿宋" w:hAnsi="仿宋" w:eastAsia="仿宋"/>
                <w:sz w:val="18"/>
                <w:szCs w:val="18"/>
              </w:rPr>
            </w:pPr>
            <w:r>
              <w:rPr>
                <w:rFonts w:hint="eastAsia" w:ascii="仿宋" w:hAnsi="仿宋" w:eastAsia="仿宋"/>
                <w:sz w:val="18"/>
                <w:szCs w:val="18"/>
              </w:rPr>
              <w:t>3.库存商品</w:t>
            </w:r>
          </w:p>
          <w:p w14:paraId="71067D47">
            <w:pPr>
              <w:rPr>
                <w:rFonts w:ascii="仿宋" w:hAnsi="仿宋" w:eastAsia="仿宋"/>
                <w:sz w:val="18"/>
                <w:szCs w:val="18"/>
              </w:rPr>
            </w:pPr>
            <w:r>
              <w:rPr>
                <w:rFonts w:hint="eastAsia" w:ascii="仿宋" w:hAnsi="仿宋" w:eastAsia="仿宋"/>
                <w:sz w:val="18"/>
                <w:szCs w:val="18"/>
              </w:rPr>
              <w:t>4.其他存货</w:t>
            </w:r>
          </w:p>
          <w:p w14:paraId="3DAFDBD6">
            <w:pPr>
              <w:rPr>
                <w:rFonts w:ascii="仿宋" w:hAnsi="仿宋" w:eastAsia="仿宋"/>
                <w:sz w:val="18"/>
                <w:szCs w:val="18"/>
              </w:rPr>
            </w:pPr>
            <w:r>
              <w:rPr>
                <w:rFonts w:hint="eastAsia" w:ascii="仿宋" w:hAnsi="仿宋" w:eastAsia="仿宋"/>
                <w:sz w:val="18"/>
                <w:szCs w:val="18"/>
              </w:rPr>
              <w:t>5.存货清查结果和存货估价</w:t>
            </w:r>
          </w:p>
          <w:p w14:paraId="6A877E08">
            <w:pPr>
              <w:rPr>
                <w:rFonts w:ascii="仿宋" w:hAnsi="仿宋" w:eastAsia="仿宋"/>
                <w:sz w:val="18"/>
                <w:szCs w:val="18"/>
              </w:rPr>
            </w:pPr>
            <w:r>
              <w:rPr>
                <w:rFonts w:ascii="仿宋" w:hAnsi="仿宋" w:eastAsia="仿宋"/>
                <w:sz w:val="18"/>
                <w:szCs w:val="18"/>
              </w:rPr>
              <w:t>6</w:t>
            </w:r>
            <w:r>
              <w:rPr>
                <w:rFonts w:hint="eastAsia" w:ascii="仿宋" w:hAnsi="仿宋" w:eastAsia="仿宋"/>
                <w:sz w:val="18"/>
                <w:szCs w:val="18"/>
              </w:rPr>
              <w:t>.存货的期末计量</w:t>
            </w:r>
          </w:p>
        </w:tc>
        <w:tc>
          <w:tcPr>
            <w:tcW w:w="303" w:type="pct"/>
            <w:vAlign w:val="center"/>
          </w:tcPr>
          <w:p w14:paraId="4EC32975">
            <w:pPr>
              <w:suppressAutoHyphens/>
              <w:spacing w:before="156" w:beforeLines="50" w:after="156" w:afterLines="50" w:line="276" w:lineRule="auto"/>
              <w:jc w:val="center"/>
              <w:rPr>
                <w:rFonts w:eastAsia="仿宋"/>
                <w:b/>
                <w:spacing w:val="-3"/>
                <w:sz w:val="24"/>
                <w:lang w:val="en-GB"/>
              </w:rPr>
            </w:pPr>
            <w:r>
              <w:rPr>
                <w:rFonts w:ascii="仿宋" w:hAnsi="仿宋" w:eastAsia="仿宋"/>
                <w:sz w:val="18"/>
                <w:szCs w:val="18"/>
                <w:lang w:val="zh-CN"/>
              </w:rPr>
              <w:t>2</w:t>
            </w:r>
          </w:p>
        </w:tc>
        <w:tc>
          <w:tcPr>
            <w:tcW w:w="1198" w:type="pct"/>
            <w:vAlign w:val="center"/>
          </w:tcPr>
          <w:p w14:paraId="49EDB31A">
            <w:pPr>
              <w:jc w:val="left"/>
              <w:rPr>
                <w:rFonts w:ascii="仿宋" w:hAnsi="仿宋" w:eastAsia="仿宋"/>
                <w:sz w:val="18"/>
                <w:szCs w:val="18"/>
                <w:lang w:val="zh-CN"/>
              </w:rPr>
            </w:pPr>
            <w:r>
              <w:rPr>
                <w:rFonts w:hint="eastAsia" w:ascii="仿宋" w:hAnsi="仿宋" w:eastAsia="仿宋"/>
                <w:sz w:val="18"/>
                <w:szCs w:val="18"/>
                <w:lang w:val="zh-CN"/>
              </w:rPr>
              <w:t>重点：存货</w:t>
            </w:r>
            <w:r>
              <w:rPr>
                <w:rFonts w:ascii="仿宋" w:hAnsi="仿宋" w:eastAsia="仿宋"/>
                <w:sz w:val="18"/>
                <w:szCs w:val="18"/>
                <w:lang w:val="zh-CN"/>
              </w:rPr>
              <w:t>的核算</w:t>
            </w:r>
          </w:p>
          <w:p w14:paraId="4A36EFA1">
            <w:pPr>
              <w:spacing w:before="156" w:beforeLines="50" w:after="156" w:afterLines="50"/>
              <w:jc w:val="left"/>
              <w:rPr>
                <w:rFonts w:ascii="仿宋" w:hAnsi="仿宋" w:eastAsia="仿宋"/>
                <w:sz w:val="18"/>
                <w:szCs w:val="18"/>
                <w:lang w:val="zh-CN"/>
              </w:rPr>
            </w:pPr>
            <w:r>
              <w:rPr>
                <w:rFonts w:hint="eastAsia" w:ascii="仿宋" w:hAnsi="仿宋" w:eastAsia="仿宋"/>
                <w:sz w:val="18"/>
                <w:szCs w:val="18"/>
                <w:lang w:val="zh-CN"/>
              </w:rPr>
              <w:t>难点：存货</w:t>
            </w:r>
            <w:r>
              <w:rPr>
                <w:rFonts w:ascii="仿宋" w:hAnsi="仿宋" w:eastAsia="仿宋"/>
                <w:sz w:val="18"/>
                <w:szCs w:val="18"/>
                <w:lang w:val="zh-CN"/>
              </w:rPr>
              <w:t>的期末计量</w:t>
            </w:r>
          </w:p>
          <w:p w14:paraId="755D151D">
            <w:pPr>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rPr>
              <w:t>课程思政：结合存货知识讲述存货对目前我国政府供给侧结构性改革的作用，进而引出存货对我国经济良性发展的重要作用。</w:t>
            </w:r>
          </w:p>
        </w:tc>
        <w:tc>
          <w:tcPr>
            <w:tcW w:w="551" w:type="pct"/>
            <w:vAlign w:val="center"/>
          </w:tcPr>
          <w:p w14:paraId="0CD38896">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课堂面授</w:t>
            </w:r>
          </w:p>
        </w:tc>
        <w:tc>
          <w:tcPr>
            <w:tcW w:w="551" w:type="pct"/>
            <w:vAlign w:val="center"/>
          </w:tcPr>
          <w:p w14:paraId="56866CB2">
            <w:pPr>
              <w:suppressAutoHyphens/>
              <w:spacing w:before="156" w:beforeLines="50" w:after="156" w:afterLines="50" w:line="276" w:lineRule="auto"/>
              <w:rPr>
                <w:rFonts w:eastAsia="仿宋"/>
                <w:b/>
                <w:spacing w:val="-3"/>
                <w:sz w:val="24"/>
                <w:lang w:val="en-GB"/>
              </w:rPr>
            </w:pPr>
            <w:r>
              <w:rPr>
                <w:rFonts w:hint="eastAsia" w:eastAsia="仿宋"/>
                <w:bCs/>
                <w:spacing w:val="-3"/>
                <w:sz w:val="24"/>
                <w:lang w:val="en-GB"/>
              </w:rPr>
              <w:t>作业、平时测验、期末考试</w:t>
            </w:r>
          </w:p>
        </w:tc>
        <w:tc>
          <w:tcPr>
            <w:tcW w:w="551" w:type="pct"/>
            <w:vAlign w:val="center"/>
          </w:tcPr>
          <w:p w14:paraId="40839305">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课程目标2</w:t>
            </w:r>
          </w:p>
        </w:tc>
      </w:tr>
      <w:tr w14:paraId="5BE14CDB">
        <w:trPr>
          <w:jc w:val="center"/>
        </w:trPr>
        <w:tc>
          <w:tcPr>
            <w:tcW w:w="304" w:type="pct"/>
            <w:shd w:val="clear" w:color="auto" w:fill="auto"/>
            <w:vAlign w:val="center"/>
          </w:tcPr>
          <w:p w14:paraId="53D1ACD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5</w:t>
            </w:r>
          </w:p>
        </w:tc>
        <w:tc>
          <w:tcPr>
            <w:tcW w:w="544" w:type="pct"/>
            <w:shd w:val="clear" w:color="auto" w:fill="auto"/>
            <w:vAlign w:val="center"/>
          </w:tcPr>
          <w:p w14:paraId="2B92597B">
            <w:pPr>
              <w:jc w:val="center"/>
              <w:rPr>
                <w:rFonts w:ascii="仿宋" w:hAnsi="仿宋" w:eastAsia="仿宋"/>
                <w:sz w:val="18"/>
                <w:szCs w:val="18"/>
                <w:lang w:val="zh-CN"/>
              </w:rPr>
            </w:pPr>
            <w:r>
              <w:rPr>
                <w:rFonts w:hint="eastAsia" w:ascii="仿宋" w:hAnsi="仿宋" w:eastAsia="仿宋"/>
                <w:sz w:val="18"/>
                <w:szCs w:val="18"/>
              </w:rPr>
              <w:t>第三章</w:t>
            </w:r>
          </w:p>
          <w:p w14:paraId="4B1593D2">
            <w:pPr>
              <w:jc w:val="center"/>
              <w:rPr>
                <w:rFonts w:ascii="仿宋" w:hAnsi="仿宋" w:eastAsia="仿宋"/>
                <w:sz w:val="18"/>
                <w:szCs w:val="18"/>
                <w:lang w:val="zh-CN"/>
              </w:rPr>
            </w:pPr>
            <w:r>
              <w:rPr>
                <w:rFonts w:hint="eastAsia" w:ascii="仿宋" w:hAnsi="仿宋" w:eastAsia="仿宋"/>
                <w:sz w:val="18"/>
                <w:szCs w:val="18"/>
              </w:rPr>
              <w:t>存货</w:t>
            </w:r>
          </w:p>
        </w:tc>
        <w:tc>
          <w:tcPr>
            <w:tcW w:w="998" w:type="pct"/>
            <w:shd w:val="clear" w:color="auto" w:fill="auto"/>
            <w:vAlign w:val="center"/>
          </w:tcPr>
          <w:p w14:paraId="5B24EE76">
            <w:pPr>
              <w:suppressAutoHyphens/>
              <w:spacing w:before="156" w:beforeLines="50" w:after="156" w:afterLines="50" w:line="276" w:lineRule="auto"/>
              <w:jc w:val="left"/>
              <w:rPr>
                <w:rFonts w:eastAsia="仿宋"/>
                <w:b/>
                <w:spacing w:val="-3"/>
                <w:sz w:val="24"/>
                <w:lang w:val="en-GB"/>
              </w:rPr>
            </w:pPr>
            <w:r>
              <w:rPr>
                <w:rFonts w:hint="eastAsia" w:ascii="仿宋" w:hAnsi="仿宋" w:eastAsia="仿宋"/>
                <w:sz w:val="18"/>
                <w:szCs w:val="18"/>
                <w:lang w:val="zh-CN"/>
              </w:rPr>
              <w:t>实验</w:t>
            </w:r>
            <w:r>
              <w:rPr>
                <w:rFonts w:ascii="仿宋" w:hAnsi="仿宋" w:eastAsia="仿宋"/>
                <w:sz w:val="18"/>
                <w:szCs w:val="18"/>
                <w:lang w:val="zh-CN"/>
              </w:rPr>
              <w:t>2</w:t>
            </w:r>
            <w:r>
              <w:rPr>
                <w:rFonts w:hint="eastAsia" w:ascii="仿宋" w:hAnsi="仿宋" w:eastAsia="仿宋"/>
                <w:sz w:val="18"/>
                <w:szCs w:val="18"/>
                <w:lang w:val="zh-CN"/>
              </w:rPr>
              <w:t>：</w:t>
            </w:r>
            <w:r>
              <w:rPr>
                <w:rFonts w:hint="eastAsia" w:ascii="仿宋" w:hAnsi="仿宋" w:eastAsia="仿宋"/>
                <w:sz w:val="18"/>
                <w:szCs w:val="18"/>
              </w:rPr>
              <w:t>存货业务核算</w:t>
            </w:r>
          </w:p>
        </w:tc>
        <w:tc>
          <w:tcPr>
            <w:tcW w:w="303" w:type="pct"/>
            <w:vAlign w:val="center"/>
          </w:tcPr>
          <w:p w14:paraId="09538869">
            <w:pPr>
              <w:suppressAutoHyphens/>
              <w:spacing w:before="156" w:beforeLines="50" w:after="156" w:afterLines="50" w:line="276" w:lineRule="auto"/>
              <w:jc w:val="center"/>
              <w:rPr>
                <w:rFonts w:eastAsia="仿宋"/>
                <w:b/>
                <w:spacing w:val="-3"/>
                <w:sz w:val="24"/>
                <w:lang w:val="en-GB"/>
              </w:rPr>
            </w:pPr>
            <w:r>
              <w:rPr>
                <w:rFonts w:ascii="仿宋" w:hAnsi="仿宋" w:eastAsia="仿宋"/>
                <w:sz w:val="18"/>
                <w:szCs w:val="18"/>
                <w:lang w:val="zh-CN"/>
              </w:rPr>
              <w:t>4</w:t>
            </w:r>
          </w:p>
        </w:tc>
        <w:tc>
          <w:tcPr>
            <w:tcW w:w="1198" w:type="pct"/>
            <w:vAlign w:val="center"/>
          </w:tcPr>
          <w:p w14:paraId="7C0E532F">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掌握存货的</w:t>
            </w:r>
            <w:r>
              <w:rPr>
                <w:rFonts w:ascii="仿宋" w:hAnsi="仿宋" w:eastAsia="仿宋"/>
                <w:sz w:val="18"/>
                <w:szCs w:val="18"/>
                <w:lang w:val="zh-CN"/>
              </w:rPr>
              <w:t>确认和计量</w:t>
            </w:r>
          </w:p>
        </w:tc>
        <w:tc>
          <w:tcPr>
            <w:tcW w:w="551" w:type="pct"/>
            <w:vAlign w:val="center"/>
          </w:tcPr>
          <w:p w14:paraId="77E42F2D">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实训</w:t>
            </w:r>
          </w:p>
        </w:tc>
        <w:tc>
          <w:tcPr>
            <w:tcW w:w="551" w:type="pct"/>
            <w:vAlign w:val="center"/>
          </w:tcPr>
          <w:p w14:paraId="37164114">
            <w:pPr>
              <w:suppressAutoHyphens/>
              <w:spacing w:before="156" w:beforeLines="50" w:after="156" w:afterLines="50" w:line="276" w:lineRule="auto"/>
              <w:rPr>
                <w:rFonts w:eastAsia="仿宋"/>
                <w:bCs/>
                <w:spacing w:val="-3"/>
                <w:sz w:val="24"/>
                <w:lang w:val="en-GB"/>
              </w:rPr>
            </w:pPr>
            <w:r>
              <w:rPr>
                <w:rFonts w:hint="eastAsia" w:eastAsia="仿宋"/>
                <w:bCs/>
                <w:spacing w:val="-3"/>
                <w:sz w:val="24"/>
                <w:lang w:val="en-GB"/>
              </w:rPr>
              <w:t>课堂实验</w:t>
            </w:r>
          </w:p>
        </w:tc>
        <w:tc>
          <w:tcPr>
            <w:tcW w:w="551" w:type="pct"/>
            <w:vAlign w:val="center"/>
          </w:tcPr>
          <w:p w14:paraId="4DF431FD">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w:t>
            </w:r>
            <w:r>
              <w:rPr>
                <w:rFonts w:ascii="仿宋" w:hAnsi="仿宋" w:eastAsia="仿宋"/>
                <w:color w:val="000000"/>
                <w:kern w:val="0"/>
                <w:sz w:val="24"/>
              </w:rPr>
              <w:t>3</w:t>
            </w:r>
          </w:p>
        </w:tc>
      </w:tr>
      <w:tr w14:paraId="7600CA52">
        <w:trPr>
          <w:jc w:val="center"/>
        </w:trPr>
        <w:tc>
          <w:tcPr>
            <w:tcW w:w="304" w:type="pct"/>
            <w:shd w:val="clear" w:color="auto" w:fill="auto"/>
            <w:vAlign w:val="center"/>
          </w:tcPr>
          <w:p w14:paraId="4A69008E">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6</w:t>
            </w:r>
          </w:p>
        </w:tc>
        <w:tc>
          <w:tcPr>
            <w:tcW w:w="544" w:type="pct"/>
            <w:shd w:val="clear" w:color="auto" w:fill="auto"/>
            <w:vAlign w:val="center"/>
          </w:tcPr>
          <w:p w14:paraId="66C239C3">
            <w:pPr>
              <w:jc w:val="center"/>
              <w:rPr>
                <w:rFonts w:ascii="仿宋" w:hAnsi="仿宋" w:eastAsia="仿宋"/>
                <w:sz w:val="18"/>
                <w:szCs w:val="18"/>
                <w:lang w:val="zh-CN"/>
              </w:rPr>
            </w:pPr>
            <w:r>
              <w:rPr>
                <w:rFonts w:hint="eastAsia" w:ascii="仿宋" w:hAnsi="仿宋" w:eastAsia="仿宋"/>
                <w:sz w:val="18"/>
                <w:szCs w:val="18"/>
                <w:lang w:val="zh-CN"/>
              </w:rPr>
              <w:t>第四章</w:t>
            </w:r>
          </w:p>
          <w:p w14:paraId="613B843D">
            <w:pPr>
              <w:jc w:val="center"/>
              <w:rPr>
                <w:rFonts w:ascii="仿宋" w:hAnsi="仿宋" w:eastAsia="仿宋"/>
                <w:sz w:val="18"/>
                <w:szCs w:val="18"/>
                <w:lang w:val="zh-CN"/>
              </w:rPr>
            </w:pPr>
            <w:r>
              <w:rPr>
                <w:rFonts w:hint="eastAsia" w:ascii="仿宋" w:hAnsi="仿宋" w:eastAsia="仿宋"/>
                <w:sz w:val="18"/>
                <w:szCs w:val="18"/>
              </w:rPr>
              <w:t>金融资产</w:t>
            </w:r>
          </w:p>
        </w:tc>
        <w:tc>
          <w:tcPr>
            <w:tcW w:w="998" w:type="pct"/>
            <w:shd w:val="clear" w:color="auto" w:fill="auto"/>
            <w:vAlign w:val="center"/>
          </w:tcPr>
          <w:p w14:paraId="6C6D1944">
            <w:pPr>
              <w:suppressAutoHyphens/>
              <w:spacing w:line="276" w:lineRule="auto"/>
              <w:jc w:val="left"/>
              <w:rPr>
                <w:rFonts w:ascii="仿宋" w:hAnsi="仿宋" w:eastAsia="仿宋"/>
                <w:sz w:val="18"/>
                <w:szCs w:val="18"/>
              </w:rPr>
            </w:pPr>
            <w:r>
              <w:rPr>
                <w:rFonts w:hint="eastAsia" w:ascii="仿宋" w:hAnsi="仿宋" w:eastAsia="仿宋"/>
                <w:sz w:val="18"/>
                <w:szCs w:val="18"/>
              </w:rPr>
              <w:t>1.金融资产的概念与种类</w:t>
            </w:r>
          </w:p>
          <w:p w14:paraId="0A97A95D">
            <w:pPr>
              <w:suppressAutoHyphens/>
              <w:spacing w:line="276" w:lineRule="auto"/>
              <w:jc w:val="left"/>
              <w:rPr>
                <w:rFonts w:ascii="仿宋" w:hAnsi="仿宋" w:eastAsia="仿宋"/>
                <w:sz w:val="18"/>
                <w:szCs w:val="18"/>
              </w:rPr>
            </w:pPr>
            <w:r>
              <w:rPr>
                <w:rFonts w:hint="eastAsia" w:ascii="仿宋" w:hAnsi="仿宋" w:eastAsia="仿宋"/>
                <w:sz w:val="18"/>
                <w:szCs w:val="18"/>
              </w:rPr>
              <w:t>2.债权投资</w:t>
            </w:r>
          </w:p>
          <w:p w14:paraId="1A12A711">
            <w:pPr>
              <w:suppressAutoHyphens/>
              <w:spacing w:line="276" w:lineRule="auto"/>
              <w:jc w:val="left"/>
              <w:rPr>
                <w:rFonts w:ascii="仿宋" w:hAnsi="仿宋" w:eastAsia="仿宋"/>
                <w:sz w:val="18"/>
                <w:szCs w:val="18"/>
              </w:rPr>
            </w:pPr>
            <w:r>
              <w:rPr>
                <w:rFonts w:hint="eastAsia" w:ascii="仿宋" w:hAnsi="仿宋" w:eastAsia="仿宋"/>
                <w:sz w:val="18"/>
                <w:szCs w:val="18"/>
              </w:rPr>
              <w:t>3.其他债权投资4.交易性金融资产</w:t>
            </w:r>
          </w:p>
          <w:p w14:paraId="5B9B6486">
            <w:pPr>
              <w:suppressAutoHyphens/>
              <w:spacing w:line="276" w:lineRule="auto"/>
              <w:jc w:val="left"/>
              <w:rPr>
                <w:rFonts w:ascii="仿宋" w:hAnsi="仿宋" w:eastAsia="仿宋"/>
                <w:sz w:val="18"/>
                <w:szCs w:val="18"/>
              </w:rPr>
            </w:pPr>
            <w:r>
              <w:rPr>
                <w:rFonts w:hint="eastAsia" w:ascii="仿宋" w:hAnsi="仿宋" w:eastAsia="仿宋"/>
                <w:sz w:val="18"/>
                <w:szCs w:val="18"/>
              </w:rPr>
              <w:t>5.其他权益工具投资</w:t>
            </w:r>
          </w:p>
          <w:p w14:paraId="4AACD797">
            <w:pPr>
              <w:suppressAutoHyphens/>
              <w:spacing w:line="276" w:lineRule="auto"/>
              <w:jc w:val="left"/>
              <w:rPr>
                <w:rFonts w:ascii="仿宋" w:hAnsi="仿宋" w:eastAsia="仿宋"/>
                <w:sz w:val="18"/>
                <w:szCs w:val="18"/>
              </w:rPr>
            </w:pPr>
            <w:r>
              <w:rPr>
                <w:rFonts w:hint="eastAsia" w:ascii="仿宋" w:hAnsi="仿宋" w:eastAsia="仿宋"/>
                <w:sz w:val="18"/>
                <w:szCs w:val="18"/>
              </w:rPr>
              <w:t>6.金融资产减值</w:t>
            </w:r>
          </w:p>
          <w:p w14:paraId="43CDB194">
            <w:pPr>
              <w:suppressAutoHyphens/>
              <w:spacing w:line="276" w:lineRule="auto"/>
              <w:jc w:val="left"/>
              <w:rPr>
                <w:rFonts w:ascii="仿宋" w:hAnsi="仿宋" w:eastAsia="仿宋"/>
                <w:sz w:val="18"/>
                <w:szCs w:val="18"/>
              </w:rPr>
            </w:pPr>
            <w:r>
              <w:rPr>
                <w:rFonts w:hint="eastAsia" w:ascii="仿宋" w:hAnsi="仿宋" w:eastAsia="仿宋"/>
                <w:sz w:val="18"/>
                <w:szCs w:val="18"/>
              </w:rPr>
              <w:t>7.金融资产重分类</w:t>
            </w:r>
          </w:p>
        </w:tc>
        <w:tc>
          <w:tcPr>
            <w:tcW w:w="303" w:type="pct"/>
            <w:vAlign w:val="center"/>
          </w:tcPr>
          <w:p w14:paraId="6945B28A">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12</w:t>
            </w:r>
          </w:p>
        </w:tc>
        <w:tc>
          <w:tcPr>
            <w:tcW w:w="1198" w:type="pct"/>
            <w:vAlign w:val="center"/>
          </w:tcPr>
          <w:p w14:paraId="03115B90">
            <w:pPr>
              <w:jc w:val="left"/>
              <w:rPr>
                <w:rFonts w:ascii="仿宋" w:hAnsi="仿宋" w:eastAsia="仿宋"/>
                <w:sz w:val="18"/>
                <w:szCs w:val="18"/>
                <w:lang w:val="zh-CN"/>
              </w:rPr>
            </w:pPr>
            <w:r>
              <w:rPr>
                <w:rFonts w:hint="eastAsia" w:ascii="仿宋" w:hAnsi="仿宋" w:eastAsia="仿宋"/>
                <w:sz w:val="18"/>
                <w:szCs w:val="18"/>
                <w:lang w:val="zh-CN"/>
              </w:rPr>
              <w:t>重点：金融资产</w:t>
            </w:r>
            <w:r>
              <w:rPr>
                <w:rFonts w:ascii="仿宋" w:hAnsi="仿宋" w:eastAsia="仿宋"/>
                <w:sz w:val="18"/>
                <w:szCs w:val="18"/>
                <w:lang w:val="zh-CN"/>
              </w:rPr>
              <w:t>的核算</w:t>
            </w:r>
          </w:p>
          <w:p w14:paraId="51AB1487">
            <w:pPr>
              <w:spacing w:before="156" w:beforeLines="50" w:after="156" w:afterLines="50"/>
              <w:jc w:val="left"/>
              <w:rPr>
                <w:rFonts w:ascii="仿宋" w:hAnsi="仿宋" w:eastAsia="仿宋"/>
                <w:sz w:val="18"/>
                <w:szCs w:val="18"/>
                <w:lang w:val="zh-CN"/>
              </w:rPr>
            </w:pPr>
            <w:r>
              <w:rPr>
                <w:rFonts w:hint="eastAsia" w:ascii="仿宋" w:hAnsi="仿宋" w:eastAsia="仿宋"/>
                <w:sz w:val="18"/>
                <w:szCs w:val="18"/>
                <w:lang w:val="zh-CN"/>
              </w:rPr>
              <w:t>难点：债权</w:t>
            </w:r>
            <w:r>
              <w:rPr>
                <w:rFonts w:ascii="仿宋" w:hAnsi="仿宋" w:eastAsia="仿宋"/>
                <w:sz w:val="18"/>
                <w:szCs w:val="18"/>
                <w:lang w:val="zh-CN"/>
              </w:rPr>
              <w:t>投资</w:t>
            </w:r>
            <w:r>
              <w:rPr>
                <w:rFonts w:hint="eastAsia" w:ascii="仿宋" w:hAnsi="仿宋" w:eastAsia="仿宋"/>
                <w:sz w:val="18"/>
                <w:szCs w:val="18"/>
                <w:lang w:val="zh-CN"/>
              </w:rPr>
              <w:t>\其他</w:t>
            </w:r>
            <w:r>
              <w:rPr>
                <w:rFonts w:ascii="仿宋" w:hAnsi="仿宋" w:eastAsia="仿宋"/>
                <w:sz w:val="18"/>
                <w:szCs w:val="18"/>
                <w:lang w:val="zh-CN"/>
              </w:rPr>
              <w:t>债权投资摊余成本的核算；</w:t>
            </w:r>
          </w:p>
          <w:p w14:paraId="30FC46A3">
            <w:pPr>
              <w:jc w:val="left"/>
              <w:rPr>
                <w:rFonts w:ascii="仿宋" w:hAnsi="仿宋" w:eastAsia="仿宋"/>
                <w:sz w:val="18"/>
                <w:szCs w:val="18"/>
                <w:lang w:val="zh-CN"/>
              </w:rPr>
            </w:pPr>
            <w:r>
              <w:rPr>
                <w:rFonts w:hint="eastAsia" w:ascii="仿宋" w:hAnsi="仿宋" w:eastAsia="仿宋"/>
                <w:sz w:val="18"/>
                <w:szCs w:val="18"/>
                <w:lang w:val="zh-CN"/>
              </w:rPr>
              <w:t>金融资产减值</w:t>
            </w:r>
            <w:r>
              <w:rPr>
                <w:rFonts w:ascii="仿宋" w:hAnsi="仿宋" w:eastAsia="仿宋"/>
                <w:sz w:val="18"/>
                <w:szCs w:val="18"/>
                <w:lang w:val="zh-CN"/>
              </w:rPr>
              <w:t>核算。</w:t>
            </w:r>
          </w:p>
          <w:p w14:paraId="026029C7">
            <w:pPr>
              <w:jc w:val="left"/>
              <w:rPr>
                <w:rFonts w:ascii="仿宋" w:hAnsi="仿宋" w:eastAsia="仿宋"/>
                <w:sz w:val="18"/>
                <w:szCs w:val="18"/>
                <w:lang w:val="zh-CN"/>
              </w:rPr>
            </w:pPr>
            <w:r>
              <w:rPr>
                <w:rFonts w:hint="eastAsia" w:ascii="仿宋" w:hAnsi="仿宋" w:eastAsia="仿宋"/>
                <w:sz w:val="18"/>
                <w:szCs w:val="18"/>
              </w:rPr>
              <w:t>课程思政：结合金融工具会计准则修订历程，讲述我国人民四个自信的树立案例。同时，准则的修订也体现了我国坚持改革开放的基本国策，强化学生爱国意识。</w:t>
            </w:r>
          </w:p>
        </w:tc>
        <w:tc>
          <w:tcPr>
            <w:tcW w:w="551" w:type="pct"/>
            <w:vAlign w:val="center"/>
          </w:tcPr>
          <w:p w14:paraId="3FDCE40F">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课堂面授</w:t>
            </w:r>
          </w:p>
        </w:tc>
        <w:tc>
          <w:tcPr>
            <w:tcW w:w="551" w:type="pct"/>
            <w:vAlign w:val="center"/>
          </w:tcPr>
          <w:p w14:paraId="687A364D">
            <w:pPr>
              <w:suppressAutoHyphens/>
              <w:spacing w:before="156" w:beforeLines="50" w:after="156" w:afterLines="50" w:line="276" w:lineRule="auto"/>
              <w:rPr>
                <w:rFonts w:eastAsia="仿宋"/>
                <w:b/>
                <w:spacing w:val="-3"/>
                <w:sz w:val="24"/>
                <w:lang w:val="en-GB"/>
              </w:rPr>
            </w:pPr>
            <w:r>
              <w:rPr>
                <w:rFonts w:hint="eastAsia" w:eastAsia="仿宋"/>
                <w:bCs/>
                <w:spacing w:val="-3"/>
                <w:sz w:val="24"/>
                <w:lang w:val="en-GB"/>
              </w:rPr>
              <w:t>作业、平时测验、期末考试</w:t>
            </w:r>
          </w:p>
        </w:tc>
        <w:tc>
          <w:tcPr>
            <w:tcW w:w="551" w:type="pct"/>
            <w:vAlign w:val="center"/>
          </w:tcPr>
          <w:p w14:paraId="71F2F82D">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w:t>
            </w:r>
            <w:r>
              <w:rPr>
                <w:rFonts w:ascii="仿宋" w:hAnsi="仿宋" w:eastAsia="仿宋"/>
                <w:color w:val="000000"/>
                <w:kern w:val="0"/>
                <w:sz w:val="24"/>
              </w:rPr>
              <w:t>2</w:t>
            </w:r>
          </w:p>
        </w:tc>
      </w:tr>
      <w:tr w14:paraId="2AF3A62A">
        <w:trPr>
          <w:jc w:val="center"/>
        </w:trPr>
        <w:tc>
          <w:tcPr>
            <w:tcW w:w="304" w:type="pct"/>
            <w:shd w:val="clear" w:color="auto" w:fill="auto"/>
            <w:vAlign w:val="center"/>
          </w:tcPr>
          <w:p w14:paraId="44189267">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7</w:t>
            </w:r>
          </w:p>
        </w:tc>
        <w:tc>
          <w:tcPr>
            <w:tcW w:w="544" w:type="pct"/>
            <w:shd w:val="clear" w:color="auto" w:fill="auto"/>
            <w:vAlign w:val="center"/>
          </w:tcPr>
          <w:p w14:paraId="5E11540D">
            <w:pPr>
              <w:jc w:val="center"/>
              <w:rPr>
                <w:rFonts w:ascii="仿宋" w:hAnsi="仿宋" w:eastAsia="仿宋"/>
                <w:sz w:val="18"/>
                <w:szCs w:val="18"/>
                <w:lang w:val="zh-CN"/>
              </w:rPr>
            </w:pPr>
            <w:r>
              <w:rPr>
                <w:rFonts w:hint="eastAsia" w:ascii="仿宋" w:hAnsi="仿宋" w:eastAsia="仿宋"/>
                <w:sz w:val="18"/>
                <w:szCs w:val="18"/>
                <w:lang w:val="zh-CN"/>
              </w:rPr>
              <w:t>第五章</w:t>
            </w:r>
          </w:p>
          <w:p w14:paraId="22E4799D">
            <w:pPr>
              <w:jc w:val="center"/>
              <w:rPr>
                <w:rFonts w:ascii="仿宋" w:hAnsi="仿宋" w:eastAsia="仿宋"/>
                <w:sz w:val="18"/>
                <w:szCs w:val="18"/>
                <w:lang w:val="zh-CN"/>
              </w:rPr>
            </w:pPr>
            <w:r>
              <w:rPr>
                <w:rFonts w:hint="eastAsia" w:ascii="仿宋" w:hAnsi="仿宋" w:eastAsia="仿宋"/>
                <w:sz w:val="18"/>
                <w:szCs w:val="18"/>
              </w:rPr>
              <w:t>长期股权投资</w:t>
            </w:r>
          </w:p>
        </w:tc>
        <w:tc>
          <w:tcPr>
            <w:tcW w:w="998" w:type="pct"/>
            <w:shd w:val="clear" w:color="auto" w:fill="auto"/>
            <w:vAlign w:val="center"/>
          </w:tcPr>
          <w:p w14:paraId="7CBE0732">
            <w:pPr>
              <w:rPr>
                <w:rFonts w:ascii="仿宋" w:hAnsi="仿宋" w:eastAsia="仿宋"/>
                <w:sz w:val="18"/>
                <w:szCs w:val="18"/>
              </w:rPr>
            </w:pPr>
            <w:r>
              <w:rPr>
                <w:rFonts w:hint="eastAsia" w:ascii="仿宋" w:hAnsi="仿宋" w:eastAsia="仿宋"/>
                <w:sz w:val="18"/>
                <w:szCs w:val="18"/>
              </w:rPr>
              <w:t>1</w:t>
            </w:r>
            <w:r>
              <w:rPr>
                <w:rFonts w:ascii="仿宋" w:hAnsi="仿宋" w:eastAsia="仿宋"/>
                <w:sz w:val="18"/>
                <w:szCs w:val="18"/>
              </w:rPr>
              <w:t>.</w:t>
            </w:r>
            <w:r>
              <w:rPr>
                <w:rFonts w:hint="eastAsia" w:ascii="仿宋" w:hAnsi="仿宋" w:eastAsia="仿宋"/>
                <w:sz w:val="18"/>
                <w:szCs w:val="18"/>
              </w:rPr>
              <w:t>长期股权投资的概念</w:t>
            </w:r>
          </w:p>
          <w:p w14:paraId="1718C40E">
            <w:pPr>
              <w:rPr>
                <w:rFonts w:ascii="仿宋" w:hAnsi="仿宋" w:eastAsia="仿宋"/>
                <w:sz w:val="18"/>
                <w:szCs w:val="18"/>
              </w:rPr>
            </w:pPr>
            <w:r>
              <w:rPr>
                <w:rFonts w:hint="eastAsia" w:ascii="仿宋" w:hAnsi="仿宋" w:eastAsia="仿宋"/>
                <w:sz w:val="18"/>
                <w:szCs w:val="18"/>
              </w:rPr>
              <w:t>2.长期股权投资的初始计量</w:t>
            </w:r>
          </w:p>
          <w:p w14:paraId="3AA4FA5C">
            <w:pPr>
              <w:rPr>
                <w:rFonts w:ascii="仿宋" w:hAnsi="仿宋" w:eastAsia="仿宋"/>
                <w:sz w:val="18"/>
                <w:szCs w:val="18"/>
              </w:rPr>
            </w:pPr>
            <w:r>
              <w:rPr>
                <w:rFonts w:hint="eastAsia" w:ascii="仿宋" w:hAnsi="仿宋" w:eastAsia="仿宋"/>
                <w:sz w:val="18"/>
                <w:szCs w:val="18"/>
              </w:rPr>
              <w:t>3.长期股权投资的后续计量</w:t>
            </w:r>
          </w:p>
          <w:p w14:paraId="6D109838">
            <w:pPr>
              <w:rPr>
                <w:rFonts w:ascii="仿宋" w:hAnsi="仿宋" w:eastAsia="仿宋"/>
                <w:sz w:val="18"/>
                <w:szCs w:val="18"/>
              </w:rPr>
            </w:pPr>
            <w:r>
              <w:rPr>
                <w:rFonts w:ascii="仿宋" w:hAnsi="仿宋" w:eastAsia="仿宋"/>
                <w:sz w:val="18"/>
                <w:szCs w:val="18"/>
              </w:rPr>
              <w:t>4.</w:t>
            </w:r>
            <w:r>
              <w:rPr>
                <w:rFonts w:hint="eastAsia" w:ascii="仿宋" w:hAnsi="仿宋" w:eastAsia="仿宋"/>
                <w:sz w:val="18"/>
                <w:szCs w:val="18"/>
              </w:rPr>
              <w:t>长期股权投资核算方法的</w:t>
            </w:r>
            <w:r>
              <w:rPr>
                <w:rFonts w:ascii="仿宋" w:hAnsi="仿宋" w:eastAsia="仿宋"/>
                <w:sz w:val="18"/>
                <w:szCs w:val="18"/>
              </w:rPr>
              <w:t>转换</w:t>
            </w:r>
            <w:r>
              <w:rPr>
                <w:rFonts w:hint="eastAsia" w:ascii="仿宋" w:hAnsi="仿宋" w:eastAsia="仿宋"/>
                <w:sz w:val="18"/>
                <w:szCs w:val="18"/>
              </w:rPr>
              <w:t>5.长期股权投资的减值</w:t>
            </w:r>
          </w:p>
          <w:p w14:paraId="256AD046">
            <w:pPr>
              <w:rPr>
                <w:rFonts w:ascii="仿宋" w:hAnsi="仿宋" w:eastAsia="仿宋"/>
                <w:sz w:val="18"/>
                <w:szCs w:val="18"/>
              </w:rPr>
            </w:pPr>
            <w:r>
              <w:rPr>
                <w:rFonts w:hint="eastAsia" w:ascii="仿宋" w:hAnsi="仿宋" w:eastAsia="仿宋"/>
                <w:sz w:val="18"/>
                <w:szCs w:val="18"/>
              </w:rPr>
              <w:t>6.长期股权投资</w:t>
            </w:r>
            <w:r>
              <w:rPr>
                <w:rFonts w:ascii="仿宋" w:hAnsi="仿宋" w:eastAsia="仿宋"/>
                <w:sz w:val="18"/>
                <w:szCs w:val="18"/>
              </w:rPr>
              <w:t>的</w:t>
            </w:r>
            <w:r>
              <w:rPr>
                <w:rFonts w:hint="eastAsia" w:ascii="仿宋" w:hAnsi="仿宋" w:eastAsia="仿宋"/>
                <w:sz w:val="18"/>
                <w:szCs w:val="18"/>
              </w:rPr>
              <w:t>置</w:t>
            </w:r>
          </w:p>
        </w:tc>
        <w:tc>
          <w:tcPr>
            <w:tcW w:w="303" w:type="pct"/>
            <w:vAlign w:val="center"/>
          </w:tcPr>
          <w:p w14:paraId="354EE08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8</w:t>
            </w:r>
          </w:p>
        </w:tc>
        <w:tc>
          <w:tcPr>
            <w:tcW w:w="1198" w:type="pct"/>
            <w:vAlign w:val="center"/>
          </w:tcPr>
          <w:p w14:paraId="62C90827">
            <w:pPr>
              <w:jc w:val="left"/>
              <w:rPr>
                <w:rFonts w:ascii="仿宋" w:hAnsi="仿宋" w:eastAsia="仿宋"/>
                <w:sz w:val="18"/>
                <w:szCs w:val="18"/>
                <w:lang w:val="zh-CN"/>
              </w:rPr>
            </w:pPr>
            <w:r>
              <w:rPr>
                <w:rFonts w:hint="eastAsia" w:ascii="仿宋" w:hAnsi="仿宋" w:eastAsia="仿宋"/>
                <w:sz w:val="18"/>
                <w:szCs w:val="18"/>
                <w:lang w:val="zh-CN"/>
              </w:rPr>
              <w:t>重点：长期</w:t>
            </w:r>
            <w:r>
              <w:rPr>
                <w:rFonts w:ascii="仿宋" w:hAnsi="仿宋" w:eastAsia="仿宋"/>
                <w:sz w:val="18"/>
                <w:szCs w:val="18"/>
                <w:lang w:val="zh-CN"/>
              </w:rPr>
              <w:t>股权投资的核算</w:t>
            </w:r>
          </w:p>
          <w:p w14:paraId="2CD9EE1E">
            <w:pPr>
              <w:spacing w:before="156" w:beforeLines="50" w:after="156" w:afterLines="50"/>
              <w:jc w:val="left"/>
              <w:rPr>
                <w:rFonts w:ascii="仿宋" w:hAnsi="仿宋" w:eastAsia="仿宋"/>
                <w:sz w:val="18"/>
                <w:szCs w:val="18"/>
                <w:lang w:val="zh-CN"/>
              </w:rPr>
            </w:pPr>
            <w:r>
              <w:rPr>
                <w:rFonts w:hint="eastAsia" w:ascii="仿宋" w:hAnsi="仿宋" w:eastAsia="仿宋"/>
                <w:sz w:val="18"/>
                <w:szCs w:val="18"/>
                <w:lang w:val="zh-CN"/>
              </w:rPr>
              <w:t>难点：长期</w:t>
            </w:r>
            <w:r>
              <w:rPr>
                <w:rFonts w:ascii="仿宋" w:hAnsi="仿宋" w:eastAsia="仿宋"/>
                <w:sz w:val="18"/>
                <w:szCs w:val="18"/>
                <w:lang w:val="zh-CN"/>
              </w:rPr>
              <w:t>股权投资权益法</w:t>
            </w:r>
          </w:p>
          <w:p w14:paraId="50D2B425">
            <w:pPr>
              <w:spacing w:before="156" w:beforeLines="50" w:after="156" w:afterLines="50"/>
              <w:jc w:val="left"/>
              <w:rPr>
                <w:rFonts w:ascii="仿宋" w:hAnsi="仿宋" w:eastAsia="仿宋"/>
                <w:sz w:val="18"/>
                <w:szCs w:val="18"/>
                <w:lang w:val="zh-CN"/>
              </w:rPr>
            </w:pPr>
            <w:r>
              <w:rPr>
                <w:rFonts w:hint="eastAsia" w:ascii="仿宋" w:hAnsi="仿宋" w:eastAsia="仿宋"/>
                <w:sz w:val="18"/>
                <w:szCs w:val="18"/>
              </w:rPr>
              <w:t>课程思政：结合长期股权投资会计准则，说明会计工作是国家经济管理工作的重要组成部分。会计工作应当积极为国家的经济体制改革服务，为国家实现经济体制改革的目标贡献力量，而不能墨守陈规、不求进步、拖改革发展的后腿。</w:t>
            </w:r>
          </w:p>
        </w:tc>
        <w:tc>
          <w:tcPr>
            <w:tcW w:w="551" w:type="pct"/>
            <w:vAlign w:val="center"/>
          </w:tcPr>
          <w:p w14:paraId="7F83A91D">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课堂面授</w:t>
            </w:r>
          </w:p>
          <w:p w14:paraId="0A42A4EF">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案例教学</w:t>
            </w:r>
          </w:p>
        </w:tc>
        <w:tc>
          <w:tcPr>
            <w:tcW w:w="551" w:type="pct"/>
            <w:vAlign w:val="center"/>
          </w:tcPr>
          <w:p w14:paraId="570ED50B">
            <w:pPr>
              <w:suppressAutoHyphens/>
              <w:spacing w:before="156" w:beforeLines="50" w:after="156" w:afterLines="50" w:line="276" w:lineRule="auto"/>
              <w:rPr>
                <w:rFonts w:eastAsia="仿宋"/>
                <w:b/>
                <w:spacing w:val="-3"/>
                <w:sz w:val="24"/>
                <w:lang w:val="en-GB"/>
              </w:rPr>
            </w:pPr>
            <w:r>
              <w:rPr>
                <w:rFonts w:hint="eastAsia" w:eastAsia="仿宋"/>
                <w:bCs/>
                <w:spacing w:val="-3"/>
                <w:sz w:val="24"/>
                <w:lang w:val="en-GB"/>
              </w:rPr>
              <w:t>作业、平时测验、期末考试</w:t>
            </w:r>
          </w:p>
        </w:tc>
        <w:tc>
          <w:tcPr>
            <w:tcW w:w="551" w:type="pct"/>
            <w:vAlign w:val="center"/>
          </w:tcPr>
          <w:p w14:paraId="464A651F">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w:t>
            </w:r>
            <w:r>
              <w:rPr>
                <w:rFonts w:ascii="仿宋" w:hAnsi="仿宋" w:eastAsia="仿宋"/>
                <w:color w:val="000000"/>
                <w:kern w:val="0"/>
                <w:sz w:val="24"/>
              </w:rPr>
              <w:t>2</w:t>
            </w:r>
          </w:p>
        </w:tc>
      </w:tr>
      <w:tr w14:paraId="12247638">
        <w:trPr>
          <w:jc w:val="center"/>
        </w:trPr>
        <w:tc>
          <w:tcPr>
            <w:tcW w:w="304" w:type="pct"/>
            <w:shd w:val="clear" w:color="auto" w:fill="auto"/>
            <w:vAlign w:val="center"/>
          </w:tcPr>
          <w:p w14:paraId="7AFD757F">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8</w:t>
            </w:r>
          </w:p>
        </w:tc>
        <w:tc>
          <w:tcPr>
            <w:tcW w:w="544" w:type="pct"/>
            <w:shd w:val="clear" w:color="auto" w:fill="auto"/>
            <w:vAlign w:val="center"/>
          </w:tcPr>
          <w:p w14:paraId="29947C53">
            <w:pPr>
              <w:jc w:val="center"/>
              <w:rPr>
                <w:rFonts w:ascii="仿宋" w:hAnsi="仿宋" w:eastAsia="仿宋"/>
                <w:sz w:val="18"/>
                <w:szCs w:val="18"/>
                <w:lang w:val="zh-CN"/>
              </w:rPr>
            </w:pPr>
            <w:r>
              <w:rPr>
                <w:rFonts w:hint="eastAsia" w:ascii="仿宋" w:hAnsi="仿宋" w:eastAsia="仿宋"/>
                <w:sz w:val="18"/>
                <w:szCs w:val="18"/>
                <w:lang w:val="zh-CN"/>
              </w:rPr>
              <w:t>第六章</w:t>
            </w:r>
          </w:p>
          <w:p w14:paraId="6F68373E">
            <w:pPr>
              <w:jc w:val="center"/>
              <w:rPr>
                <w:rFonts w:ascii="仿宋" w:hAnsi="仿宋" w:eastAsia="仿宋"/>
                <w:sz w:val="18"/>
                <w:szCs w:val="18"/>
                <w:lang w:val="zh-CN"/>
              </w:rPr>
            </w:pPr>
            <w:r>
              <w:rPr>
                <w:rFonts w:hint="eastAsia" w:ascii="仿宋" w:hAnsi="仿宋" w:eastAsia="仿宋"/>
                <w:sz w:val="18"/>
                <w:szCs w:val="18"/>
              </w:rPr>
              <w:t>固定资产和使用权资产</w:t>
            </w:r>
          </w:p>
        </w:tc>
        <w:tc>
          <w:tcPr>
            <w:tcW w:w="998" w:type="pct"/>
            <w:shd w:val="clear" w:color="auto" w:fill="auto"/>
            <w:vAlign w:val="center"/>
          </w:tcPr>
          <w:p w14:paraId="02C9B7E6">
            <w:pPr>
              <w:suppressAutoHyphens/>
              <w:spacing w:line="276" w:lineRule="auto"/>
              <w:jc w:val="left"/>
              <w:rPr>
                <w:rFonts w:ascii="仿宋" w:hAnsi="仿宋" w:eastAsia="仿宋"/>
                <w:sz w:val="18"/>
                <w:szCs w:val="18"/>
              </w:rPr>
            </w:pPr>
            <w:r>
              <w:rPr>
                <w:rFonts w:hint="eastAsia" w:ascii="仿宋" w:hAnsi="仿宋" w:eastAsia="仿宋"/>
                <w:sz w:val="18"/>
                <w:szCs w:val="18"/>
              </w:rPr>
              <w:t>1.固定资产的概念与种类</w:t>
            </w:r>
          </w:p>
          <w:p w14:paraId="5C06E64E">
            <w:pPr>
              <w:suppressAutoHyphens/>
              <w:spacing w:line="276" w:lineRule="auto"/>
              <w:jc w:val="left"/>
              <w:rPr>
                <w:rFonts w:ascii="仿宋" w:hAnsi="仿宋" w:eastAsia="仿宋"/>
                <w:sz w:val="18"/>
                <w:szCs w:val="18"/>
              </w:rPr>
            </w:pPr>
            <w:r>
              <w:rPr>
                <w:rFonts w:hint="eastAsia" w:ascii="仿宋" w:hAnsi="仿宋" w:eastAsia="仿宋"/>
                <w:sz w:val="18"/>
                <w:szCs w:val="18"/>
              </w:rPr>
              <w:t>2.固定资产</w:t>
            </w:r>
            <w:r>
              <w:rPr>
                <w:rFonts w:ascii="仿宋" w:hAnsi="仿宋" w:eastAsia="仿宋"/>
                <w:sz w:val="18"/>
                <w:szCs w:val="18"/>
              </w:rPr>
              <w:t>的取得</w:t>
            </w:r>
          </w:p>
          <w:p w14:paraId="4AC86165">
            <w:pPr>
              <w:suppressAutoHyphens/>
              <w:spacing w:line="276" w:lineRule="auto"/>
              <w:jc w:val="left"/>
              <w:rPr>
                <w:rFonts w:ascii="仿宋" w:hAnsi="仿宋" w:eastAsia="仿宋"/>
                <w:sz w:val="18"/>
                <w:szCs w:val="18"/>
              </w:rPr>
            </w:pPr>
            <w:r>
              <w:rPr>
                <w:rFonts w:hint="eastAsia" w:ascii="仿宋" w:hAnsi="仿宋" w:eastAsia="仿宋"/>
                <w:sz w:val="18"/>
                <w:szCs w:val="18"/>
              </w:rPr>
              <w:t>3.固定资产折旧的概念与方法。4.固定资产折旧</w:t>
            </w:r>
            <w:r>
              <w:rPr>
                <w:rFonts w:ascii="仿宋" w:hAnsi="仿宋" w:eastAsia="仿宋"/>
                <w:sz w:val="18"/>
                <w:szCs w:val="18"/>
              </w:rPr>
              <w:t>与减值</w:t>
            </w:r>
          </w:p>
          <w:p w14:paraId="036187B8">
            <w:pPr>
              <w:suppressAutoHyphens/>
              <w:spacing w:line="276" w:lineRule="auto"/>
              <w:jc w:val="left"/>
              <w:rPr>
                <w:rFonts w:ascii="仿宋" w:hAnsi="仿宋" w:eastAsia="仿宋"/>
                <w:sz w:val="18"/>
                <w:szCs w:val="18"/>
              </w:rPr>
            </w:pPr>
            <w:r>
              <w:rPr>
                <w:rFonts w:hint="eastAsia" w:ascii="仿宋" w:hAnsi="仿宋" w:eastAsia="仿宋"/>
                <w:sz w:val="18"/>
                <w:szCs w:val="18"/>
              </w:rPr>
              <w:t>5</w:t>
            </w:r>
            <w:r>
              <w:rPr>
                <w:rFonts w:ascii="仿宋" w:hAnsi="仿宋" w:eastAsia="仿宋"/>
                <w:sz w:val="18"/>
                <w:szCs w:val="18"/>
              </w:rPr>
              <w:t>.</w:t>
            </w:r>
            <w:r>
              <w:rPr>
                <w:rFonts w:hint="eastAsia" w:ascii="仿宋" w:hAnsi="仿宋" w:eastAsia="仿宋"/>
                <w:sz w:val="18"/>
                <w:szCs w:val="18"/>
              </w:rPr>
              <w:t>固定资产的后续支出</w:t>
            </w:r>
          </w:p>
          <w:p w14:paraId="41F06D4D">
            <w:pPr>
              <w:suppressAutoHyphens/>
              <w:spacing w:line="276" w:lineRule="auto"/>
              <w:jc w:val="left"/>
              <w:rPr>
                <w:rFonts w:ascii="仿宋" w:hAnsi="仿宋" w:eastAsia="仿宋"/>
                <w:sz w:val="18"/>
                <w:szCs w:val="18"/>
              </w:rPr>
            </w:pPr>
            <w:r>
              <w:rPr>
                <w:rFonts w:ascii="仿宋" w:hAnsi="仿宋" w:eastAsia="仿宋"/>
                <w:sz w:val="18"/>
                <w:szCs w:val="18"/>
              </w:rPr>
              <w:t>6</w:t>
            </w:r>
            <w:r>
              <w:rPr>
                <w:rFonts w:hint="eastAsia" w:ascii="仿宋" w:hAnsi="仿宋" w:eastAsia="仿宋"/>
                <w:sz w:val="18"/>
                <w:szCs w:val="18"/>
              </w:rPr>
              <w:t>固定资产的处置</w:t>
            </w:r>
          </w:p>
        </w:tc>
        <w:tc>
          <w:tcPr>
            <w:tcW w:w="303" w:type="pct"/>
            <w:vAlign w:val="center"/>
          </w:tcPr>
          <w:p w14:paraId="553FDE89">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8</w:t>
            </w:r>
          </w:p>
        </w:tc>
        <w:tc>
          <w:tcPr>
            <w:tcW w:w="1198" w:type="pct"/>
            <w:vAlign w:val="center"/>
          </w:tcPr>
          <w:p w14:paraId="2F125DBD">
            <w:pPr>
              <w:jc w:val="left"/>
              <w:rPr>
                <w:rFonts w:ascii="仿宋" w:hAnsi="仿宋" w:eastAsia="仿宋"/>
                <w:sz w:val="18"/>
                <w:szCs w:val="18"/>
                <w:lang w:val="zh-CN"/>
              </w:rPr>
            </w:pPr>
            <w:r>
              <w:rPr>
                <w:rFonts w:hint="eastAsia" w:ascii="仿宋" w:hAnsi="仿宋" w:eastAsia="仿宋"/>
                <w:sz w:val="18"/>
                <w:szCs w:val="18"/>
                <w:lang w:val="zh-CN"/>
              </w:rPr>
              <w:t>重点：固定资产</w:t>
            </w:r>
            <w:r>
              <w:rPr>
                <w:rFonts w:ascii="仿宋" w:hAnsi="仿宋" w:eastAsia="仿宋"/>
                <w:sz w:val="18"/>
                <w:szCs w:val="18"/>
                <w:lang w:val="zh-CN"/>
              </w:rPr>
              <w:t>的核算</w:t>
            </w:r>
          </w:p>
          <w:p w14:paraId="317556C3">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难点：固定资产</w:t>
            </w:r>
            <w:r>
              <w:rPr>
                <w:rFonts w:ascii="仿宋" w:hAnsi="仿宋" w:eastAsia="仿宋"/>
                <w:sz w:val="18"/>
                <w:szCs w:val="18"/>
                <w:lang w:val="zh-CN"/>
              </w:rPr>
              <w:t>后续支出</w:t>
            </w:r>
          </w:p>
          <w:p w14:paraId="52A42785">
            <w:pPr>
              <w:suppressAutoHyphens/>
              <w:spacing w:before="156" w:beforeLines="50" w:after="156" w:afterLines="50" w:line="276" w:lineRule="auto"/>
              <w:jc w:val="left"/>
              <w:rPr>
                <w:rFonts w:eastAsia="仿宋"/>
                <w:b/>
                <w:spacing w:val="-3"/>
                <w:sz w:val="24"/>
                <w:lang w:val="en-GB"/>
              </w:rPr>
            </w:pPr>
            <w:r>
              <w:rPr>
                <w:rFonts w:hint="eastAsia" w:ascii="仿宋" w:hAnsi="仿宋" w:eastAsia="仿宋"/>
                <w:sz w:val="18"/>
                <w:szCs w:val="18"/>
              </w:rPr>
              <w:t>课程思政：结合固定资产业务的处理，讲述会计要不断去重新评价之前对有关经济业务的认识，以及之前相应会计处理方法的合理性。因此，会计人员应当具备重新认识原准则、及时修订原准则、使会计准则不断反映最新研究成果的优秀品质。</w:t>
            </w:r>
          </w:p>
        </w:tc>
        <w:tc>
          <w:tcPr>
            <w:tcW w:w="551" w:type="pct"/>
            <w:vAlign w:val="center"/>
          </w:tcPr>
          <w:p w14:paraId="00C8EE9A">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课堂面授</w:t>
            </w:r>
          </w:p>
        </w:tc>
        <w:tc>
          <w:tcPr>
            <w:tcW w:w="551" w:type="pct"/>
            <w:vAlign w:val="center"/>
          </w:tcPr>
          <w:p w14:paraId="6436E767">
            <w:pPr>
              <w:suppressAutoHyphens/>
              <w:spacing w:before="156" w:beforeLines="50" w:after="156" w:afterLines="50" w:line="276" w:lineRule="auto"/>
              <w:rPr>
                <w:rFonts w:eastAsia="仿宋"/>
                <w:b/>
                <w:spacing w:val="-3"/>
                <w:sz w:val="24"/>
                <w:lang w:val="en-GB"/>
              </w:rPr>
            </w:pPr>
            <w:r>
              <w:rPr>
                <w:rFonts w:hint="eastAsia" w:eastAsia="仿宋"/>
                <w:bCs/>
                <w:spacing w:val="-3"/>
                <w:sz w:val="24"/>
                <w:lang w:val="en-GB"/>
              </w:rPr>
              <w:t>作业、平时测验、期末考试</w:t>
            </w:r>
          </w:p>
        </w:tc>
        <w:tc>
          <w:tcPr>
            <w:tcW w:w="551" w:type="pct"/>
            <w:vAlign w:val="center"/>
          </w:tcPr>
          <w:p w14:paraId="2E14AA0A">
            <w:pPr>
              <w:suppressAutoHyphens/>
              <w:spacing w:before="156" w:beforeLines="50" w:after="156" w:afterLines="50" w:line="276" w:lineRule="auto"/>
              <w:jc w:val="center"/>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2</w:t>
            </w:r>
          </w:p>
          <w:p w14:paraId="744A604B">
            <w:pPr>
              <w:suppressAutoHyphens/>
              <w:spacing w:before="156" w:beforeLines="50" w:after="156" w:afterLines="50" w:line="276" w:lineRule="auto"/>
              <w:jc w:val="center"/>
              <w:rPr>
                <w:rFonts w:ascii="仿宋" w:hAnsi="仿宋" w:eastAsia="仿宋"/>
                <w:color w:val="000000"/>
                <w:kern w:val="0"/>
                <w:sz w:val="24"/>
              </w:rPr>
            </w:pPr>
            <w:r>
              <w:rPr>
                <w:rFonts w:hint="eastAsia" w:ascii="仿宋" w:hAnsi="仿宋" w:eastAsia="仿宋"/>
                <w:color w:val="000000"/>
                <w:kern w:val="0"/>
                <w:sz w:val="24"/>
              </w:rPr>
              <w:t>课程目标4</w:t>
            </w:r>
          </w:p>
        </w:tc>
      </w:tr>
      <w:tr w14:paraId="1DA9F5BA">
        <w:trPr>
          <w:jc w:val="center"/>
        </w:trPr>
        <w:tc>
          <w:tcPr>
            <w:tcW w:w="304" w:type="pct"/>
            <w:shd w:val="clear" w:color="auto" w:fill="auto"/>
            <w:vAlign w:val="center"/>
          </w:tcPr>
          <w:p w14:paraId="1F07F1A2">
            <w:pPr>
              <w:suppressAutoHyphens/>
              <w:spacing w:before="156" w:beforeLines="50" w:after="156" w:afterLines="50" w:line="276" w:lineRule="auto"/>
              <w:jc w:val="center"/>
              <w:rPr>
                <w:rFonts w:eastAsia="仿宋"/>
                <w:bCs/>
                <w:spacing w:val="-3"/>
                <w:sz w:val="24"/>
                <w:lang w:val="en-GB"/>
              </w:rPr>
            </w:pPr>
            <w:r>
              <w:rPr>
                <w:rFonts w:eastAsia="仿宋"/>
                <w:bCs/>
                <w:spacing w:val="-3"/>
                <w:sz w:val="24"/>
                <w:lang w:val="en-GB"/>
              </w:rPr>
              <w:t>9</w:t>
            </w:r>
          </w:p>
        </w:tc>
        <w:tc>
          <w:tcPr>
            <w:tcW w:w="544" w:type="pct"/>
            <w:shd w:val="clear" w:color="auto" w:fill="auto"/>
            <w:vAlign w:val="center"/>
          </w:tcPr>
          <w:p w14:paraId="08720A8B">
            <w:pPr>
              <w:jc w:val="center"/>
              <w:rPr>
                <w:rFonts w:ascii="仿宋" w:hAnsi="仿宋" w:eastAsia="仿宋"/>
                <w:sz w:val="18"/>
                <w:szCs w:val="18"/>
                <w:lang w:val="zh-CN"/>
              </w:rPr>
            </w:pPr>
            <w:r>
              <w:rPr>
                <w:rFonts w:hint="eastAsia" w:ascii="仿宋" w:hAnsi="仿宋" w:eastAsia="仿宋"/>
                <w:sz w:val="18"/>
                <w:szCs w:val="18"/>
                <w:lang w:val="zh-CN"/>
              </w:rPr>
              <w:t>第七章</w:t>
            </w:r>
          </w:p>
          <w:p w14:paraId="36903BFF">
            <w:pPr>
              <w:jc w:val="center"/>
              <w:rPr>
                <w:rFonts w:ascii="仿宋" w:hAnsi="仿宋" w:eastAsia="仿宋"/>
                <w:sz w:val="18"/>
                <w:szCs w:val="18"/>
                <w:lang w:val="zh-CN"/>
              </w:rPr>
            </w:pPr>
            <w:r>
              <w:rPr>
                <w:rFonts w:hint="eastAsia" w:ascii="仿宋" w:hAnsi="仿宋" w:eastAsia="仿宋"/>
                <w:sz w:val="18"/>
                <w:szCs w:val="18"/>
              </w:rPr>
              <w:t>无形资产和投资性房地产</w:t>
            </w:r>
          </w:p>
        </w:tc>
        <w:tc>
          <w:tcPr>
            <w:tcW w:w="998" w:type="pct"/>
            <w:shd w:val="clear" w:color="auto" w:fill="auto"/>
            <w:vAlign w:val="center"/>
          </w:tcPr>
          <w:p w14:paraId="0605CD11">
            <w:pPr>
              <w:suppressAutoHyphens/>
              <w:spacing w:line="276" w:lineRule="auto"/>
              <w:jc w:val="left"/>
              <w:rPr>
                <w:rFonts w:ascii="仿宋" w:hAnsi="仿宋" w:eastAsia="仿宋"/>
                <w:sz w:val="18"/>
                <w:szCs w:val="18"/>
              </w:rPr>
            </w:pPr>
            <w:r>
              <w:rPr>
                <w:rFonts w:ascii="仿宋" w:hAnsi="仿宋" w:eastAsia="仿宋"/>
                <w:sz w:val="18"/>
                <w:szCs w:val="18"/>
              </w:rPr>
              <w:t>1.无形资产</w:t>
            </w:r>
          </w:p>
          <w:p w14:paraId="02E188CC">
            <w:pPr>
              <w:suppressAutoHyphens/>
              <w:spacing w:line="276" w:lineRule="auto"/>
              <w:jc w:val="left"/>
            </w:pPr>
            <w:r>
              <w:rPr>
                <w:rFonts w:ascii="仿宋" w:hAnsi="仿宋" w:eastAsia="仿宋"/>
                <w:sz w:val="18"/>
                <w:szCs w:val="18"/>
              </w:rPr>
              <w:t>2.</w:t>
            </w:r>
            <w:r>
              <w:rPr>
                <w:rFonts w:hint="eastAsia" w:ascii="仿宋" w:hAnsi="仿宋" w:eastAsia="仿宋"/>
                <w:sz w:val="18"/>
                <w:szCs w:val="18"/>
              </w:rPr>
              <w:t>投资性房地产</w:t>
            </w:r>
          </w:p>
        </w:tc>
        <w:tc>
          <w:tcPr>
            <w:tcW w:w="303" w:type="pct"/>
            <w:vAlign w:val="center"/>
          </w:tcPr>
          <w:p w14:paraId="752A96C9">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4</w:t>
            </w:r>
          </w:p>
        </w:tc>
        <w:tc>
          <w:tcPr>
            <w:tcW w:w="1198" w:type="pct"/>
            <w:vAlign w:val="center"/>
          </w:tcPr>
          <w:p w14:paraId="3D98CEA3">
            <w:pPr>
              <w:jc w:val="left"/>
              <w:rPr>
                <w:rFonts w:ascii="仿宋" w:hAnsi="仿宋" w:eastAsia="仿宋"/>
                <w:sz w:val="18"/>
                <w:szCs w:val="18"/>
                <w:lang w:val="zh-CN"/>
              </w:rPr>
            </w:pPr>
            <w:r>
              <w:rPr>
                <w:rFonts w:hint="eastAsia" w:ascii="仿宋" w:hAnsi="仿宋" w:eastAsia="仿宋"/>
                <w:sz w:val="18"/>
                <w:szCs w:val="18"/>
                <w:lang w:val="zh-CN"/>
              </w:rPr>
              <w:t>重点：无形资产</w:t>
            </w:r>
            <w:r>
              <w:rPr>
                <w:rFonts w:ascii="仿宋" w:hAnsi="仿宋" w:eastAsia="仿宋"/>
                <w:sz w:val="18"/>
                <w:szCs w:val="18"/>
                <w:lang w:val="zh-CN"/>
              </w:rPr>
              <w:t>的核算</w:t>
            </w:r>
          </w:p>
          <w:p w14:paraId="1205C927">
            <w:pPr>
              <w:suppressAutoHyphens/>
              <w:spacing w:before="156" w:beforeLines="50" w:after="156" w:afterLines="50" w:line="276" w:lineRule="auto"/>
              <w:jc w:val="left"/>
              <w:rPr>
                <w:rFonts w:ascii="仿宋" w:hAnsi="仿宋" w:eastAsia="仿宋"/>
                <w:sz w:val="18"/>
                <w:szCs w:val="18"/>
                <w:lang w:val="zh-CN"/>
              </w:rPr>
            </w:pPr>
            <w:r>
              <w:rPr>
                <w:rFonts w:hint="eastAsia" w:ascii="仿宋" w:hAnsi="仿宋" w:eastAsia="仿宋"/>
                <w:sz w:val="18"/>
                <w:szCs w:val="18"/>
                <w:lang w:val="zh-CN"/>
              </w:rPr>
              <w:t>难点：自行</w:t>
            </w:r>
            <w:r>
              <w:rPr>
                <w:rFonts w:ascii="仿宋" w:hAnsi="仿宋" w:eastAsia="仿宋"/>
                <w:sz w:val="18"/>
                <w:szCs w:val="18"/>
                <w:lang w:val="zh-CN"/>
              </w:rPr>
              <w:t>研究开发无形资产的核算</w:t>
            </w:r>
          </w:p>
          <w:p w14:paraId="207C752B">
            <w:pPr>
              <w:suppressAutoHyphens/>
              <w:spacing w:before="156" w:beforeLines="50" w:after="156" w:afterLines="50" w:line="276" w:lineRule="auto"/>
              <w:jc w:val="left"/>
              <w:rPr>
                <w:rFonts w:eastAsia="仿宋"/>
                <w:b/>
                <w:spacing w:val="-3"/>
                <w:sz w:val="24"/>
                <w:lang w:val="en-GB"/>
              </w:rPr>
            </w:pPr>
            <w:r>
              <w:rPr>
                <w:rFonts w:hint="eastAsia" w:ascii="仿宋" w:hAnsi="仿宋" w:eastAsia="仿宋"/>
                <w:sz w:val="18"/>
                <w:szCs w:val="18"/>
              </w:rPr>
              <w:t>课程思政：结合无形资产知识，讲述我国鼓励创新，并不断加强知识产权保护，有力地推动了充满生机和活力的社会环境的形成，而这正是我们国家和人民群众所希望看到的社会环境和局面，并鼓励学生的创新意识。</w:t>
            </w:r>
          </w:p>
        </w:tc>
        <w:tc>
          <w:tcPr>
            <w:tcW w:w="551" w:type="pct"/>
            <w:vAlign w:val="center"/>
          </w:tcPr>
          <w:p w14:paraId="7FD12AE1">
            <w:pPr>
              <w:suppressAutoHyphens/>
              <w:spacing w:before="156" w:beforeLines="50" w:after="156" w:afterLines="50" w:line="276" w:lineRule="auto"/>
              <w:jc w:val="center"/>
              <w:rPr>
                <w:rFonts w:eastAsia="仿宋"/>
                <w:b/>
                <w:spacing w:val="-3"/>
                <w:sz w:val="24"/>
                <w:lang w:val="en-GB"/>
              </w:rPr>
            </w:pPr>
            <w:r>
              <w:rPr>
                <w:rFonts w:hint="eastAsia" w:eastAsia="仿宋"/>
                <w:bCs/>
                <w:spacing w:val="-3"/>
                <w:sz w:val="24"/>
                <w:lang w:val="en-GB"/>
              </w:rPr>
              <w:t>课堂面授</w:t>
            </w:r>
          </w:p>
        </w:tc>
        <w:tc>
          <w:tcPr>
            <w:tcW w:w="551" w:type="pct"/>
            <w:vAlign w:val="center"/>
          </w:tcPr>
          <w:p w14:paraId="79817105">
            <w:pPr>
              <w:suppressAutoHyphens/>
              <w:spacing w:before="156" w:beforeLines="50" w:after="156" w:afterLines="50" w:line="276" w:lineRule="auto"/>
              <w:rPr>
                <w:rFonts w:eastAsia="仿宋"/>
                <w:b/>
                <w:spacing w:val="-3"/>
                <w:sz w:val="24"/>
                <w:lang w:val="en-GB"/>
              </w:rPr>
            </w:pPr>
            <w:r>
              <w:rPr>
                <w:rFonts w:hint="eastAsia" w:eastAsia="仿宋"/>
                <w:bCs/>
                <w:spacing w:val="-3"/>
                <w:sz w:val="24"/>
                <w:lang w:val="en-GB"/>
              </w:rPr>
              <w:t>作业、平时测验、期末考试</w:t>
            </w:r>
          </w:p>
        </w:tc>
        <w:tc>
          <w:tcPr>
            <w:tcW w:w="551" w:type="pct"/>
            <w:vAlign w:val="center"/>
          </w:tcPr>
          <w:p w14:paraId="75495773">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color w:val="000000"/>
                <w:kern w:val="0"/>
                <w:sz w:val="24"/>
              </w:rPr>
              <w:t>课程目标4</w:t>
            </w:r>
          </w:p>
        </w:tc>
      </w:tr>
    </w:tbl>
    <w:p w14:paraId="391B66D1">
      <w:pPr>
        <w:spacing w:after="156" w:afterLines="50" w:line="400" w:lineRule="exact"/>
        <w:rPr>
          <w:rFonts w:eastAsia="仿宋"/>
          <w:color w:val="000000"/>
          <w:sz w:val="24"/>
        </w:rPr>
      </w:pPr>
    </w:p>
    <w:p w14:paraId="75B16A9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2AF0A8BF">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5CA20DCE">
      <w:pPr>
        <w:snapToGrid w:val="0"/>
        <w:spacing w:line="360" w:lineRule="auto"/>
        <w:ind w:firstLine="480" w:firstLineChars="200"/>
        <w:rPr>
          <w:rFonts w:ascii="仿宋" w:hAnsi="仿宋" w:eastAsia="仿宋"/>
          <w:b/>
          <w:sz w:val="24"/>
        </w:rPr>
      </w:pPr>
      <w:r>
        <w:rPr>
          <w:rFonts w:hint="eastAsia" w:ascii="仿宋" w:hAnsi="仿宋" w:eastAsia="仿宋"/>
          <w:sz w:val="24"/>
        </w:rPr>
        <w:t>百分制</w:t>
      </w:r>
    </w:p>
    <w:p w14:paraId="2D1E79AF">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过程成绩40</w:t>
      </w:r>
      <w:r>
        <w:rPr>
          <w:rFonts w:eastAsia="仿宋"/>
          <w:sz w:val="24"/>
        </w:rPr>
        <w:t>%</w:t>
      </w:r>
      <w:r>
        <w:rPr>
          <w:rFonts w:hint="eastAsia" w:eastAsia="仿宋"/>
          <w:sz w:val="24"/>
        </w:rPr>
        <w:t>，实验成绩1</w:t>
      </w:r>
      <w:r>
        <w:rPr>
          <w:rFonts w:eastAsia="仿宋"/>
          <w:sz w:val="24"/>
        </w:rPr>
        <w:t>0%</w:t>
      </w:r>
      <w:r>
        <w:rPr>
          <w:rFonts w:hint="eastAsia" w:eastAsia="仿宋"/>
          <w:sz w:val="24"/>
        </w:rPr>
        <w:t>，结课考核成绩50</w:t>
      </w:r>
      <w:r>
        <w:rPr>
          <w:rFonts w:eastAsia="仿宋"/>
          <w:sz w:val="24"/>
        </w:rPr>
        <w:t>%</w:t>
      </w:r>
    </w:p>
    <w:p w14:paraId="33C6425C">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74A4B64C">
        <w:trPr>
          <w:jc w:val="center"/>
        </w:trPr>
        <w:tc>
          <w:tcPr>
            <w:tcW w:w="1578" w:type="dxa"/>
            <w:gridSpan w:val="2"/>
            <w:shd w:val="clear" w:color="auto" w:fill="auto"/>
            <w:vAlign w:val="center"/>
          </w:tcPr>
          <w:p w14:paraId="58062A8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Pr>
          <w:p w14:paraId="5E6E6E1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410" w:type="dxa"/>
          </w:tcPr>
          <w:p w14:paraId="24C7934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035" w:type="dxa"/>
          </w:tcPr>
          <w:p w14:paraId="77FB7F5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14958EA0">
        <w:trPr>
          <w:jc w:val="center"/>
        </w:trPr>
        <w:tc>
          <w:tcPr>
            <w:tcW w:w="817" w:type="dxa"/>
            <w:vMerge w:val="restart"/>
            <w:shd w:val="clear" w:color="auto" w:fill="auto"/>
            <w:vAlign w:val="center"/>
          </w:tcPr>
          <w:p w14:paraId="3739A4A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14:paraId="2877D71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798" w:type="dxa"/>
            <w:vAlign w:val="center"/>
          </w:tcPr>
          <w:p w14:paraId="503E717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2410" w:type="dxa"/>
            <w:vAlign w:val="center"/>
          </w:tcPr>
          <w:p w14:paraId="5190439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打考勤</w:t>
            </w:r>
          </w:p>
        </w:tc>
        <w:tc>
          <w:tcPr>
            <w:tcW w:w="2035" w:type="dxa"/>
          </w:tcPr>
          <w:p w14:paraId="58CCFBFC">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课程目标1</w:t>
            </w:r>
          </w:p>
        </w:tc>
      </w:tr>
      <w:tr w14:paraId="41801E13">
        <w:trPr>
          <w:jc w:val="center"/>
        </w:trPr>
        <w:tc>
          <w:tcPr>
            <w:tcW w:w="817" w:type="dxa"/>
            <w:vMerge w:val="continue"/>
            <w:shd w:val="clear" w:color="auto" w:fill="auto"/>
            <w:vAlign w:val="center"/>
          </w:tcPr>
          <w:p w14:paraId="03E91724">
            <w:pPr>
              <w:snapToGrid w:val="0"/>
              <w:spacing w:line="360" w:lineRule="auto"/>
              <w:jc w:val="center"/>
              <w:rPr>
                <w:rFonts w:ascii="仿宋" w:hAnsi="仿宋" w:eastAsia="仿宋"/>
                <w:b/>
                <w:color w:val="000000"/>
                <w:sz w:val="24"/>
              </w:rPr>
            </w:pPr>
          </w:p>
        </w:tc>
        <w:tc>
          <w:tcPr>
            <w:tcW w:w="761" w:type="dxa"/>
            <w:shd w:val="clear" w:color="auto" w:fill="auto"/>
            <w:vAlign w:val="center"/>
          </w:tcPr>
          <w:p w14:paraId="521BAAB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798" w:type="dxa"/>
            <w:vAlign w:val="center"/>
          </w:tcPr>
          <w:p w14:paraId="4CC69D95">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2</w:t>
            </w:r>
            <w:r>
              <w:rPr>
                <w:rFonts w:hint="eastAsia" w:ascii="仿宋" w:hAnsi="仿宋" w:eastAsia="仿宋"/>
                <w:b/>
                <w:color w:val="000000"/>
                <w:sz w:val="24"/>
              </w:rPr>
              <w:t>0</w:t>
            </w:r>
          </w:p>
        </w:tc>
        <w:tc>
          <w:tcPr>
            <w:tcW w:w="2410" w:type="dxa"/>
            <w:vAlign w:val="center"/>
          </w:tcPr>
          <w:p w14:paraId="626F7D5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章节作业平均分</w:t>
            </w:r>
          </w:p>
        </w:tc>
        <w:tc>
          <w:tcPr>
            <w:tcW w:w="2035" w:type="dxa"/>
          </w:tcPr>
          <w:p w14:paraId="36B2D1B8">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r>
      <w:tr w14:paraId="34FEE451">
        <w:trPr>
          <w:jc w:val="center"/>
        </w:trPr>
        <w:tc>
          <w:tcPr>
            <w:tcW w:w="817" w:type="dxa"/>
            <w:vMerge w:val="continue"/>
            <w:shd w:val="clear" w:color="auto" w:fill="auto"/>
            <w:vAlign w:val="center"/>
          </w:tcPr>
          <w:p w14:paraId="04EF2300">
            <w:pPr>
              <w:snapToGrid w:val="0"/>
              <w:spacing w:line="360" w:lineRule="auto"/>
              <w:jc w:val="center"/>
              <w:rPr>
                <w:rFonts w:ascii="仿宋" w:hAnsi="仿宋" w:eastAsia="仿宋"/>
                <w:b/>
                <w:color w:val="000000"/>
                <w:sz w:val="24"/>
              </w:rPr>
            </w:pPr>
          </w:p>
        </w:tc>
        <w:tc>
          <w:tcPr>
            <w:tcW w:w="761" w:type="dxa"/>
            <w:shd w:val="clear" w:color="auto" w:fill="auto"/>
            <w:vAlign w:val="center"/>
          </w:tcPr>
          <w:p w14:paraId="72D2BEC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798" w:type="dxa"/>
            <w:vAlign w:val="center"/>
          </w:tcPr>
          <w:p w14:paraId="6C9A2415">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1</w:t>
            </w:r>
            <w:r>
              <w:rPr>
                <w:rFonts w:hint="eastAsia" w:ascii="仿宋" w:hAnsi="仿宋" w:eastAsia="仿宋"/>
                <w:b/>
                <w:color w:val="000000"/>
                <w:sz w:val="24"/>
              </w:rPr>
              <w:t>0</w:t>
            </w:r>
          </w:p>
        </w:tc>
        <w:tc>
          <w:tcPr>
            <w:tcW w:w="2410" w:type="dxa"/>
            <w:vAlign w:val="center"/>
          </w:tcPr>
          <w:p w14:paraId="22D8FDF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2035" w:type="dxa"/>
          </w:tcPr>
          <w:p w14:paraId="5C4108FE">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r>
      <w:tr w14:paraId="65757A7B">
        <w:trPr>
          <w:jc w:val="center"/>
        </w:trPr>
        <w:tc>
          <w:tcPr>
            <w:tcW w:w="817" w:type="dxa"/>
            <w:shd w:val="clear" w:color="auto" w:fill="auto"/>
            <w:vAlign w:val="center"/>
          </w:tcPr>
          <w:p w14:paraId="148C67B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761" w:type="dxa"/>
            <w:shd w:val="clear" w:color="auto" w:fill="auto"/>
            <w:vAlign w:val="center"/>
          </w:tcPr>
          <w:p w14:paraId="6F94F18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实操</w:t>
            </w:r>
          </w:p>
        </w:tc>
        <w:tc>
          <w:tcPr>
            <w:tcW w:w="798" w:type="dxa"/>
            <w:vAlign w:val="center"/>
          </w:tcPr>
          <w:p w14:paraId="65BD7A0E">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1</w:t>
            </w:r>
            <w:r>
              <w:rPr>
                <w:rFonts w:ascii="仿宋" w:hAnsi="仿宋" w:eastAsia="仿宋"/>
                <w:b/>
                <w:color w:val="000000"/>
                <w:sz w:val="24"/>
              </w:rPr>
              <w:t>0</w:t>
            </w:r>
          </w:p>
        </w:tc>
        <w:tc>
          <w:tcPr>
            <w:tcW w:w="2410" w:type="dxa"/>
            <w:vAlign w:val="center"/>
          </w:tcPr>
          <w:p w14:paraId="637B2C5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实验课时实验得分</w:t>
            </w:r>
          </w:p>
        </w:tc>
        <w:tc>
          <w:tcPr>
            <w:tcW w:w="2035" w:type="dxa"/>
          </w:tcPr>
          <w:p w14:paraId="0B6C2845">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r>
      <w:tr w14:paraId="488914C2">
        <w:trPr>
          <w:jc w:val="center"/>
        </w:trPr>
        <w:tc>
          <w:tcPr>
            <w:tcW w:w="817" w:type="dxa"/>
            <w:shd w:val="clear" w:color="auto" w:fill="auto"/>
            <w:vAlign w:val="center"/>
          </w:tcPr>
          <w:p w14:paraId="2B4F06E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414893E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62BBCC8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50</w:t>
            </w:r>
          </w:p>
        </w:tc>
        <w:tc>
          <w:tcPr>
            <w:tcW w:w="2410" w:type="dxa"/>
            <w:vAlign w:val="center"/>
          </w:tcPr>
          <w:p w14:paraId="61F0DF5E">
            <w:pPr>
              <w:snapToGrid w:val="0"/>
              <w:spacing w:line="360" w:lineRule="auto"/>
              <w:jc w:val="center"/>
              <w:rPr>
                <w:rFonts w:ascii="仿宋" w:hAnsi="仿宋" w:eastAsia="仿宋"/>
                <w:bCs/>
                <w:sz w:val="24"/>
              </w:rPr>
            </w:pPr>
            <w:r>
              <w:rPr>
                <w:rFonts w:hint="eastAsia" w:ascii="仿宋" w:hAnsi="仿宋" w:eastAsia="仿宋"/>
                <w:b/>
                <w:sz w:val="24"/>
              </w:rPr>
              <w:t>考核形式：</w:t>
            </w:r>
            <w:r>
              <w:rPr>
                <w:rFonts w:hint="eastAsia" w:ascii="仿宋" w:hAnsi="仿宋" w:eastAsia="仿宋"/>
                <w:bCs/>
                <w:sz w:val="24"/>
              </w:rPr>
              <w:t>笔试（闭卷）</w:t>
            </w:r>
          </w:p>
          <w:p w14:paraId="48768320">
            <w:pPr>
              <w:snapToGrid w:val="0"/>
              <w:spacing w:line="360" w:lineRule="auto"/>
              <w:jc w:val="center"/>
              <w:rPr>
                <w:rFonts w:ascii="仿宋" w:hAnsi="仿宋" w:eastAsia="仿宋"/>
                <w:bCs/>
                <w:sz w:val="24"/>
              </w:rPr>
            </w:pPr>
            <w:r>
              <w:rPr>
                <w:rFonts w:hint="eastAsia" w:ascii="仿宋" w:hAnsi="仿宋" w:eastAsia="仿宋"/>
                <w:b/>
                <w:sz w:val="24"/>
              </w:rPr>
              <w:t>题型：</w:t>
            </w:r>
            <w:r>
              <w:rPr>
                <w:rFonts w:hint="eastAsia" w:ascii="仿宋" w:hAnsi="仿宋" w:eastAsia="仿宋"/>
                <w:bCs/>
                <w:sz w:val="24"/>
              </w:rPr>
              <w:t>单选、判断、多选、简答、计算、案例分析、思考、论述（根据实际教学情况选择）</w:t>
            </w:r>
          </w:p>
          <w:p w14:paraId="67EDAAFE">
            <w:pPr>
              <w:snapToGrid w:val="0"/>
              <w:spacing w:line="360" w:lineRule="auto"/>
              <w:jc w:val="center"/>
              <w:rPr>
                <w:rFonts w:ascii="仿宋" w:hAnsi="仿宋" w:eastAsia="仿宋"/>
                <w:bCs/>
                <w:color w:val="0070C0"/>
                <w:sz w:val="24"/>
              </w:rPr>
            </w:pPr>
            <w:r>
              <w:rPr>
                <w:rFonts w:hint="eastAsia" w:ascii="仿宋" w:hAnsi="仿宋" w:eastAsia="仿宋"/>
                <w:b/>
                <w:sz w:val="24"/>
              </w:rPr>
              <w:t>每道题的考核内容及分值：</w:t>
            </w:r>
            <w:r>
              <w:rPr>
                <w:rFonts w:hint="eastAsia" w:ascii="仿宋" w:hAnsi="仿宋" w:eastAsia="仿宋"/>
                <w:bCs/>
                <w:sz w:val="24"/>
              </w:rPr>
              <w:t>根据实际教学情况制定</w:t>
            </w:r>
          </w:p>
        </w:tc>
        <w:tc>
          <w:tcPr>
            <w:tcW w:w="2035" w:type="dxa"/>
          </w:tcPr>
          <w:p w14:paraId="7B803262">
            <w:pPr>
              <w:snapToGrid w:val="0"/>
              <w:spacing w:line="360" w:lineRule="auto"/>
              <w:jc w:val="center"/>
              <w:rPr>
                <w:rFonts w:ascii="仿宋" w:hAnsi="仿宋" w:eastAsia="仿宋"/>
                <w:b/>
                <w:color w:val="000000"/>
                <w:sz w:val="24"/>
              </w:rPr>
            </w:pPr>
            <w:r>
              <w:rPr>
                <w:rFonts w:hint="eastAsia" w:ascii="仿宋" w:hAnsi="仿宋" w:eastAsia="仿宋"/>
                <w:color w:val="000000"/>
                <w:kern w:val="0"/>
                <w:sz w:val="24"/>
              </w:rPr>
              <w:t>课程目标1、课程目标</w:t>
            </w:r>
            <w:r>
              <w:rPr>
                <w:rFonts w:ascii="仿宋" w:hAnsi="仿宋" w:eastAsia="仿宋"/>
                <w:color w:val="000000"/>
                <w:kern w:val="0"/>
                <w:sz w:val="24"/>
              </w:rPr>
              <w:t>2</w:t>
            </w:r>
            <w:r>
              <w:rPr>
                <w:rFonts w:hint="eastAsia" w:ascii="仿宋" w:hAnsi="仿宋" w:eastAsia="仿宋"/>
                <w:color w:val="000000"/>
                <w:kern w:val="0"/>
                <w:sz w:val="24"/>
              </w:rPr>
              <w:t>、课程目标</w:t>
            </w:r>
            <w:r>
              <w:rPr>
                <w:rFonts w:ascii="仿宋" w:hAnsi="仿宋" w:eastAsia="仿宋"/>
                <w:color w:val="000000"/>
                <w:kern w:val="0"/>
                <w:sz w:val="24"/>
              </w:rPr>
              <w:t>4</w:t>
            </w:r>
          </w:p>
        </w:tc>
      </w:tr>
    </w:tbl>
    <w:p w14:paraId="2CDD38CF">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0"/>
        <w:gridCol w:w="698"/>
        <w:gridCol w:w="1356"/>
        <w:gridCol w:w="1360"/>
        <w:gridCol w:w="1362"/>
        <w:gridCol w:w="1371"/>
      </w:tblGrid>
      <w:tr w14:paraId="12B99B7B">
        <w:tc>
          <w:tcPr>
            <w:tcW w:w="0" w:type="auto"/>
            <w:gridSpan w:val="2"/>
            <w:vMerge w:val="restart"/>
            <w:shd w:val="clear" w:color="auto" w:fill="auto"/>
            <w:vAlign w:val="center"/>
          </w:tcPr>
          <w:p w14:paraId="7005022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0" w:type="auto"/>
            <w:vMerge w:val="restart"/>
            <w:vAlign w:val="center"/>
          </w:tcPr>
          <w:p w14:paraId="7041B0E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0" w:type="auto"/>
            <w:gridSpan w:val="4"/>
            <w:shd w:val="clear" w:color="auto" w:fill="auto"/>
            <w:vAlign w:val="center"/>
          </w:tcPr>
          <w:p w14:paraId="4862B08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69CC4B13">
        <w:tc>
          <w:tcPr>
            <w:tcW w:w="0" w:type="auto"/>
            <w:gridSpan w:val="2"/>
            <w:vMerge w:val="continue"/>
            <w:shd w:val="clear" w:color="auto" w:fill="auto"/>
            <w:vAlign w:val="center"/>
          </w:tcPr>
          <w:p w14:paraId="35823F3E">
            <w:pPr>
              <w:snapToGrid w:val="0"/>
              <w:spacing w:line="360" w:lineRule="auto"/>
              <w:jc w:val="center"/>
              <w:rPr>
                <w:rFonts w:ascii="仿宋" w:hAnsi="仿宋" w:eastAsia="仿宋"/>
                <w:b/>
                <w:color w:val="000000"/>
                <w:sz w:val="24"/>
              </w:rPr>
            </w:pPr>
          </w:p>
        </w:tc>
        <w:tc>
          <w:tcPr>
            <w:tcW w:w="0" w:type="auto"/>
            <w:vMerge w:val="continue"/>
          </w:tcPr>
          <w:p w14:paraId="69CEEFA4">
            <w:pPr>
              <w:snapToGrid w:val="0"/>
              <w:spacing w:line="360" w:lineRule="auto"/>
              <w:jc w:val="center"/>
              <w:rPr>
                <w:rFonts w:ascii="仿宋" w:hAnsi="仿宋" w:eastAsia="仿宋"/>
                <w:b/>
                <w:color w:val="000000"/>
                <w:sz w:val="24"/>
              </w:rPr>
            </w:pPr>
          </w:p>
        </w:tc>
        <w:tc>
          <w:tcPr>
            <w:tcW w:w="0" w:type="auto"/>
            <w:shd w:val="clear" w:color="auto" w:fill="auto"/>
            <w:vAlign w:val="center"/>
          </w:tcPr>
          <w:p w14:paraId="140C679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0" w:type="auto"/>
          </w:tcPr>
          <w:p w14:paraId="5F831F8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0" w:type="auto"/>
          </w:tcPr>
          <w:p w14:paraId="2424D69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0" w:type="auto"/>
          </w:tcPr>
          <w:p w14:paraId="0CBA15A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p>
        </w:tc>
      </w:tr>
      <w:tr w14:paraId="4B4E3D4A">
        <w:tc>
          <w:tcPr>
            <w:tcW w:w="0" w:type="auto"/>
            <w:vMerge w:val="restart"/>
            <w:shd w:val="clear" w:color="auto" w:fill="auto"/>
            <w:vAlign w:val="center"/>
          </w:tcPr>
          <w:p w14:paraId="62896D1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0" w:type="auto"/>
            <w:shd w:val="clear" w:color="auto" w:fill="auto"/>
            <w:vAlign w:val="center"/>
          </w:tcPr>
          <w:p w14:paraId="224F19A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0" w:type="auto"/>
            <w:vAlign w:val="center"/>
          </w:tcPr>
          <w:p w14:paraId="6C286AA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0" w:type="auto"/>
            <w:shd w:val="clear" w:color="auto" w:fill="auto"/>
            <w:vAlign w:val="center"/>
          </w:tcPr>
          <w:p w14:paraId="03AE8AE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0" w:type="auto"/>
            <w:vAlign w:val="center"/>
          </w:tcPr>
          <w:p w14:paraId="3047F9DF">
            <w:pPr>
              <w:snapToGrid w:val="0"/>
              <w:spacing w:line="360" w:lineRule="auto"/>
              <w:jc w:val="center"/>
              <w:rPr>
                <w:rFonts w:ascii="仿宋" w:hAnsi="仿宋" w:eastAsia="仿宋"/>
                <w:b/>
                <w:color w:val="000000"/>
                <w:sz w:val="24"/>
              </w:rPr>
            </w:pPr>
          </w:p>
        </w:tc>
        <w:tc>
          <w:tcPr>
            <w:tcW w:w="0" w:type="auto"/>
            <w:vAlign w:val="center"/>
          </w:tcPr>
          <w:p w14:paraId="2ABEFD61">
            <w:pPr>
              <w:snapToGrid w:val="0"/>
              <w:spacing w:line="360" w:lineRule="auto"/>
              <w:jc w:val="center"/>
              <w:rPr>
                <w:rFonts w:ascii="仿宋" w:hAnsi="仿宋" w:eastAsia="仿宋"/>
                <w:b/>
                <w:color w:val="000000"/>
                <w:sz w:val="24"/>
              </w:rPr>
            </w:pPr>
          </w:p>
        </w:tc>
        <w:tc>
          <w:tcPr>
            <w:tcW w:w="0" w:type="auto"/>
            <w:vAlign w:val="center"/>
          </w:tcPr>
          <w:p w14:paraId="69D38D33">
            <w:pPr>
              <w:snapToGrid w:val="0"/>
              <w:spacing w:line="360" w:lineRule="auto"/>
              <w:jc w:val="center"/>
              <w:rPr>
                <w:rFonts w:ascii="仿宋" w:hAnsi="仿宋" w:eastAsia="仿宋"/>
                <w:b/>
                <w:color w:val="000000"/>
                <w:sz w:val="24"/>
              </w:rPr>
            </w:pPr>
          </w:p>
        </w:tc>
      </w:tr>
      <w:tr w14:paraId="684C7D7F">
        <w:tc>
          <w:tcPr>
            <w:tcW w:w="0" w:type="auto"/>
            <w:vMerge w:val="continue"/>
            <w:shd w:val="clear" w:color="auto" w:fill="auto"/>
            <w:vAlign w:val="center"/>
          </w:tcPr>
          <w:p w14:paraId="084443F3">
            <w:pPr>
              <w:snapToGrid w:val="0"/>
              <w:spacing w:line="360" w:lineRule="auto"/>
              <w:jc w:val="center"/>
              <w:rPr>
                <w:rFonts w:ascii="仿宋" w:hAnsi="仿宋" w:eastAsia="仿宋"/>
                <w:b/>
                <w:color w:val="000000"/>
                <w:sz w:val="24"/>
              </w:rPr>
            </w:pPr>
          </w:p>
        </w:tc>
        <w:tc>
          <w:tcPr>
            <w:tcW w:w="0" w:type="auto"/>
            <w:shd w:val="clear" w:color="auto" w:fill="auto"/>
            <w:vAlign w:val="center"/>
          </w:tcPr>
          <w:p w14:paraId="0F2792C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0" w:type="auto"/>
            <w:vAlign w:val="center"/>
          </w:tcPr>
          <w:p w14:paraId="748C43B8">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2</w:t>
            </w:r>
            <w:r>
              <w:rPr>
                <w:rFonts w:hint="eastAsia" w:ascii="仿宋" w:hAnsi="仿宋" w:eastAsia="仿宋"/>
                <w:b/>
                <w:color w:val="000000"/>
                <w:sz w:val="24"/>
              </w:rPr>
              <w:t>0</w:t>
            </w:r>
          </w:p>
        </w:tc>
        <w:tc>
          <w:tcPr>
            <w:tcW w:w="0" w:type="auto"/>
            <w:shd w:val="clear" w:color="auto" w:fill="auto"/>
            <w:vAlign w:val="center"/>
          </w:tcPr>
          <w:p w14:paraId="0498B73E">
            <w:pPr>
              <w:snapToGrid w:val="0"/>
              <w:spacing w:line="360" w:lineRule="auto"/>
              <w:jc w:val="center"/>
              <w:rPr>
                <w:rFonts w:ascii="仿宋" w:hAnsi="仿宋" w:eastAsia="仿宋"/>
                <w:b/>
                <w:color w:val="000000"/>
                <w:sz w:val="24"/>
              </w:rPr>
            </w:pPr>
          </w:p>
        </w:tc>
        <w:tc>
          <w:tcPr>
            <w:tcW w:w="0" w:type="auto"/>
            <w:vAlign w:val="center"/>
          </w:tcPr>
          <w:p w14:paraId="7710B55B">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2</w:t>
            </w:r>
            <w:r>
              <w:rPr>
                <w:rFonts w:hint="eastAsia" w:ascii="仿宋" w:hAnsi="仿宋" w:eastAsia="仿宋"/>
                <w:b/>
                <w:color w:val="000000"/>
                <w:sz w:val="24"/>
              </w:rPr>
              <w:t>0</w:t>
            </w:r>
          </w:p>
        </w:tc>
        <w:tc>
          <w:tcPr>
            <w:tcW w:w="0" w:type="auto"/>
            <w:vAlign w:val="center"/>
          </w:tcPr>
          <w:p w14:paraId="1B8A83B5">
            <w:pPr>
              <w:snapToGrid w:val="0"/>
              <w:spacing w:line="360" w:lineRule="auto"/>
              <w:jc w:val="center"/>
              <w:rPr>
                <w:rFonts w:ascii="仿宋" w:hAnsi="仿宋" w:eastAsia="仿宋"/>
                <w:b/>
                <w:color w:val="000000"/>
                <w:sz w:val="24"/>
              </w:rPr>
            </w:pPr>
          </w:p>
        </w:tc>
        <w:tc>
          <w:tcPr>
            <w:tcW w:w="0" w:type="auto"/>
            <w:vAlign w:val="center"/>
          </w:tcPr>
          <w:p w14:paraId="6E0423BA">
            <w:pPr>
              <w:snapToGrid w:val="0"/>
              <w:spacing w:line="360" w:lineRule="auto"/>
              <w:jc w:val="center"/>
              <w:rPr>
                <w:rFonts w:ascii="仿宋" w:hAnsi="仿宋" w:eastAsia="仿宋"/>
                <w:b/>
                <w:color w:val="000000"/>
                <w:sz w:val="24"/>
              </w:rPr>
            </w:pPr>
          </w:p>
        </w:tc>
      </w:tr>
      <w:tr w14:paraId="4F5B6732">
        <w:tc>
          <w:tcPr>
            <w:tcW w:w="0" w:type="auto"/>
            <w:vMerge w:val="continue"/>
            <w:shd w:val="clear" w:color="auto" w:fill="auto"/>
            <w:vAlign w:val="center"/>
          </w:tcPr>
          <w:p w14:paraId="177F87C3">
            <w:pPr>
              <w:snapToGrid w:val="0"/>
              <w:spacing w:line="360" w:lineRule="auto"/>
              <w:jc w:val="center"/>
              <w:rPr>
                <w:rFonts w:ascii="仿宋" w:hAnsi="仿宋" w:eastAsia="仿宋"/>
                <w:b/>
                <w:color w:val="000000"/>
                <w:sz w:val="24"/>
              </w:rPr>
            </w:pPr>
          </w:p>
        </w:tc>
        <w:tc>
          <w:tcPr>
            <w:tcW w:w="0" w:type="auto"/>
            <w:shd w:val="clear" w:color="auto" w:fill="auto"/>
            <w:vAlign w:val="center"/>
          </w:tcPr>
          <w:p w14:paraId="05532D4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0" w:type="auto"/>
            <w:vAlign w:val="center"/>
          </w:tcPr>
          <w:p w14:paraId="778BC691">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1</w:t>
            </w:r>
            <w:r>
              <w:rPr>
                <w:rFonts w:hint="eastAsia" w:ascii="仿宋" w:hAnsi="仿宋" w:eastAsia="仿宋"/>
                <w:b/>
                <w:color w:val="000000"/>
                <w:sz w:val="24"/>
              </w:rPr>
              <w:t>0</w:t>
            </w:r>
          </w:p>
        </w:tc>
        <w:tc>
          <w:tcPr>
            <w:tcW w:w="0" w:type="auto"/>
            <w:shd w:val="clear" w:color="auto" w:fill="auto"/>
            <w:vAlign w:val="center"/>
          </w:tcPr>
          <w:p w14:paraId="702ADCD1">
            <w:pPr>
              <w:snapToGrid w:val="0"/>
              <w:spacing w:line="360" w:lineRule="auto"/>
              <w:jc w:val="center"/>
              <w:rPr>
                <w:rFonts w:ascii="仿宋" w:hAnsi="仿宋" w:eastAsia="仿宋"/>
                <w:b/>
                <w:color w:val="000000"/>
                <w:sz w:val="24"/>
              </w:rPr>
            </w:pPr>
          </w:p>
        </w:tc>
        <w:tc>
          <w:tcPr>
            <w:tcW w:w="0" w:type="auto"/>
            <w:vAlign w:val="center"/>
          </w:tcPr>
          <w:p w14:paraId="010D0A1D">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1</w:t>
            </w:r>
            <w:r>
              <w:rPr>
                <w:rFonts w:hint="eastAsia" w:ascii="仿宋" w:hAnsi="仿宋" w:eastAsia="仿宋"/>
                <w:b/>
                <w:color w:val="000000"/>
                <w:sz w:val="24"/>
              </w:rPr>
              <w:t>0</w:t>
            </w:r>
          </w:p>
        </w:tc>
        <w:tc>
          <w:tcPr>
            <w:tcW w:w="0" w:type="auto"/>
            <w:vAlign w:val="center"/>
          </w:tcPr>
          <w:p w14:paraId="6E7B7544">
            <w:pPr>
              <w:snapToGrid w:val="0"/>
              <w:spacing w:line="360" w:lineRule="auto"/>
              <w:jc w:val="center"/>
              <w:rPr>
                <w:rFonts w:ascii="仿宋" w:hAnsi="仿宋" w:eastAsia="仿宋"/>
                <w:b/>
                <w:color w:val="000000"/>
                <w:sz w:val="24"/>
              </w:rPr>
            </w:pPr>
          </w:p>
        </w:tc>
        <w:tc>
          <w:tcPr>
            <w:tcW w:w="0" w:type="auto"/>
            <w:vAlign w:val="center"/>
          </w:tcPr>
          <w:p w14:paraId="1BC09913">
            <w:pPr>
              <w:snapToGrid w:val="0"/>
              <w:spacing w:line="360" w:lineRule="auto"/>
              <w:jc w:val="center"/>
              <w:rPr>
                <w:rFonts w:ascii="仿宋" w:hAnsi="仿宋" w:eastAsia="仿宋"/>
                <w:b/>
                <w:color w:val="000000"/>
                <w:sz w:val="24"/>
              </w:rPr>
            </w:pPr>
          </w:p>
        </w:tc>
      </w:tr>
      <w:tr w14:paraId="74BBBC95">
        <w:tc>
          <w:tcPr>
            <w:tcW w:w="0" w:type="auto"/>
            <w:shd w:val="clear" w:color="auto" w:fill="auto"/>
            <w:vAlign w:val="center"/>
          </w:tcPr>
          <w:p w14:paraId="4BC3834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0" w:type="auto"/>
            <w:shd w:val="clear" w:color="auto" w:fill="auto"/>
            <w:vAlign w:val="center"/>
          </w:tcPr>
          <w:p w14:paraId="7E0392A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实操</w:t>
            </w:r>
          </w:p>
        </w:tc>
        <w:tc>
          <w:tcPr>
            <w:tcW w:w="0" w:type="auto"/>
            <w:vAlign w:val="center"/>
          </w:tcPr>
          <w:p w14:paraId="7A0586E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0" w:type="auto"/>
            <w:shd w:val="clear" w:color="auto" w:fill="auto"/>
            <w:vAlign w:val="center"/>
          </w:tcPr>
          <w:p w14:paraId="5C686F36">
            <w:pPr>
              <w:snapToGrid w:val="0"/>
              <w:spacing w:line="360" w:lineRule="auto"/>
              <w:jc w:val="center"/>
              <w:rPr>
                <w:rFonts w:ascii="仿宋" w:hAnsi="仿宋" w:eastAsia="仿宋"/>
                <w:b/>
                <w:color w:val="000000"/>
                <w:sz w:val="24"/>
              </w:rPr>
            </w:pPr>
          </w:p>
        </w:tc>
        <w:tc>
          <w:tcPr>
            <w:tcW w:w="0" w:type="auto"/>
            <w:vAlign w:val="center"/>
          </w:tcPr>
          <w:p w14:paraId="253193E2">
            <w:pPr>
              <w:snapToGrid w:val="0"/>
              <w:spacing w:line="360" w:lineRule="auto"/>
              <w:jc w:val="center"/>
              <w:rPr>
                <w:rFonts w:ascii="仿宋" w:hAnsi="仿宋" w:eastAsia="仿宋"/>
                <w:b/>
                <w:color w:val="000000"/>
                <w:sz w:val="24"/>
              </w:rPr>
            </w:pPr>
          </w:p>
        </w:tc>
        <w:tc>
          <w:tcPr>
            <w:tcW w:w="0" w:type="auto"/>
            <w:vAlign w:val="center"/>
          </w:tcPr>
          <w:p w14:paraId="6A531C8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0" w:type="auto"/>
            <w:vAlign w:val="center"/>
          </w:tcPr>
          <w:p w14:paraId="0297A3FF">
            <w:pPr>
              <w:snapToGrid w:val="0"/>
              <w:spacing w:line="360" w:lineRule="auto"/>
              <w:jc w:val="center"/>
              <w:rPr>
                <w:rFonts w:ascii="仿宋" w:hAnsi="仿宋" w:eastAsia="仿宋"/>
                <w:b/>
                <w:color w:val="000000"/>
                <w:sz w:val="24"/>
              </w:rPr>
            </w:pPr>
          </w:p>
        </w:tc>
      </w:tr>
      <w:tr w14:paraId="10426703">
        <w:tc>
          <w:tcPr>
            <w:tcW w:w="0" w:type="auto"/>
            <w:shd w:val="clear" w:color="auto" w:fill="auto"/>
            <w:vAlign w:val="center"/>
          </w:tcPr>
          <w:p w14:paraId="4A0CA4F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0" w:type="auto"/>
            <w:shd w:val="clear" w:color="auto" w:fill="auto"/>
            <w:vAlign w:val="center"/>
          </w:tcPr>
          <w:p w14:paraId="554C13F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0" w:type="auto"/>
            <w:vAlign w:val="center"/>
          </w:tcPr>
          <w:p w14:paraId="7B1ACF1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50</w:t>
            </w:r>
          </w:p>
        </w:tc>
        <w:tc>
          <w:tcPr>
            <w:tcW w:w="0" w:type="auto"/>
            <w:shd w:val="clear" w:color="auto" w:fill="auto"/>
            <w:vAlign w:val="center"/>
          </w:tcPr>
          <w:p w14:paraId="46F8237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0" w:type="auto"/>
            <w:vAlign w:val="center"/>
          </w:tcPr>
          <w:p w14:paraId="2914034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0</w:t>
            </w:r>
          </w:p>
        </w:tc>
        <w:tc>
          <w:tcPr>
            <w:tcW w:w="0" w:type="auto"/>
            <w:vAlign w:val="center"/>
          </w:tcPr>
          <w:p w14:paraId="220BB56D">
            <w:pPr>
              <w:snapToGrid w:val="0"/>
              <w:spacing w:line="360" w:lineRule="auto"/>
              <w:jc w:val="center"/>
              <w:rPr>
                <w:rFonts w:ascii="仿宋" w:hAnsi="仿宋" w:eastAsia="仿宋"/>
                <w:b/>
                <w:color w:val="000000"/>
                <w:sz w:val="24"/>
              </w:rPr>
            </w:pPr>
          </w:p>
        </w:tc>
        <w:tc>
          <w:tcPr>
            <w:tcW w:w="0" w:type="auto"/>
            <w:vAlign w:val="center"/>
          </w:tcPr>
          <w:p w14:paraId="3023306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0</w:t>
            </w:r>
          </w:p>
        </w:tc>
      </w:tr>
      <w:tr w14:paraId="25B8F1AE">
        <w:tc>
          <w:tcPr>
            <w:tcW w:w="0" w:type="auto"/>
            <w:gridSpan w:val="3"/>
            <w:shd w:val="clear" w:color="auto" w:fill="auto"/>
            <w:vAlign w:val="center"/>
          </w:tcPr>
          <w:p w14:paraId="6AB0BA3D">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0" w:type="auto"/>
            <w:shd w:val="clear" w:color="auto" w:fill="auto"/>
            <w:vAlign w:val="center"/>
          </w:tcPr>
          <w:p w14:paraId="2664706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20</w:t>
            </w:r>
          </w:p>
        </w:tc>
        <w:tc>
          <w:tcPr>
            <w:tcW w:w="0" w:type="auto"/>
            <w:vAlign w:val="center"/>
          </w:tcPr>
          <w:p w14:paraId="761B8CF3">
            <w:pPr>
              <w:snapToGrid w:val="0"/>
              <w:spacing w:line="360" w:lineRule="auto"/>
              <w:jc w:val="center"/>
              <w:rPr>
                <w:rFonts w:ascii="仿宋" w:hAnsi="仿宋" w:eastAsia="仿宋"/>
                <w:b/>
                <w:sz w:val="24"/>
              </w:rPr>
            </w:pPr>
            <w:r>
              <w:rPr>
                <w:rFonts w:hint="eastAsia" w:ascii="仿宋" w:hAnsi="仿宋" w:eastAsia="仿宋"/>
                <w:b/>
                <w:sz w:val="24"/>
              </w:rPr>
              <w:t>50</w:t>
            </w:r>
          </w:p>
        </w:tc>
        <w:tc>
          <w:tcPr>
            <w:tcW w:w="0" w:type="auto"/>
            <w:vAlign w:val="center"/>
          </w:tcPr>
          <w:p w14:paraId="1E2755C3">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0</w:t>
            </w:r>
          </w:p>
        </w:tc>
        <w:tc>
          <w:tcPr>
            <w:tcW w:w="0" w:type="auto"/>
            <w:vAlign w:val="center"/>
          </w:tcPr>
          <w:p w14:paraId="5992A22A">
            <w:pPr>
              <w:snapToGrid w:val="0"/>
              <w:spacing w:line="360" w:lineRule="auto"/>
              <w:jc w:val="center"/>
              <w:rPr>
                <w:rFonts w:ascii="仿宋" w:hAnsi="仿宋" w:eastAsia="仿宋"/>
                <w:b/>
                <w:sz w:val="24"/>
              </w:rPr>
            </w:pPr>
            <w:r>
              <w:rPr>
                <w:rFonts w:hint="eastAsia" w:ascii="仿宋" w:hAnsi="仿宋" w:eastAsia="仿宋"/>
                <w:b/>
                <w:sz w:val="24"/>
              </w:rPr>
              <w:t>2</w:t>
            </w:r>
            <w:r>
              <w:rPr>
                <w:rFonts w:ascii="仿宋" w:hAnsi="仿宋" w:eastAsia="仿宋"/>
                <w:b/>
                <w:sz w:val="24"/>
              </w:rPr>
              <w:t>0</w:t>
            </w:r>
          </w:p>
        </w:tc>
      </w:tr>
    </w:tbl>
    <w:p w14:paraId="2AD97A88">
      <w:pPr>
        <w:tabs>
          <w:tab w:val="left" w:pos="-5670"/>
          <w:tab w:val="left" w:pos="-5245"/>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73FEA17D">
      <w:pPr>
        <w:snapToGrid w:val="0"/>
        <w:spacing w:line="300" w:lineRule="auto"/>
        <w:ind w:firstLine="480" w:firstLineChars="200"/>
        <w:rPr>
          <w:rFonts w:ascii="仿宋" w:hAnsi="仿宋" w:eastAsia="仿宋"/>
          <w:sz w:val="24"/>
        </w:rPr>
      </w:pPr>
      <w:r>
        <w:rPr>
          <w:rFonts w:hint="eastAsia" w:ascii="仿宋" w:hAnsi="仿宋" w:eastAsia="仿宋"/>
          <w:sz w:val="24"/>
        </w:rPr>
        <w:t>无</w:t>
      </w:r>
    </w:p>
    <w:p w14:paraId="520C628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2"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05C120B4">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63D63C37">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F136771">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68FC748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bookmarkEnd w:id="2"/>
    <w:p w14:paraId="5CF7B38A">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掌握基本会计知识：在学习成本会计之前，建议学生先掌握基本的财务会计知识，如会计原则、会计准则和会计记账法等。了解财务报表的基本概念和组成部分，这些知识是学习成本会计的基础。</w:t>
      </w:r>
    </w:p>
    <w:p w14:paraId="240B40AC">
      <w:pPr>
        <w:tabs>
          <w:tab w:val="left" w:pos="-5670"/>
          <w:tab w:val="left" w:pos="-5245"/>
          <w:tab w:val="left" w:pos="420"/>
        </w:tabs>
        <w:spacing w:before="156" w:beforeLines="50" w:after="156" w:afterLines="50" w:line="360" w:lineRule="auto"/>
        <w:rPr>
          <w:rFonts w:ascii="仿宋" w:hAnsi="仿宋" w:eastAsia="仿宋"/>
          <w:sz w:val="24"/>
        </w:rPr>
      </w:pPr>
      <w:r>
        <w:rPr>
          <w:rFonts w:ascii="仿宋" w:hAnsi="仿宋" w:eastAsia="仿宋"/>
          <w:sz w:val="24"/>
        </w:rPr>
        <w:tab/>
      </w:r>
      <w:r>
        <w:rPr>
          <w:rFonts w:ascii="仿宋" w:hAnsi="仿宋" w:eastAsia="仿宋"/>
          <w:sz w:val="24"/>
        </w:rPr>
        <w:t>2.</w:t>
      </w:r>
      <w:r>
        <w:rPr>
          <w:rFonts w:hint="eastAsia" w:ascii="仿宋" w:hAnsi="仿宋" w:eastAsia="仿宋"/>
          <w:sz w:val="24"/>
        </w:rPr>
        <w:t>建议学生做到课前预习、上课认真听讲、课后复习巩固，积极利用线上线下资源，扩宽知识面，提前熟悉企业生产，了解制造业企业组织特点和工艺流程。</w:t>
      </w:r>
    </w:p>
    <w:p w14:paraId="5B317EED">
      <w:pPr>
        <w:tabs>
          <w:tab w:val="left" w:pos="-5670"/>
          <w:tab w:val="left" w:pos="-5245"/>
          <w:tab w:val="left" w:pos="420"/>
        </w:tabs>
        <w:spacing w:before="156" w:beforeLines="50" w:after="156" w:afterLines="50" w:line="360" w:lineRule="auto"/>
        <w:rPr>
          <w:rFonts w:ascii="仿宋" w:hAnsi="仿宋" w:eastAsia="仿宋"/>
          <w:sz w:val="24"/>
        </w:rPr>
      </w:pPr>
      <w:r>
        <w:rPr>
          <w:rFonts w:ascii="仿宋" w:hAnsi="仿宋" w:eastAsia="仿宋"/>
          <w:sz w:val="24"/>
        </w:rPr>
        <w:tab/>
      </w:r>
      <w:r>
        <w:rPr>
          <w:rFonts w:ascii="仿宋" w:hAnsi="仿宋" w:eastAsia="仿宋"/>
          <w:sz w:val="24"/>
        </w:rPr>
        <w:t>3.</w:t>
      </w:r>
      <w:r>
        <w:rPr>
          <w:rFonts w:hint="eastAsia" w:ascii="仿宋" w:hAnsi="仿宋" w:eastAsia="仿宋"/>
          <w:sz w:val="24"/>
        </w:rPr>
        <w:t>建议学生定期复习课堂笔记和教材，积极参与课堂讨论，结合作业、案例分析及课程实操提高理论水平和实践能力。</w:t>
      </w:r>
    </w:p>
    <w:p w14:paraId="5A03BF8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41FB5F5D">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852"/>
        <w:gridCol w:w="1124"/>
        <w:gridCol w:w="1286"/>
        <w:gridCol w:w="767"/>
        <w:gridCol w:w="1066"/>
        <w:gridCol w:w="1954"/>
        <w:gridCol w:w="1473"/>
      </w:tblGrid>
      <w:tr w14:paraId="438C9646">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5C133">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0939EC">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8A34D">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7560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E8D1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0F2B3">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5BCD43">
            <w:pPr>
              <w:widowControl/>
              <w:jc w:val="center"/>
              <w:textAlignment w:val="center"/>
              <w:rPr>
                <w:rFonts w:ascii="宋体" w:hAnsi="宋体" w:cs="宋体"/>
                <w:b/>
                <w:bCs/>
                <w:color w:val="000000"/>
                <w:sz w:val="20"/>
                <w:szCs w:val="20"/>
              </w:rPr>
            </w:pPr>
            <w:r>
              <w:rPr>
                <w:rStyle w:val="24"/>
                <w:rFonts w:hint="default"/>
                <w:lang w:bidi="ar"/>
              </w:rPr>
              <w:t>教材级别</w:t>
            </w:r>
          </w:p>
        </w:tc>
      </w:tr>
      <w:tr w14:paraId="5FE42A9E">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13ABF">
            <w:pPr>
              <w:widowControl/>
              <w:jc w:val="center"/>
              <w:textAlignment w:val="center"/>
              <w:rPr>
                <w:rFonts w:ascii="宋体" w:hAnsi="宋体" w:cs="宋体"/>
                <w:color w:val="000000"/>
                <w:sz w:val="20"/>
                <w:szCs w:val="20"/>
              </w:rPr>
            </w:pPr>
            <w:r>
              <w:rPr>
                <w:rFonts w:hint="eastAsia" w:ascii="仿宋" w:hAnsi="仿宋" w:eastAsia="仿宋"/>
                <w:szCs w:val="21"/>
                <w:lang w:val="en-GB"/>
              </w:rPr>
              <w:t>中级财务会计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1265A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20</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4</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3</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CBB7A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21</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4</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2</w:t>
            </w:r>
            <w:r>
              <w:rPr>
                <w:rFonts w:hint="eastAsia" w:ascii="宋体" w:hAnsi="宋体" w:cs="宋体"/>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91D9CC">
            <w:pPr>
              <w:widowControl/>
              <w:jc w:val="center"/>
              <w:textAlignment w:val="center"/>
              <w:rPr>
                <w:rFonts w:ascii="宋体" w:hAnsi="宋体" w:cs="宋体"/>
                <w:color w:val="000000"/>
                <w:sz w:val="20"/>
                <w:szCs w:val="20"/>
              </w:rPr>
            </w:pPr>
            <w:r>
              <w:rPr>
                <w:rFonts w:hint="eastAsia" w:ascii="仿宋" w:hAnsi="仿宋" w:eastAsia="仿宋"/>
                <w:szCs w:val="21"/>
                <w:lang w:val="en-GB"/>
              </w:rPr>
              <w:t>赵建勇编著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55B1A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中国人民大学出版社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C43B72">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978-7-300-27999-2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EEC2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教育部经济</w:t>
            </w:r>
            <w:r>
              <w:rPr>
                <w:rFonts w:ascii="宋体" w:hAnsi="宋体" w:cs="宋体"/>
                <w:color w:val="000000"/>
                <w:kern w:val="0"/>
                <w:sz w:val="20"/>
                <w:szCs w:val="20"/>
                <w:lang w:bidi="ar"/>
              </w:rPr>
              <w:t>管理类主干课程教材</w:t>
            </w:r>
          </w:p>
        </w:tc>
      </w:tr>
    </w:tbl>
    <w:p w14:paraId="4AB996EC">
      <w:pPr>
        <w:spacing w:line="360" w:lineRule="auto"/>
        <w:ind w:firstLine="482" w:firstLineChars="200"/>
        <w:rPr>
          <w:rFonts w:eastAsia="仿宋"/>
          <w:b/>
          <w:color w:val="000000"/>
          <w:sz w:val="24"/>
        </w:rPr>
      </w:pPr>
    </w:p>
    <w:p w14:paraId="4E8BB7B0">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22"/>
        <w:gridCol w:w="835"/>
        <w:gridCol w:w="873"/>
        <w:gridCol w:w="949"/>
        <w:gridCol w:w="1161"/>
        <w:gridCol w:w="1004"/>
        <w:gridCol w:w="1581"/>
        <w:gridCol w:w="1697"/>
      </w:tblGrid>
      <w:tr w14:paraId="2A94D9A5">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16647">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147C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C73D9">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FAB972">
            <w:pPr>
              <w:widowControl/>
              <w:jc w:val="center"/>
              <w:textAlignment w:val="center"/>
              <w:rPr>
                <w:rFonts w:ascii="宋体" w:hAnsi="宋体" w:cs="宋体"/>
                <w:b/>
                <w:bCs/>
                <w:color w:val="000000"/>
                <w:sz w:val="20"/>
                <w:szCs w:val="20"/>
              </w:rPr>
            </w:pPr>
            <w:r>
              <w:rPr>
                <w:rStyle w:val="24"/>
                <w:rFonts w:hint="default"/>
                <w:lang w:bidi="ar"/>
              </w:rPr>
              <w:t>印次</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842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AE287">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594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EBB4A1">
            <w:pPr>
              <w:widowControl/>
              <w:jc w:val="center"/>
              <w:textAlignment w:val="center"/>
              <w:rPr>
                <w:rFonts w:ascii="宋体" w:hAnsi="宋体" w:cs="宋体"/>
                <w:b/>
                <w:bCs/>
                <w:color w:val="000000"/>
                <w:sz w:val="20"/>
                <w:szCs w:val="20"/>
              </w:rPr>
            </w:pPr>
            <w:r>
              <w:rPr>
                <w:rStyle w:val="24"/>
                <w:rFonts w:hint="default"/>
                <w:lang w:bidi="ar"/>
              </w:rPr>
              <w:t>教材级别</w:t>
            </w:r>
          </w:p>
        </w:tc>
      </w:tr>
      <w:tr w14:paraId="5386FFE3">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94CCA5">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CFEB">
            <w:pPr>
              <w:widowControl/>
              <w:jc w:val="center"/>
              <w:textAlignment w:val="center"/>
              <w:rPr>
                <w:rFonts w:ascii="宋体" w:hAnsi="宋体" w:cs="宋体"/>
                <w:color w:val="000000"/>
                <w:sz w:val="20"/>
                <w:szCs w:val="20"/>
              </w:rPr>
            </w:pPr>
            <w:r>
              <w:rPr>
                <w:rFonts w:hint="eastAsia" w:ascii="仿宋" w:hAnsi="仿宋" w:eastAsia="仿宋"/>
                <w:szCs w:val="21"/>
                <w:lang w:val="en-GB"/>
              </w:rPr>
              <w:t>企业会计准则</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2E5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24</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2</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版</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904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24</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2</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次印刷</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689A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企业会计</w:t>
            </w:r>
            <w:r>
              <w:rPr>
                <w:rFonts w:ascii="宋体" w:hAnsi="宋体" w:cs="宋体"/>
                <w:color w:val="000000"/>
                <w:kern w:val="0"/>
                <w:sz w:val="20"/>
                <w:szCs w:val="20"/>
                <w:lang w:bidi="ar"/>
              </w:rPr>
              <w:t>准则编审委员会</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352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人民邮电</w:t>
            </w:r>
            <w:r>
              <w:rPr>
                <w:rFonts w:ascii="宋体" w:hAnsi="宋体" w:cs="宋体"/>
                <w:color w:val="000000"/>
                <w:kern w:val="0"/>
                <w:sz w:val="20"/>
                <w:szCs w:val="20"/>
                <w:lang w:bidi="ar"/>
              </w:rPr>
              <w:t>出版社</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A86D">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9787115637239</w:t>
            </w:r>
          </w:p>
        </w:tc>
        <w:tc>
          <w:tcPr>
            <w:tcW w:w="1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10D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w:t>
            </w:r>
          </w:p>
        </w:tc>
      </w:tr>
      <w:tr w14:paraId="69EC95C1">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20FDB">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E032E">
            <w:pPr>
              <w:widowControl/>
              <w:jc w:val="center"/>
              <w:textAlignment w:val="center"/>
              <w:rPr>
                <w:rFonts w:ascii="宋体" w:hAnsi="宋体" w:cs="宋体"/>
                <w:color w:val="000000"/>
                <w:kern w:val="0"/>
                <w:sz w:val="20"/>
                <w:szCs w:val="20"/>
                <w:lang w:bidi="ar"/>
              </w:rPr>
            </w:pPr>
            <w:r>
              <w:rPr>
                <w:rFonts w:hint="eastAsia" w:ascii="仿宋" w:hAnsi="仿宋" w:eastAsia="仿宋"/>
                <w:szCs w:val="21"/>
                <w:lang w:val="en-GB"/>
              </w:rPr>
              <w:t>会计</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71C47">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23</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2</w:t>
            </w:r>
            <w:r>
              <w:rPr>
                <w:rFonts w:hint="eastAsia" w:ascii="宋体" w:hAnsi="宋体" w:cs="宋体"/>
                <w:color w:val="000000"/>
                <w:kern w:val="0"/>
                <w:sz w:val="20"/>
                <w:szCs w:val="20"/>
                <w:lang w:bidi="ar"/>
              </w:rPr>
              <w:t>月第1版</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CDC4">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23</w:t>
            </w:r>
            <w:r>
              <w:rPr>
                <w:rFonts w:hint="eastAsia" w:ascii="宋体" w:hAnsi="宋体" w:cs="宋体"/>
                <w:color w:val="000000"/>
                <w:kern w:val="0"/>
                <w:sz w:val="20"/>
                <w:szCs w:val="20"/>
                <w:lang w:bidi="ar"/>
              </w:rPr>
              <w:t>年</w:t>
            </w:r>
            <w:r>
              <w:rPr>
                <w:rFonts w:ascii="宋体" w:hAnsi="宋体" w:cs="宋体"/>
                <w:color w:val="000000"/>
                <w:kern w:val="0"/>
                <w:sz w:val="20"/>
                <w:szCs w:val="20"/>
                <w:lang w:bidi="ar"/>
              </w:rPr>
              <w:t>2</w:t>
            </w:r>
            <w:r>
              <w:rPr>
                <w:rFonts w:hint="eastAsia" w:ascii="宋体" w:hAnsi="宋体" w:cs="宋体"/>
                <w:color w:val="000000"/>
                <w:kern w:val="0"/>
                <w:sz w:val="20"/>
                <w:szCs w:val="20"/>
                <w:lang w:bidi="ar"/>
              </w:rPr>
              <w:t>月第</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次印刷</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7BA6">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中国注册</w:t>
            </w:r>
            <w:r>
              <w:rPr>
                <w:rFonts w:ascii="宋体" w:hAnsi="宋体" w:cs="宋体"/>
                <w:color w:val="000000"/>
                <w:kern w:val="0"/>
                <w:sz w:val="20"/>
                <w:szCs w:val="20"/>
                <w:lang w:bidi="ar"/>
              </w:rPr>
              <w:t>会计师协会</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970C">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中国财政</w:t>
            </w:r>
            <w:r>
              <w:rPr>
                <w:rFonts w:ascii="宋体" w:hAnsi="宋体" w:cs="宋体"/>
                <w:color w:val="000000"/>
                <w:kern w:val="0"/>
                <w:sz w:val="20"/>
                <w:szCs w:val="20"/>
                <w:lang w:bidi="ar"/>
              </w:rPr>
              <w:t>经济出版社</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C0EC">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9787522328423</w:t>
            </w:r>
          </w:p>
        </w:tc>
        <w:tc>
          <w:tcPr>
            <w:tcW w:w="1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AEB4">
            <w:pPr>
              <w:jc w:val="center"/>
              <w:rPr>
                <w:rFonts w:ascii="宋体" w:hAnsi="宋体" w:cs="宋体"/>
                <w:color w:val="000000"/>
                <w:kern w:val="0"/>
                <w:sz w:val="20"/>
                <w:szCs w:val="20"/>
                <w:lang w:bidi="ar"/>
              </w:rPr>
            </w:pPr>
          </w:p>
        </w:tc>
      </w:tr>
    </w:tbl>
    <w:p w14:paraId="1CB23811">
      <w:pPr>
        <w:spacing w:line="360" w:lineRule="auto"/>
        <w:ind w:firstLine="480" w:firstLineChars="200"/>
        <w:jc w:val="left"/>
        <w:rPr>
          <w:rFonts w:eastAsia="仿宋"/>
          <w:color w:val="000000"/>
          <w:sz w:val="24"/>
        </w:rPr>
      </w:pPr>
    </w:p>
    <w:p w14:paraId="1E13F951">
      <w:pPr>
        <w:spacing w:line="360" w:lineRule="auto"/>
        <w:ind w:firstLine="482" w:firstLineChars="200"/>
        <w:rPr>
          <w:rFonts w:eastAsia="仿宋"/>
          <w:color w:val="808080"/>
          <w:sz w:val="24"/>
        </w:rPr>
      </w:pPr>
      <w:r>
        <w:rPr>
          <w:rFonts w:eastAsia="仿宋"/>
          <w:b/>
          <w:sz w:val="24"/>
        </w:rPr>
        <w:t>3．其他学习资源</w:t>
      </w:r>
    </w:p>
    <w:p w14:paraId="3DBB7B14">
      <w:pPr>
        <w:spacing w:line="360" w:lineRule="auto"/>
        <w:ind w:firstLine="420"/>
        <w:jc w:val="left"/>
        <w:rPr>
          <w:rFonts w:eastAsia="仿宋"/>
          <w:color w:val="000000"/>
          <w:sz w:val="24"/>
        </w:rPr>
      </w:pPr>
      <w:r>
        <w:rPr>
          <w:rFonts w:hint="eastAsia" w:eastAsia="仿宋"/>
          <w:color w:val="000000"/>
          <w:sz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7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
    <w:altName w:val="方正仿宋_GBK"/>
    <w:panose1 w:val="00000000000000000000"/>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298B"/>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0A7"/>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3F6C"/>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151DE"/>
    <w:rsid w:val="00321FC7"/>
    <w:rsid w:val="00323568"/>
    <w:rsid w:val="003277E2"/>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760"/>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5581"/>
    <w:rsid w:val="0051661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1BA2"/>
    <w:rsid w:val="00553E4C"/>
    <w:rsid w:val="005556D0"/>
    <w:rsid w:val="0056444B"/>
    <w:rsid w:val="00567D47"/>
    <w:rsid w:val="00567F7C"/>
    <w:rsid w:val="00570F3F"/>
    <w:rsid w:val="00571DFD"/>
    <w:rsid w:val="0057618A"/>
    <w:rsid w:val="005767D1"/>
    <w:rsid w:val="005844B9"/>
    <w:rsid w:val="0058582C"/>
    <w:rsid w:val="005960D1"/>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15C5"/>
    <w:rsid w:val="00643AA6"/>
    <w:rsid w:val="0064672B"/>
    <w:rsid w:val="0065025B"/>
    <w:rsid w:val="00652259"/>
    <w:rsid w:val="00656604"/>
    <w:rsid w:val="00656A53"/>
    <w:rsid w:val="00661B95"/>
    <w:rsid w:val="00667B68"/>
    <w:rsid w:val="0067285F"/>
    <w:rsid w:val="00677486"/>
    <w:rsid w:val="0068216D"/>
    <w:rsid w:val="00683C1B"/>
    <w:rsid w:val="006850AB"/>
    <w:rsid w:val="00692DB7"/>
    <w:rsid w:val="00693945"/>
    <w:rsid w:val="006942D5"/>
    <w:rsid w:val="00696C8A"/>
    <w:rsid w:val="0069715A"/>
    <w:rsid w:val="00697835"/>
    <w:rsid w:val="006A2828"/>
    <w:rsid w:val="006A3059"/>
    <w:rsid w:val="006B44C1"/>
    <w:rsid w:val="006B4C8A"/>
    <w:rsid w:val="006B6E22"/>
    <w:rsid w:val="006C2FBD"/>
    <w:rsid w:val="006C462B"/>
    <w:rsid w:val="006C4821"/>
    <w:rsid w:val="006C772E"/>
    <w:rsid w:val="006D79FE"/>
    <w:rsid w:val="006E0F27"/>
    <w:rsid w:val="006E1729"/>
    <w:rsid w:val="006E7B71"/>
    <w:rsid w:val="006F03A6"/>
    <w:rsid w:val="006F18E1"/>
    <w:rsid w:val="006F354C"/>
    <w:rsid w:val="006F417D"/>
    <w:rsid w:val="006F6010"/>
    <w:rsid w:val="006F6039"/>
    <w:rsid w:val="006F6CE2"/>
    <w:rsid w:val="0070245D"/>
    <w:rsid w:val="00707E47"/>
    <w:rsid w:val="00710459"/>
    <w:rsid w:val="00710F6B"/>
    <w:rsid w:val="00712B3E"/>
    <w:rsid w:val="00715734"/>
    <w:rsid w:val="007166BB"/>
    <w:rsid w:val="007346ED"/>
    <w:rsid w:val="00737CC8"/>
    <w:rsid w:val="00744B9F"/>
    <w:rsid w:val="00745219"/>
    <w:rsid w:val="007478AA"/>
    <w:rsid w:val="007502F6"/>
    <w:rsid w:val="0075304A"/>
    <w:rsid w:val="00755C86"/>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0A46"/>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D7954"/>
    <w:rsid w:val="008E0850"/>
    <w:rsid w:val="008E29B1"/>
    <w:rsid w:val="008F6743"/>
    <w:rsid w:val="00907700"/>
    <w:rsid w:val="00914959"/>
    <w:rsid w:val="00917EBB"/>
    <w:rsid w:val="009217D7"/>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414A"/>
    <w:rsid w:val="00965302"/>
    <w:rsid w:val="00965FAE"/>
    <w:rsid w:val="00970A7D"/>
    <w:rsid w:val="00971D73"/>
    <w:rsid w:val="0097735F"/>
    <w:rsid w:val="00980B65"/>
    <w:rsid w:val="00981BCE"/>
    <w:rsid w:val="009841F6"/>
    <w:rsid w:val="0098455F"/>
    <w:rsid w:val="00985BAE"/>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28F3"/>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26526"/>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A4245"/>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ECA"/>
    <w:rsid w:val="00CC7FC3"/>
    <w:rsid w:val="00CD034F"/>
    <w:rsid w:val="00CD35DA"/>
    <w:rsid w:val="00CF2653"/>
    <w:rsid w:val="00CF3018"/>
    <w:rsid w:val="00CF3827"/>
    <w:rsid w:val="00CF6BD6"/>
    <w:rsid w:val="00D0482D"/>
    <w:rsid w:val="00D04ADD"/>
    <w:rsid w:val="00D050DF"/>
    <w:rsid w:val="00D16BA1"/>
    <w:rsid w:val="00D23F97"/>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4AE2"/>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2167"/>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A7D4B"/>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5537"/>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0C9A"/>
    <w:rsid w:val="00F91AAC"/>
    <w:rsid w:val="00F93095"/>
    <w:rsid w:val="00F939FF"/>
    <w:rsid w:val="00F976EE"/>
    <w:rsid w:val="00FA06DD"/>
    <w:rsid w:val="00FA563F"/>
    <w:rsid w:val="00FB078A"/>
    <w:rsid w:val="00FB5DB2"/>
    <w:rsid w:val="00FC14D9"/>
    <w:rsid w:val="00FC15F2"/>
    <w:rsid w:val="00FC30D8"/>
    <w:rsid w:val="00FC4060"/>
    <w:rsid w:val="00FD6667"/>
    <w:rsid w:val="00FE2EE1"/>
    <w:rsid w:val="00FE753B"/>
    <w:rsid w:val="00FF0B26"/>
    <w:rsid w:val="00FF23FD"/>
    <w:rsid w:val="00FF7A9C"/>
    <w:rsid w:val="377BC0CA"/>
    <w:rsid w:val="4BF3CB97"/>
    <w:rsid w:val="6BF2569F"/>
    <w:rsid w:val="ADEC9A5E"/>
    <w:rsid w:val="FFFD1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unhideWhenUsed/>
    <w:uiPriority w:val="99"/>
    <w:rPr>
      <w:rFonts w:ascii="宋体"/>
      <w:sz w:val="18"/>
      <w:szCs w:val="18"/>
    </w:rPr>
  </w:style>
  <w:style w:type="paragraph" w:styleId="3">
    <w:name w:val="annotation text"/>
    <w:basedOn w:val="1"/>
    <w:link w:val="12"/>
    <w:unhideWhenUsed/>
    <w:uiPriority w:val="99"/>
    <w:pPr>
      <w:jc w:val="left"/>
    </w:pPr>
    <w:rPr>
      <w:kern w:val="0"/>
      <w:sz w:val="24"/>
    </w:rPr>
  </w:style>
  <w:style w:type="paragraph" w:styleId="4">
    <w:name w:val="Balloon Text"/>
    <w:basedOn w:val="1"/>
    <w:link w:val="13"/>
    <w:unhideWhenUsed/>
    <w:uiPriority w:val="99"/>
    <w:rPr>
      <w:kern w:val="0"/>
      <w:sz w:val="18"/>
      <w:szCs w:val="18"/>
    </w:rPr>
  </w:style>
  <w:style w:type="paragraph" w:styleId="5">
    <w:name w:val="footer"/>
    <w:basedOn w:val="1"/>
    <w:link w:val="14"/>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rFonts w:cs="Times New Roman"/>
      <w:sz w:val="21"/>
      <w:szCs w:val="21"/>
    </w:rPr>
  </w:style>
  <w:style w:type="character" w:customStyle="1" w:styleId="12">
    <w:name w:val="批注文字 字符"/>
    <w:link w:val="3"/>
    <w:semiHidden/>
    <w:locked/>
    <w:uiPriority w:val="99"/>
    <w:rPr>
      <w:rFonts w:ascii="Times New Roman" w:hAnsi="Times New Roman" w:eastAsia="宋体" w:cs="Times New Roman"/>
      <w:sz w:val="24"/>
      <w:szCs w:val="24"/>
    </w:rPr>
  </w:style>
  <w:style w:type="character" w:customStyle="1" w:styleId="13">
    <w:name w:val="批注框文本 字符"/>
    <w:link w:val="4"/>
    <w:semiHidden/>
    <w:locked/>
    <w:uiPriority w:val="99"/>
    <w:rPr>
      <w:rFonts w:ascii="Times New Roman" w:hAnsi="Times New Roman" w:eastAsia="宋体" w:cs="Times New Roman"/>
      <w:sz w:val="18"/>
      <w:szCs w:val="18"/>
    </w:rPr>
  </w:style>
  <w:style w:type="character" w:customStyle="1" w:styleId="14">
    <w:name w:val="页脚 字符"/>
    <w:link w:val="5"/>
    <w:locked/>
    <w:uiPriority w:val="99"/>
    <w:rPr>
      <w:rFonts w:cs="Times New Roman"/>
      <w:sz w:val="18"/>
      <w:szCs w:val="18"/>
    </w:rPr>
  </w:style>
  <w:style w:type="character" w:customStyle="1" w:styleId="15">
    <w:name w:val="文档结构图 字符"/>
    <w:link w:val="2"/>
    <w:semiHidden/>
    <w:uiPriority w:val="99"/>
    <w:rPr>
      <w:rFonts w:ascii="宋体" w:hAnsi="Times New Roman"/>
      <w:kern w:val="2"/>
      <w:sz w:val="18"/>
      <w:szCs w:val="18"/>
    </w:rPr>
  </w:style>
  <w:style w:type="character" w:customStyle="1" w:styleId="16">
    <w:name w:val="页眉 字符"/>
    <w:link w:val="6"/>
    <w:locked/>
    <w:uiPriority w:val="99"/>
    <w:rPr>
      <w:rFonts w:cs="Times New Roman"/>
      <w:sz w:val="18"/>
      <w:szCs w:val="18"/>
    </w:rPr>
  </w:style>
  <w:style w:type="character" w:customStyle="1" w:styleId="17">
    <w:name w:val="批注主题 字符"/>
    <w:link w:val="7"/>
    <w:semiHidden/>
    <w:locked/>
    <w:uiPriority w:val="99"/>
    <w:rPr>
      <w:rFonts w:ascii="Times New Roman" w:hAnsi="Times New Roman" w:eastAsia="宋体" w:cs="Times New Roman"/>
      <w:b/>
      <w:bCs/>
      <w:sz w:val="24"/>
      <w:szCs w:val="24"/>
    </w:rPr>
  </w:style>
  <w:style w:type="paragraph" w:customStyle="1" w:styleId="18">
    <w:name w:val="列出段落1"/>
    <w:basedOn w:val="1"/>
    <w:qFormat/>
    <w:uiPriority w:val="34"/>
    <w:pPr>
      <w:ind w:firstLine="420" w:firstLineChars="200"/>
    </w:pPr>
    <w:rPr>
      <w:rFonts w:ascii="Calibri" w:hAnsi="Calibri"/>
      <w:szCs w:val="22"/>
    </w:rPr>
  </w:style>
  <w:style w:type="paragraph" w:customStyle="1" w:styleId="19">
    <w:name w:val="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修订1"/>
    <w:hidden/>
    <w:unhideWhenUsed/>
    <w:uiPriority w:val="99"/>
    <w:rPr>
      <w:rFonts w:ascii="Times New Roman" w:hAnsi="Times New Roman" w:eastAsia="宋体" w:cs="Times New Roman"/>
      <w:kern w:val="2"/>
      <w:sz w:val="21"/>
      <w:szCs w:val="24"/>
      <w:lang w:val="en-US" w:eastAsia="zh-CN" w:bidi="ar-SA"/>
    </w:rPr>
  </w:style>
  <w:style w:type="character" w:customStyle="1" w:styleId="22">
    <w:name w:val="font31"/>
    <w:uiPriority w:val="0"/>
    <w:rPr>
      <w:rFonts w:hint="eastAsia" w:ascii="宋体" w:hAnsi="宋体" w:eastAsia="宋体" w:cs="宋体"/>
      <w:b/>
      <w:bCs/>
      <w:color w:val="000000"/>
      <w:sz w:val="20"/>
      <w:szCs w:val="20"/>
      <w:u w:val="none"/>
    </w:rPr>
  </w:style>
  <w:style w:type="character" w:customStyle="1" w:styleId="23">
    <w:name w:val="font41"/>
    <w:uiPriority w:val="0"/>
    <w:rPr>
      <w:rFonts w:hint="eastAsia" w:ascii="宋体" w:hAnsi="宋体" w:eastAsia="宋体" w:cs="宋体"/>
      <w:b/>
      <w:bCs/>
      <w:color w:val="FF0000"/>
      <w:sz w:val="20"/>
      <w:szCs w:val="20"/>
      <w:u w:val="none"/>
    </w:rPr>
  </w:style>
  <w:style w:type="character" w:customStyle="1" w:styleId="24">
    <w:name w:val="font11"/>
    <w:uiPriority w:val="0"/>
    <w:rPr>
      <w:rFonts w:hint="eastAsia" w:ascii="宋体" w:hAnsi="宋体" w:eastAsia="宋体" w:cs="宋体"/>
      <w:b/>
      <w:bCs/>
      <w:color w:val="000000"/>
      <w:sz w:val="20"/>
      <w:szCs w:val="20"/>
      <w:u w:val="none"/>
    </w:rPr>
  </w:style>
  <w:style w:type="character" w:customStyle="1" w:styleId="25">
    <w:name w:val="font51"/>
    <w:uiPriority w:val="0"/>
    <w:rPr>
      <w:rFonts w:hint="eastAsia" w:ascii="宋体" w:hAnsi="宋体" w:eastAsia="宋体" w:cs="宋体"/>
      <w:b/>
      <w:bCs/>
      <w:color w:val="FF0000"/>
      <w:sz w:val="20"/>
      <w:szCs w:val="20"/>
      <w:u w:val="none"/>
    </w:rPr>
  </w:style>
  <w:style w:type="paragraph" w:styleId="2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617</Words>
  <Characters>3523</Characters>
  <Lines>29</Lines>
  <Paragraphs>8</Paragraphs>
  <TotalTime>52</TotalTime>
  <ScaleCrop>false</ScaleCrop>
  <LinksUpToDate>false</LinksUpToDate>
  <CharactersWithSpaces>4132</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2024-06-09T23:41:00Z</dcterms:created>
  <dc:creator>dell</dc:creator>
  <cp:lastModifiedBy>全世界我最喜欢你</cp:lastModifiedBy>
  <dcterms:modified xsi:type="dcterms:W3CDTF">2024-08-31T16:54:59Z</dcterms:modified>
  <dc:title>《工程结构抗震设计原理》课程教学大纲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2B9667085D57641E63DAD2662E050F8C_43</vt:lpwstr>
  </property>
</Properties>
</file>