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rPr>
        <w:t>税法专题</w:t>
      </w:r>
      <w:r>
        <w:rPr>
          <w:rFonts w:hint="eastAsia" w:ascii="方正小标宋简体" w:hAnsi="黑体" w:eastAsia="方正小标宋简体"/>
          <w:sz w:val="32"/>
          <w:szCs w:val="21"/>
          <w:lang w:val="en-GB"/>
        </w:rPr>
        <w:t>》教学大纲</w:t>
      </w:r>
    </w:p>
    <w:p>
      <w:pPr>
        <w:rPr>
          <w:rFonts w:ascii="黑体" w:hAnsi="黑体" w:eastAsia="黑体"/>
          <w:szCs w:val="21"/>
          <w:lang w:val="en-GB"/>
        </w:rPr>
      </w:pPr>
      <w:r>
        <w:rPr>
          <w:rFonts w:hint="eastAsia" w:ascii="黑体" w:hAnsi="黑体" w:eastAsia="黑体"/>
          <w:szCs w:val="21"/>
          <w:lang w:val="en-GB"/>
        </w:rPr>
        <w:t>一、基本信息</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黑体" w:hAnsi="黑体" w:eastAsia="黑体"/>
                <w:szCs w:val="21"/>
                <w:lang w:val="en-GB"/>
              </w:rPr>
            </w:pPr>
            <w:r>
              <w:rPr>
                <w:rFonts w:hint="eastAsia" w:ascii="仿宋" w:hAnsi="仿宋" w:eastAsia="仿宋"/>
                <w:szCs w:val="21"/>
                <w:lang w:val="en-GB"/>
              </w:rPr>
              <w:t>课程名称：</w:t>
            </w:r>
            <w:r>
              <w:rPr>
                <w:rFonts w:hint="eastAsia" w:ascii="仿宋" w:hAnsi="仿宋" w:eastAsia="仿宋" w:cs="仿宋"/>
                <w:bCs/>
                <w:sz w:val="24"/>
                <w:szCs w:val="24"/>
              </w:rPr>
              <w:t>《税法专题》</w:t>
            </w:r>
          </w:p>
        </w:tc>
        <w:tc>
          <w:tcPr>
            <w:tcW w:w="3969" w:type="dxa"/>
            <w:vAlign w:val="center"/>
          </w:tcPr>
          <w:p>
            <w:pPr>
              <w:rPr>
                <w:rFonts w:ascii="黑体" w:hAnsi="黑体" w:eastAsia="仿宋"/>
                <w:szCs w:val="21"/>
              </w:rPr>
            </w:pPr>
            <w:r>
              <w:rPr>
                <w:rFonts w:hint="eastAsia" w:ascii="仿宋" w:hAnsi="仿宋" w:eastAsia="仿宋"/>
                <w:szCs w:val="21"/>
                <w:lang w:val="en-GB"/>
              </w:rPr>
              <w:t>英文课程名称：</w:t>
            </w:r>
            <w:r>
              <w:rPr>
                <w:rFonts w:hint="eastAsia" w:ascii="Times New Roman" w:hAnsi="Times New Roman" w:eastAsia="等线" w:cs="Times New Roman"/>
                <w:sz w:val="24"/>
              </w:rPr>
              <w:t>Topics of Taxation Law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黑体" w:hAnsi="黑体" w:eastAsia="仿宋"/>
                <w:szCs w:val="21"/>
              </w:rPr>
            </w:pPr>
            <w:r>
              <w:rPr>
                <w:rFonts w:hint="eastAsia" w:ascii="仿宋" w:hAnsi="仿宋" w:eastAsia="仿宋"/>
                <w:szCs w:val="21"/>
                <w:lang w:val="en-GB"/>
              </w:rPr>
              <w:t>课程代码：</w:t>
            </w:r>
            <w:r>
              <w:rPr>
                <w:rFonts w:hint="eastAsia" w:ascii="仿宋" w:hAnsi="仿宋" w:eastAsia="仿宋"/>
                <w:szCs w:val="21"/>
              </w:rPr>
              <w:t>160721E012</w:t>
            </w:r>
          </w:p>
        </w:tc>
        <w:tc>
          <w:tcPr>
            <w:tcW w:w="3969" w:type="dxa"/>
            <w:vAlign w:val="center"/>
          </w:tcPr>
          <w:p>
            <w:pPr>
              <w:rPr>
                <w:rFonts w:ascii="黑体" w:hAnsi="黑体" w:eastAsia="仿宋"/>
                <w:szCs w:val="21"/>
              </w:rPr>
            </w:pPr>
            <w:r>
              <w:rPr>
                <w:rFonts w:hint="eastAsia" w:ascii="仿宋" w:hAnsi="仿宋" w:eastAsia="仿宋"/>
                <w:szCs w:val="21"/>
                <w:lang w:val="en-GB"/>
              </w:rPr>
              <w:t>总学分：</w:t>
            </w:r>
            <w:r>
              <w:rPr>
                <w:rFonts w:hint="eastAsia" w:ascii="仿宋" w:hAnsi="仿宋" w:eastAsia="仿宋"/>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黑体" w:hAnsi="黑体" w:eastAsia="仿宋"/>
                <w:szCs w:val="21"/>
              </w:rPr>
            </w:pPr>
            <w:r>
              <w:rPr>
                <w:rFonts w:hint="eastAsia" w:ascii="仿宋" w:hAnsi="仿宋" w:eastAsia="仿宋"/>
                <w:szCs w:val="21"/>
                <w:lang w:val="en-GB"/>
              </w:rPr>
              <w:t>总学时：</w:t>
            </w:r>
            <w:r>
              <w:rPr>
                <w:rFonts w:hint="eastAsia" w:ascii="仿宋" w:hAnsi="仿宋" w:eastAsia="仿宋"/>
                <w:szCs w:val="21"/>
              </w:rPr>
              <w:t>32</w:t>
            </w:r>
          </w:p>
        </w:tc>
        <w:tc>
          <w:tcPr>
            <w:tcW w:w="3969" w:type="dxa"/>
            <w:vAlign w:val="center"/>
          </w:tcPr>
          <w:p>
            <w:pPr>
              <w:rPr>
                <w:rFonts w:ascii="黑体" w:hAnsi="黑体" w:eastAsia="仿宋"/>
                <w:szCs w:val="21"/>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jc w:val="right"/>
        </w:trPr>
        <w:tc>
          <w:tcPr>
            <w:tcW w:w="4025" w:type="dxa"/>
            <w:vAlign w:val="center"/>
          </w:tcPr>
          <w:p>
            <w:pPr>
              <w:rPr>
                <w:rFonts w:ascii="仿宋" w:hAnsi="仿宋" w:eastAsia="仿宋"/>
                <w:szCs w:val="21"/>
              </w:rPr>
            </w:pPr>
            <w:r>
              <w:rPr>
                <w:rFonts w:hint="eastAsia" w:ascii="仿宋" w:hAnsi="仿宋" w:eastAsia="仿宋"/>
                <w:szCs w:val="21"/>
                <w:lang w:val="en-GB"/>
              </w:rPr>
              <w:t>实验学时：</w:t>
            </w:r>
            <w:r>
              <w:rPr>
                <w:rFonts w:hint="eastAsia" w:ascii="仿宋" w:hAnsi="仿宋" w:eastAsia="仿宋"/>
                <w:szCs w:val="21"/>
              </w:rPr>
              <w:t>8</w:t>
            </w:r>
          </w:p>
        </w:tc>
        <w:tc>
          <w:tcPr>
            <w:tcW w:w="3969" w:type="dxa"/>
            <w:vAlign w:val="center"/>
          </w:tcPr>
          <w:p>
            <w:pPr>
              <w:rPr>
                <w:rFonts w:ascii="仿宋" w:hAnsi="仿宋" w:eastAsia="仿宋"/>
                <w:szCs w:val="21"/>
              </w:rPr>
            </w:pPr>
            <w:r>
              <w:rPr>
                <w:rFonts w:hint="eastAsia" w:ascii="仿宋" w:hAnsi="仿宋" w:eastAsia="仿宋"/>
                <w:szCs w:val="21"/>
                <w:lang w:val="en-GB"/>
              </w:rPr>
              <w:t>上机学时：</w:t>
            </w:r>
            <w:r>
              <w:rPr>
                <w:rFonts w:hint="eastAsia" w:ascii="仿宋" w:hAnsi="仿宋" w:eastAsia="仿宋"/>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黑体" w:hAnsi="黑体" w:eastAsia="黑体"/>
                <w:szCs w:val="21"/>
                <w:lang w:val="en-GB"/>
              </w:rPr>
            </w:pPr>
            <w:r>
              <w:rPr>
                <w:rFonts w:hint="eastAsia" w:ascii="仿宋" w:hAnsi="仿宋" w:eastAsia="仿宋"/>
                <w:szCs w:val="21"/>
                <w:lang w:val="en-GB"/>
              </w:rPr>
              <w:t>开课学院：</w:t>
            </w:r>
            <w:r>
              <w:rPr>
                <w:rFonts w:hint="eastAsia" w:ascii="仿宋" w:hAnsi="仿宋" w:eastAsia="仿宋"/>
                <w:szCs w:val="21"/>
              </w:rPr>
              <w:t>工商管理</w:t>
            </w:r>
            <w:r>
              <w:rPr>
                <w:rFonts w:ascii="仿宋" w:hAnsi="仿宋" w:eastAsia="仿宋"/>
                <w:szCs w:val="21"/>
              </w:rPr>
              <w:t>学院</w:t>
            </w:r>
            <w:r>
              <w:rPr>
                <w:rFonts w:hint="eastAsia" w:ascii="仿宋" w:hAnsi="仿宋" w:eastAsia="仿宋"/>
                <w:szCs w:val="21"/>
              </w:rPr>
              <w:t>/马克思主义学院</w:t>
            </w:r>
          </w:p>
        </w:tc>
        <w:tc>
          <w:tcPr>
            <w:tcW w:w="3969" w:type="dxa"/>
            <w:vAlign w:val="center"/>
          </w:tcPr>
          <w:p>
            <w:pPr>
              <w:tabs>
                <w:tab w:val="left" w:pos="-720"/>
              </w:tabs>
              <w:suppressAutoHyphens/>
              <w:snapToGrid w:val="0"/>
              <w:spacing w:line="360" w:lineRule="auto"/>
              <w:rPr>
                <w:rFonts w:ascii="黑体" w:hAnsi="黑体" w:eastAsia="仿宋"/>
                <w:szCs w:val="21"/>
              </w:rPr>
            </w:pPr>
            <w:r>
              <w:rPr>
                <w:rFonts w:hint="eastAsia" w:ascii="仿宋" w:hAnsi="仿宋" w:eastAsia="仿宋"/>
                <w:szCs w:val="21"/>
                <w:lang w:val="en-GB"/>
              </w:rPr>
              <w:t>适用专业：</w:t>
            </w:r>
            <w:r>
              <w:rPr>
                <w:rFonts w:hint="eastAsia" w:ascii="仿宋" w:hAnsi="仿宋" w:eastAsia="仿宋"/>
                <w:szCs w:val="21"/>
              </w:rPr>
              <w:t>会计相关专业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黑体" w:hAnsi="黑体" w:eastAsia="仿宋"/>
                <w:szCs w:val="21"/>
                <w:lang w:val="en-GB"/>
              </w:rPr>
            </w:pPr>
            <w:r>
              <w:rPr>
                <w:rFonts w:hint="eastAsia" w:ascii="仿宋" w:hAnsi="仿宋" w:eastAsia="仿宋"/>
                <w:szCs w:val="21"/>
                <w:lang w:val="en-GB"/>
              </w:rPr>
              <w:t>课程性质：</w:t>
            </w:r>
            <w:r>
              <w:rPr>
                <w:rFonts w:hint="eastAsia" w:ascii="仿宋" w:hAnsi="仿宋" w:eastAsia="仿宋"/>
                <w:szCs w:val="21"/>
              </w:rPr>
              <w:t>选修</w:t>
            </w:r>
          </w:p>
        </w:tc>
        <w:tc>
          <w:tcPr>
            <w:tcW w:w="3969" w:type="dxa"/>
            <w:vAlign w:val="center"/>
          </w:tcPr>
          <w:p>
            <w:pPr>
              <w:rPr>
                <w:rFonts w:ascii="黑体" w:hAnsi="黑体" w:eastAsia="黑体"/>
                <w:szCs w:val="21"/>
                <w:lang w:val="en-GB"/>
              </w:rPr>
            </w:pPr>
            <w:r>
              <w:rPr>
                <w:rFonts w:hint="eastAsia" w:ascii="仿宋" w:hAnsi="仿宋" w:eastAsia="仿宋"/>
                <w:szCs w:val="21"/>
                <w:lang w:val="en-GB"/>
              </w:rPr>
              <w:t>先修课程：</w:t>
            </w:r>
          </w:p>
        </w:tc>
      </w:tr>
    </w:tbl>
    <w:p>
      <w:pPr>
        <w:rPr>
          <w:rFonts w:ascii="黑体" w:hAnsi="黑体" w:eastAsia="黑体"/>
          <w:szCs w:val="21"/>
          <w:lang w:val="en-GB"/>
        </w:rPr>
      </w:pPr>
      <w:r>
        <w:rPr>
          <w:rFonts w:hint="eastAsia" w:ascii="黑体" w:hAnsi="黑体" w:eastAsia="黑体"/>
          <w:szCs w:val="21"/>
          <w:lang w:val="en-GB"/>
        </w:rPr>
        <w:t>二、课程简介</w:t>
      </w:r>
    </w:p>
    <w:p>
      <w:pPr>
        <w:spacing w:line="360" w:lineRule="auto"/>
        <w:ind w:firstLine="514" w:firstLineChars="245"/>
        <w:rPr>
          <w:rFonts w:ascii="仿宋" w:hAnsi="仿宋" w:eastAsia="仿宋" w:cs="Times New Roman"/>
          <w:szCs w:val="21"/>
        </w:rPr>
      </w:pPr>
      <w:r>
        <w:rPr>
          <w:rFonts w:hint="eastAsia" w:ascii="仿宋" w:hAnsi="仿宋" w:eastAsia="仿宋" w:cs="Times New Roman"/>
          <w:kern w:val="0"/>
          <w:szCs w:val="21"/>
        </w:rPr>
        <w:t>《税法专题》是会计专业的一门选修课程，是建立在会计学基础、财务会计、财务管理、经济法、审计学等专业理论课程基础上的独立选修课程。本课程应根据国家税收法规的变更随时进行教学内容的更新和调整。教学中，要注意调动学生学习的积极性，多安排案例分析，通过课上讨论加深学生对税法原理的理解；重点内容课多安排作业。总目标是通过对税法的基本概念、基本原理和基本方法的学习，研究、分析和评价各种案例,培养学生分析和解决实际税法问题的能力。勤于动脑,运用自身所学的专业知识,结合实际的税法案例,在实践中不断提高自身能力,并积累丰富的经验，</w:t>
      </w:r>
      <w:r>
        <w:rPr>
          <w:rFonts w:ascii="仿宋" w:hAnsi="仿宋" w:eastAsia="仿宋" w:cs="Times New Roman"/>
          <w:kern w:val="0"/>
          <w:szCs w:val="21"/>
        </w:rPr>
        <w:t>达到学以致用的目的。</w:t>
      </w:r>
    </w:p>
    <w:p>
      <w:pPr>
        <w:keepNext/>
        <w:spacing w:line="360" w:lineRule="auto"/>
        <w:rPr>
          <w:rFonts w:ascii="仿宋" w:hAnsi="仿宋" w:eastAsia="仿宋" w:cs="Times New Roman"/>
          <w:szCs w:val="21"/>
        </w:rPr>
      </w:pPr>
      <w:r>
        <w:rPr>
          <w:rFonts w:ascii="仿宋" w:hAnsi="仿宋" w:eastAsia="仿宋" w:cs="Times New Roman"/>
          <w:szCs w:val="21"/>
        </w:rPr>
        <w:t>该课程包括</w:t>
      </w:r>
      <w:r>
        <w:rPr>
          <w:rFonts w:hint="eastAsia" w:ascii="仿宋" w:hAnsi="仿宋" w:eastAsia="仿宋" w:cs="Times New Roman"/>
          <w:szCs w:val="21"/>
        </w:rPr>
        <w:t>四</w:t>
      </w:r>
      <w:r>
        <w:rPr>
          <w:rFonts w:ascii="仿宋" w:hAnsi="仿宋" w:eastAsia="仿宋" w:cs="Times New Roman"/>
          <w:szCs w:val="21"/>
        </w:rPr>
        <w:t>篇，</w:t>
      </w:r>
      <w:r>
        <w:rPr>
          <w:rFonts w:hint="eastAsia" w:ascii="仿宋" w:hAnsi="仿宋" w:eastAsia="仿宋" w:cs="Times New Roman"/>
          <w:kern w:val="0"/>
          <w:szCs w:val="21"/>
        </w:rPr>
        <w:t>第一篇</w:t>
      </w:r>
      <w:r>
        <w:rPr>
          <w:rFonts w:ascii="仿宋" w:hAnsi="仿宋" w:eastAsia="仿宋" w:cs="Times New Roman"/>
          <w:szCs w:val="21"/>
        </w:rPr>
        <w:t>为</w:t>
      </w:r>
      <w:r>
        <w:rPr>
          <w:rFonts w:hint="eastAsia" w:ascii="仿宋" w:hAnsi="仿宋" w:eastAsia="仿宋" w:cs="Times New Roman"/>
          <w:szCs w:val="21"/>
        </w:rPr>
        <w:t>税法基础理论，包括税收初阶、税法总论、课税要素、税权分配、征纳权义、税法解释、重复征税、税收逃避和应用案例；第二篇为实体法，包括商品和劳务税法、所得税法、资源税法、财产税法和行为税法等，以及案例讨论；第三篇为</w:t>
      </w:r>
      <w:r>
        <w:rPr>
          <w:rFonts w:hint="eastAsia" w:ascii="仿宋" w:hAnsi="仿宋" w:eastAsia="仿宋" w:cs="仿宋"/>
          <w:szCs w:val="21"/>
        </w:rPr>
        <w:t>税收管理及税收行政法制</w:t>
      </w:r>
      <w:r>
        <w:rPr>
          <w:rFonts w:hint="eastAsia" w:ascii="仿宋" w:hAnsi="仿宋" w:eastAsia="仿宋" w:cs="Times New Roman"/>
          <w:szCs w:val="21"/>
        </w:rPr>
        <w:t>，包括</w:t>
      </w:r>
      <w:r>
        <w:rPr>
          <w:rFonts w:hint="eastAsia" w:ascii="仿宋" w:hAnsi="仿宋" w:eastAsia="仿宋" w:cs="仿宋"/>
          <w:szCs w:val="21"/>
        </w:rPr>
        <w:t>税收管理制度、税款征收制度、税收法律责任、税收复议制度、税收诉讼制度</w:t>
      </w:r>
      <w:r>
        <w:rPr>
          <w:rFonts w:hint="eastAsia" w:ascii="仿宋" w:hAnsi="仿宋" w:eastAsia="仿宋" w:cs="Times New Roman"/>
          <w:szCs w:val="21"/>
        </w:rPr>
        <w:t>。</w:t>
      </w:r>
    </w:p>
    <w:p>
      <w:pPr>
        <w:keepNext/>
        <w:spacing w:line="360" w:lineRule="auto"/>
        <w:rPr>
          <w:rFonts w:ascii="仿宋" w:hAnsi="仿宋" w:eastAsia="仿宋" w:cs="Times New Roman"/>
          <w:szCs w:val="21"/>
        </w:rPr>
      </w:pPr>
    </w:p>
    <w:p>
      <w:pPr>
        <w:rPr>
          <w:rFonts w:ascii="黑体" w:hAnsi="黑体" w:eastAsia="黑体"/>
          <w:szCs w:val="21"/>
          <w:lang w:val="en-GB"/>
        </w:rPr>
      </w:pPr>
      <w:r>
        <w:rPr>
          <w:rFonts w:hint="eastAsia" w:ascii="黑体" w:hAnsi="黑体" w:eastAsia="黑体"/>
          <w:szCs w:val="21"/>
          <w:lang w:val="en-GB"/>
        </w:rPr>
        <w:t>三、教学目标</w:t>
      </w:r>
    </w:p>
    <w:p>
      <w:pPr>
        <w:suppressAutoHyphens/>
        <w:snapToGrid w:val="0"/>
        <w:spacing w:before="156" w:beforeLines="50" w:after="156" w:afterLines="50" w:line="360" w:lineRule="auto"/>
        <w:ind w:right="102" w:firstLine="420" w:firstLineChars="200"/>
        <w:rPr>
          <w:rFonts w:ascii="仿宋" w:hAnsi="仿宋" w:eastAsia="仿宋"/>
        </w:rPr>
      </w:pPr>
      <w:r>
        <w:rPr>
          <w:rFonts w:hint="eastAsia" w:ascii="仿宋" w:hAnsi="仿宋" w:eastAsia="仿宋"/>
        </w:rPr>
        <w:t>课程教学的总目标是通过对税法的基本原理和基本方法的学习，探讨、分析和评价企业的各种案例,通过技能训练和实战演练培养学生分析和综合的能力。通过本课程的教学，使学生了解税收法律制度基础和税收征收管理法律制度，理解并掌握各种税收法律制度的主要内容，全面把握我国现行各税种的计税依据、计算方法，正确计算各税种的应纳税额，从而具备对实际经济业务中涉及到的税收问题的分析和解决问题的能力，以达到培养应用型人才的目标。</w:t>
      </w:r>
    </w:p>
    <w:p>
      <w:pPr>
        <w:suppressAutoHyphens/>
        <w:snapToGrid w:val="0"/>
        <w:spacing w:before="156" w:beforeLines="50" w:after="156" w:afterLines="50" w:line="360" w:lineRule="auto"/>
        <w:ind w:right="102" w:firstLine="420" w:firstLineChars="200"/>
        <w:rPr>
          <w:rFonts w:ascii="仿宋" w:hAnsi="仿宋" w:eastAsia="仿宋"/>
        </w:rPr>
      </w:pPr>
      <w:r>
        <w:rPr>
          <w:rFonts w:hint="eastAsia" w:ascii="仿宋" w:hAnsi="仿宋" w:eastAsia="仿宋"/>
        </w:rPr>
        <w:t>本课程以讲授为主，案例教学、课堂讨论为辅，针对会计专业学生的特点，把税法知识和会计知识联系起来，提高学生解决综合问题的能力。</w:t>
      </w:r>
    </w:p>
    <w:p>
      <w:pPr>
        <w:suppressAutoHyphens/>
        <w:snapToGrid w:val="0"/>
        <w:spacing w:before="156" w:beforeLines="50" w:after="156" w:afterLines="50" w:line="360" w:lineRule="auto"/>
        <w:ind w:right="102"/>
        <w:rPr>
          <w:rFonts w:ascii="仿宋" w:hAnsi="仿宋" w:eastAsia="仿宋"/>
        </w:rPr>
      </w:pPr>
    </w:p>
    <w:p>
      <w:pPr>
        <w:numPr>
          <w:ilvl w:val="0"/>
          <w:numId w:val="1"/>
        </w:numPr>
        <w:rPr>
          <w:rFonts w:ascii="黑体" w:hAnsi="黑体" w:eastAsia="黑体"/>
          <w:szCs w:val="21"/>
          <w:lang w:val="en-GB"/>
        </w:rPr>
      </w:pPr>
      <w:r>
        <w:rPr>
          <w:rFonts w:hint="eastAsia" w:ascii="黑体" w:hAnsi="黑体" w:eastAsia="黑体"/>
          <w:szCs w:val="21"/>
          <w:lang w:val="en-GB"/>
        </w:rPr>
        <w:t>教学内容与学习要求</w:t>
      </w:r>
    </w:p>
    <w:p>
      <w:pPr>
        <w:rPr>
          <w:rFonts w:ascii="黑体" w:hAnsi="黑体" w:eastAsia="黑体"/>
          <w:szCs w:val="21"/>
          <w:lang w:val="en-GB"/>
        </w:rPr>
      </w:pPr>
    </w:p>
    <w:p>
      <w:pPr>
        <w:numPr>
          <w:ilvl w:val="0"/>
          <w:numId w:val="2"/>
        </w:numPr>
        <w:rPr>
          <w:rFonts w:ascii="黑体" w:hAnsi="黑体" w:eastAsia="黑体"/>
          <w:szCs w:val="21"/>
        </w:rPr>
      </w:pPr>
      <w:r>
        <w:rPr>
          <w:rFonts w:hint="eastAsia" w:ascii="黑体" w:hAnsi="黑体" w:eastAsia="黑体"/>
          <w:szCs w:val="21"/>
        </w:rPr>
        <w:t xml:space="preserve">学时分配表 </w:t>
      </w:r>
    </w:p>
    <w:p>
      <w:pPr>
        <w:rPr>
          <w:rFonts w:ascii="黑体" w:hAnsi="黑体" w:eastAsia="黑体"/>
          <w:szCs w:val="21"/>
        </w:rPr>
      </w:pPr>
    </w:p>
    <w:tbl>
      <w:tblPr>
        <w:tblStyle w:val="7"/>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3708"/>
        <w:gridCol w:w="896"/>
        <w:gridCol w:w="896"/>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仿宋" w:hAnsi="仿宋" w:eastAsia="仿宋" w:cs="仿宋"/>
                <w:b/>
                <w:szCs w:val="21"/>
              </w:rPr>
            </w:pPr>
            <w:r>
              <w:rPr>
                <w:rFonts w:hint="eastAsia" w:ascii="仿宋" w:hAnsi="仿宋" w:eastAsia="仿宋" w:cs="仿宋"/>
                <w:b/>
                <w:szCs w:val="21"/>
              </w:rPr>
              <w:t>序号</w:t>
            </w:r>
          </w:p>
        </w:tc>
        <w:tc>
          <w:tcPr>
            <w:tcW w:w="3708" w:type="dxa"/>
            <w:vAlign w:val="center"/>
          </w:tcPr>
          <w:p>
            <w:pPr>
              <w:jc w:val="center"/>
              <w:rPr>
                <w:rFonts w:ascii="仿宋" w:hAnsi="仿宋" w:eastAsia="仿宋" w:cs="仿宋"/>
                <w:b/>
                <w:szCs w:val="21"/>
              </w:rPr>
            </w:pPr>
            <w:r>
              <w:rPr>
                <w:rFonts w:hint="eastAsia" w:ascii="仿宋" w:hAnsi="仿宋" w:eastAsia="仿宋" w:cs="仿宋"/>
                <w:b/>
                <w:szCs w:val="21"/>
              </w:rPr>
              <w:t>教学内容</w:t>
            </w:r>
          </w:p>
        </w:tc>
        <w:tc>
          <w:tcPr>
            <w:tcW w:w="896" w:type="dxa"/>
            <w:vAlign w:val="center"/>
          </w:tcPr>
          <w:p>
            <w:pPr>
              <w:jc w:val="center"/>
              <w:rPr>
                <w:rFonts w:ascii="仿宋" w:hAnsi="仿宋" w:eastAsia="仿宋" w:cs="仿宋"/>
                <w:b/>
                <w:szCs w:val="21"/>
              </w:rPr>
            </w:pPr>
            <w:r>
              <w:rPr>
                <w:rFonts w:hint="eastAsia" w:ascii="仿宋" w:hAnsi="仿宋" w:eastAsia="仿宋" w:cs="仿宋"/>
                <w:b/>
                <w:szCs w:val="21"/>
              </w:rPr>
              <w:t>讲课</w:t>
            </w:r>
          </w:p>
        </w:tc>
        <w:tc>
          <w:tcPr>
            <w:tcW w:w="896" w:type="dxa"/>
            <w:vAlign w:val="center"/>
          </w:tcPr>
          <w:p>
            <w:pPr>
              <w:jc w:val="center"/>
              <w:rPr>
                <w:rFonts w:ascii="仿宋" w:hAnsi="仿宋" w:eastAsia="仿宋" w:cs="仿宋"/>
                <w:b/>
                <w:szCs w:val="21"/>
              </w:rPr>
            </w:pPr>
            <w:r>
              <w:rPr>
                <w:rFonts w:hint="eastAsia" w:ascii="仿宋" w:hAnsi="仿宋" w:eastAsia="仿宋" w:cs="仿宋"/>
                <w:b/>
                <w:szCs w:val="21"/>
              </w:rPr>
              <w:t>实验课</w:t>
            </w:r>
          </w:p>
        </w:tc>
        <w:tc>
          <w:tcPr>
            <w:tcW w:w="896" w:type="dxa"/>
            <w:vAlign w:val="center"/>
          </w:tcPr>
          <w:p>
            <w:pPr>
              <w:jc w:val="center"/>
              <w:rPr>
                <w:rFonts w:ascii="仿宋" w:hAnsi="仿宋" w:eastAsia="仿宋" w:cs="仿宋"/>
                <w:b/>
                <w:szCs w:val="21"/>
              </w:rPr>
            </w:pPr>
            <w:r>
              <w:rPr>
                <w:rFonts w:hint="eastAsia" w:ascii="仿宋" w:hAnsi="仿宋" w:eastAsia="仿宋" w:cs="仿宋"/>
                <w:b/>
                <w:szCs w:val="21"/>
              </w:rPr>
              <w:t>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1</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第一章/税法总论</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2</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 xml:space="preserve">第二章/增值税 </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7</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3</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3</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第三章/消费税</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3</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4</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第四章/企业所得税</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4</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2</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5</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第五章/个人所得税</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3</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6</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第六章/城市维护建设税和教育附加税</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7</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第七章/关税</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8</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第八章/资源税和环境保护税</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ascii="黑体" w:hAnsi="黑体" w:eastAsia="黑体"/>
                <w:szCs w:val="21"/>
              </w:rPr>
              <w:t>9</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第九章/其他税种</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2</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r>
              <w:rPr>
                <w:rFonts w:ascii="仿宋" w:hAnsi="仿宋" w:eastAsia="仿宋" w:cs="仿宋"/>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ascii="黑体" w:hAnsi="黑体" w:eastAsia="黑体"/>
                <w:szCs w:val="21"/>
              </w:rPr>
              <w:t>10</w:t>
            </w:r>
          </w:p>
        </w:tc>
        <w:tc>
          <w:tcPr>
            <w:tcW w:w="370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第十章/税收征收管理及税务行政法制</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c>
          <w:tcPr>
            <w:tcW w:w="896" w:type="dxa"/>
            <w:vAlign w:val="center"/>
          </w:tcPr>
          <w:p>
            <w:pPr>
              <w:spacing w:line="240" w:lineRule="atLeast"/>
              <w:jc w:val="center"/>
              <w:rPr>
                <w:rFonts w:ascii="仿宋" w:hAnsi="仿宋" w:eastAsia="仿宋" w:cs="仿宋"/>
                <w:szCs w:val="21"/>
              </w:rPr>
            </w:pP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jc w:val="center"/>
              <w:rPr>
                <w:rFonts w:ascii="黑体" w:hAnsi="黑体" w:eastAsia="黑体"/>
                <w:szCs w:val="21"/>
              </w:rPr>
            </w:pPr>
            <w:r>
              <w:rPr>
                <w:rFonts w:hint="eastAsia" w:ascii="黑体" w:hAnsi="黑体" w:eastAsia="黑体"/>
                <w:szCs w:val="21"/>
              </w:rPr>
              <w:t>合计</w:t>
            </w:r>
          </w:p>
        </w:tc>
        <w:tc>
          <w:tcPr>
            <w:tcW w:w="3708" w:type="dxa"/>
            <w:vAlign w:val="center"/>
          </w:tcPr>
          <w:p>
            <w:pPr>
              <w:spacing w:line="240" w:lineRule="atLeast"/>
              <w:jc w:val="left"/>
              <w:rPr>
                <w:rFonts w:ascii="仿宋" w:hAnsi="仿宋" w:eastAsia="仿宋" w:cs="仿宋"/>
                <w:szCs w:val="21"/>
              </w:rPr>
            </w:pP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24</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8</w:t>
            </w:r>
          </w:p>
        </w:tc>
        <w:tc>
          <w:tcPr>
            <w:tcW w:w="896" w:type="dxa"/>
            <w:vAlign w:val="center"/>
          </w:tcPr>
          <w:p>
            <w:pPr>
              <w:spacing w:line="240" w:lineRule="atLeast"/>
              <w:jc w:val="center"/>
              <w:rPr>
                <w:rFonts w:ascii="仿宋" w:hAnsi="仿宋" w:eastAsia="仿宋" w:cs="仿宋"/>
                <w:szCs w:val="21"/>
              </w:rPr>
            </w:pPr>
            <w:r>
              <w:rPr>
                <w:rFonts w:hint="eastAsia" w:ascii="仿宋" w:hAnsi="仿宋" w:eastAsia="仿宋" w:cs="仿宋"/>
                <w:szCs w:val="21"/>
              </w:rPr>
              <w:t>32</w:t>
            </w:r>
          </w:p>
        </w:tc>
      </w:tr>
    </w:tbl>
    <w:p>
      <w:pPr>
        <w:rPr>
          <w:rFonts w:ascii="黑体" w:hAnsi="黑体" w:eastAsia="黑体"/>
          <w:szCs w:val="21"/>
        </w:rPr>
      </w:pPr>
    </w:p>
    <w:p>
      <w:pPr>
        <w:numPr>
          <w:ilvl w:val="0"/>
          <w:numId w:val="2"/>
        </w:numPr>
        <w:rPr>
          <w:rFonts w:ascii="黑体" w:hAnsi="黑体" w:eastAsia="黑体"/>
          <w:szCs w:val="21"/>
        </w:rPr>
      </w:pPr>
      <w:r>
        <w:rPr>
          <w:rFonts w:hint="eastAsia" w:ascii="黑体" w:hAnsi="黑体" w:eastAsia="黑体"/>
          <w:szCs w:val="21"/>
        </w:rPr>
        <w:t>教学内容与学习要求</w:t>
      </w:r>
    </w:p>
    <w:tbl>
      <w:tblPr>
        <w:tblStyle w:val="7"/>
        <w:tblpPr w:leftFromText="180" w:rightFromText="180" w:vertAnchor="text" w:horzAnchor="page" w:tblpX="1627" w:tblpY="624"/>
        <w:tblOverlap w:val="never"/>
        <w:tblW w:w="9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2598"/>
        <w:gridCol w:w="3505"/>
        <w:gridCol w:w="991"/>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trPr>
        <w:tc>
          <w:tcPr>
            <w:tcW w:w="3616" w:type="dxa"/>
            <w:gridSpan w:val="2"/>
            <w:vAlign w:val="center"/>
          </w:tcPr>
          <w:p>
            <w:pPr>
              <w:keepNext/>
              <w:jc w:val="center"/>
              <w:rPr>
                <w:rFonts w:ascii="仿宋" w:hAnsi="仿宋" w:eastAsia="仿宋" w:cs="仿宋"/>
                <w:b/>
                <w:szCs w:val="21"/>
                <w:lang w:val="zh-CN"/>
              </w:rPr>
            </w:pPr>
            <w:r>
              <w:rPr>
                <w:rFonts w:hint="eastAsia" w:ascii="仿宋" w:hAnsi="仿宋" w:eastAsia="仿宋" w:cs="仿宋"/>
                <w:b/>
                <w:szCs w:val="21"/>
                <w:lang w:val="zh-CN"/>
              </w:rPr>
              <w:t>章节/教学单元</w:t>
            </w:r>
          </w:p>
        </w:tc>
        <w:tc>
          <w:tcPr>
            <w:tcW w:w="3505" w:type="dxa"/>
            <w:vAlign w:val="center"/>
          </w:tcPr>
          <w:p>
            <w:pPr>
              <w:keepNext/>
              <w:jc w:val="center"/>
              <w:rPr>
                <w:rFonts w:ascii="仿宋" w:hAnsi="仿宋" w:eastAsia="仿宋" w:cs="仿宋"/>
                <w:b/>
                <w:szCs w:val="21"/>
                <w:lang w:val="zh-CN"/>
              </w:rPr>
            </w:pPr>
            <w:r>
              <w:rPr>
                <w:rFonts w:hint="eastAsia" w:ascii="仿宋" w:hAnsi="仿宋" w:eastAsia="仿宋" w:cs="仿宋"/>
                <w:b/>
                <w:szCs w:val="21"/>
                <w:lang w:val="zh-CN"/>
              </w:rPr>
              <w:t>教学内容、重点、难点</w:t>
            </w:r>
          </w:p>
        </w:tc>
        <w:tc>
          <w:tcPr>
            <w:tcW w:w="991" w:type="dxa"/>
            <w:vAlign w:val="center"/>
          </w:tcPr>
          <w:p>
            <w:pPr>
              <w:keepNext/>
              <w:jc w:val="center"/>
              <w:rPr>
                <w:rFonts w:ascii="仿宋" w:hAnsi="仿宋" w:eastAsia="仿宋" w:cs="仿宋"/>
                <w:b/>
                <w:szCs w:val="21"/>
              </w:rPr>
            </w:pPr>
            <w:r>
              <w:rPr>
                <w:rFonts w:hint="eastAsia" w:ascii="仿宋" w:hAnsi="仿宋" w:eastAsia="仿宋" w:cs="仿宋"/>
                <w:b/>
                <w:szCs w:val="21"/>
              </w:rPr>
              <w:t>学时</w:t>
            </w:r>
          </w:p>
        </w:tc>
        <w:tc>
          <w:tcPr>
            <w:tcW w:w="991" w:type="dxa"/>
            <w:vAlign w:val="center"/>
          </w:tcPr>
          <w:p>
            <w:pPr>
              <w:keepNext/>
              <w:jc w:val="center"/>
              <w:rPr>
                <w:rFonts w:ascii="仿宋" w:hAnsi="仿宋" w:eastAsia="仿宋" w:cs="仿宋"/>
                <w:b/>
                <w:szCs w:val="21"/>
                <w:lang w:val="zh-CN"/>
              </w:rPr>
            </w:pPr>
            <w:r>
              <w:rPr>
                <w:rFonts w:hint="eastAsia" w:ascii="仿宋" w:hAnsi="仿宋" w:eastAsia="仿宋" w:cs="仿宋"/>
                <w:b/>
                <w:szCs w:val="21"/>
                <w:lang w:val="zh-CN"/>
              </w:rPr>
              <w:t>学习</w:t>
            </w:r>
          </w:p>
          <w:p>
            <w:pPr>
              <w:keepNext/>
              <w:jc w:val="center"/>
              <w:rPr>
                <w:rFonts w:ascii="仿宋" w:hAnsi="仿宋" w:eastAsia="仿宋" w:cs="仿宋"/>
                <w:b/>
                <w:szCs w:val="21"/>
                <w:lang w:val="zh-CN"/>
              </w:rPr>
            </w:pPr>
            <w:r>
              <w:rPr>
                <w:rFonts w:hint="eastAsia" w:ascii="仿宋" w:hAnsi="仿宋" w:eastAsia="仿宋" w:cs="仿宋"/>
                <w:b/>
                <w:szCs w:val="21"/>
                <w:lang w:val="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jc w:val="center"/>
              <w:rPr>
                <w:rFonts w:ascii="仿宋" w:hAnsi="仿宋" w:eastAsia="仿宋" w:cs="仿宋"/>
                <w:b/>
                <w:szCs w:val="21"/>
              </w:rPr>
            </w:pPr>
            <w:bookmarkStart w:id="0" w:name="OLE_LINK1" w:colFirst="3" w:colLast="3"/>
            <w:bookmarkStart w:id="1" w:name="OLE_LINK2" w:colFirst="3" w:colLast="3"/>
            <w:r>
              <w:rPr>
                <w:rFonts w:hint="eastAsia" w:ascii="仿宋" w:hAnsi="仿宋" w:eastAsia="仿宋" w:cs="仿宋"/>
                <w:szCs w:val="21"/>
                <w:lang w:val="zh-CN"/>
              </w:rPr>
              <w:t>第</w:t>
            </w:r>
            <w:r>
              <w:rPr>
                <w:rFonts w:hint="eastAsia" w:ascii="仿宋" w:hAnsi="仿宋" w:eastAsia="仿宋" w:cs="仿宋"/>
                <w:szCs w:val="21"/>
              </w:rPr>
              <w:t>1</w:t>
            </w:r>
            <w:r>
              <w:rPr>
                <w:rFonts w:hint="eastAsia" w:ascii="仿宋" w:hAnsi="仿宋" w:eastAsia="仿宋" w:cs="仿宋"/>
                <w:szCs w:val="21"/>
                <w:lang w:val="zh-CN"/>
              </w:rPr>
              <w:t>章</w:t>
            </w:r>
            <w:r>
              <w:rPr>
                <w:rFonts w:hint="eastAsia" w:ascii="仿宋" w:hAnsi="仿宋" w:eastAsia="仿宋" w:cs="仿宋"/>
                <w:szCs w:val="21"/>
              </w:rPr>
              <w:t xml:space="preserve">   税法基础理论</w:t>
            </w:r>
          </w:p>
        </w:tc>
        <w:tc>
          <w:tcPr>
            <w:tcW w:w="2598" w:type="dxa"/>
            <w:vAlign w:val="center"/>
          </w:tcPr>
          <w:p>
            <w:pPr>
              <w:keepNext/>
              <w:spacing w:line="240" w:lineRule="atLeast"/>
              <w:jc w:val="left"/>
              <w:rPr>
                <w:rFonts w:ascii="仿宋" w:hAnsi="仿宋" w:eastAsia="仿宋" w:cs="仿宋"/>
                <w:szCs w:val="21"/>
              </w:rPr>
            </w:pPr>
            <w:r>
              <w:rPr>
                <w:rFonts w:hint="eastAsia" w:ascii="仿宋" w:hAnsi="仿宋" w:eastAsia="仿宋" w:cs="仿宋"/>
                <w:szCs w:val="21"/>
                <w:lang w:val="zh-CN"/>
              </w:rPr>
              <w:t xml:space="preserve">1.1 </w:t>
            </w:r>
            <w:r>
              <w:rPr>
                <w:rFonts w:hint="eastAsia" w:ascii="仿宋" w:hAnsi="仿宋" w:eastAsia="仿宋" w:cs="仿宋"/>
                <w:szCs w:val="21"/>
              </w:rPr>
              <w:t>税收初阶</w:t>
            </w:r>
          </w:p>
          <w:p>
            <w:pPr>
              <w:keepNext/>
              <w:spacing w:line="240" w:lineRule="atLeast"/>
              <w:jc w:val="left"/>
              <w:rPr>
                <w:rFonts w:ascii="仿宋" w:hAnsi="仿宋" w:eastAsia="仿宋" w:cs="仿宋"/>
                <w:szCs w:val="21"/>
              </w:rPr>
            </w:pPr>
            <w:r>
              <w:rPr>
                <w:rFonts w:hint="eastAsia" w:ascii="仿宋" w:hAnsi="仿宋" w:eastAsia="仿宋" w:cs="仿宋"/>
                <w:szCs w:val="21"/>
                <w:lang w:val="zh-CN"/>
              </w:rPr>
              <w:t xml:space="preserve">1.2 </w:t>
            </w:r>
            <w:r>
              <w:rPr>
                <w:rFonts w:hint="eastAsia" w:ascii="仿宋" w:hAnsi="仿宋" w:eastAsia="仿宋" w:cs="仿宋"/>
                <w:szCs w:val="21"/>
              </w:rPr>
              <w:t>税法总论</w:t>
            </w:r>
          </w:p>
          <w:p>
            <w:pPr>
              <w:keepNext/>
              <w:spacing w:line="240" w:lineRule="atLeast"/>
              <w:jc w:val="left"/>
              <w:rPr>
                <w:rFonts w:ascii="仿宋" w:hAnsi="仿宋" w:eastAsia="仿宋" w:cs="仿宋"/>
                <w:szCs w:val="21"/>
              </w:rPr>
            </w:pPr>
            <w:r>
              <w:rPr>
                <w:rFonts w:hint="eastAsia" w:ascii="仿宋" w:hAnsi="仿宋" w:eastAsia="仿宋" w:cs="仿宋"/>
                <w:szCs w:val="21"/>
                <w:lang w:val="zh-CN"/>
              </w:rPr>
              <w:t xml:space="preserve">1.3 </w:t>
            </w:r>
            <w:r>
              <w:rPr>
                <w:rFonts w:hint="eastAsia" w:ascii="仿宋" w:hAnsi="仿宋" w:eastAsia="仿宋" w:cs="仿宋"/>
                <w:szCs w:val="21"/>
              </w:rPr>
              <w:t>课税要素</w:t>
            </w:r>
          </w:p>
          <w:p>
            <w:pPr>
              <w:keepNext/>
              <w:spacing w:line="240" w:lineRule="atLeast"/>
              <w:jc w:val="left"/>
              <w:rPr>
                <w:rFonts w:ascii="仿宋" w:hAnsi="仿宋" w:eastAsia="仿宋" w:cs="仿宋"/>
                <w:szCs w:val="21"/>
              </w:rPr>
            </w:pPr>
            <w:r>
              <w:rPr>
                <w:rFonts w:hint="eastAsia" w:ascii="仿宋" w:hAnsi="仿宋" w:eastAsia="仿宋" w:cs="仿宋"/>
                <w:szCs w:val="21"/>
              </w:rPr>
              <w:t>1.4 税权分配</w:t>
            </w:r>
          </w:p>
          <w:p>
            <w:pPr>
              <w:keepNext/>
              <w:spacing w:line="240" w:lineRule="atLeast"/>
              <w:jc w:val="left"/>
              <w:rPr>
                <w:rFonts w:ascii="仿宋" w:hAnsi="仿宋" w:eastAsia="仿宋" w:cs="仿宋"/>
                <w:szCs w:val="21"/>
              </w:rPr>
            </w:pPr>
            <w:r>
              <w:rPr>
                <w:rFonts w:hint="eastAsia" w:ascii="仿宋" w:hAnsi="仿宋" w:eastAsia="仿宋" w:cs="仿宋"/>
                <w:szCs w:val="21"/>
              </w:rPr>
              <w:t>1.5 征纳权义</w:t>
            </w:r>
          </w:p>
          <w:p>
            <w:pPr>
              <w:keepNext/>
              <w:spacing w:line="240" w:lineRule="atLeast"/>
              <w:jc w:val="left"/>
              <w:rPr>
                <w:rFonts w:ascii="仿宋" w:hAnsi="仿宋" w:eastAsia="仿宋" w:cs="仿宋"/>
                <w:szCs w:val="21"/>
              </w:rPr>
            </w:pPr>
            <w:r>
              <w:rPr>
                <w:rFonts w:hint="eastAsia" w:ascii="仿宋" w:hAnsi="仿宋" w:eastAsia="仿宋" w:cs="仿宋"/>
                <w:szCs w:val="21"/>
              </w:rPr>
              <w:t>1.6 税法解释</w:t>
            </w:r>
          </w:p>
          <w:p>
            <w:pPr>
              <w:keepNext/>
              <w:spacing w:line="240" w:lineRule="atLeast"/>
              <w:jc w:val="left"/>
              <w:rPr>
                <w:rFonts w:ascii="仿宋" w:hAnsi="仿宋" w:eastAsia="仿宋" w:cs="仿宋"/>
                <w:szCs w:val="21"/>
              </w:rPr>
            </w:pPr>
            <w:r>
              <w:rPr>
                <w:rFonts w:hint="eastAsia" w:ascii="仿宋" w:hAnsi="仿宋" w:eastAsia="仿宋" w:cs="仿宋"/>
                <w:szCs w:val="21"/>
              </w:rPr>
              <w:t>1.7 重复征税</w:t>
            </w:r>
          </w:p>
          <w:p>
            <w:pPr>
              <w:keepNext/>
              <w:spacing w:line="240" w:lineRule="atLeast"/>
              <w:jc w:val="left"/>
              <w:rPr>
                <w:rFonts w:ascii="仿宋" w:hAnsi="仿宋" w:eastAsia="仿宋" w:cs="仿宋"/>
                <w:szCs w:val="21"/>
              </w:rPr>
            </w:pPr>
            <w:r>
              <w:rPr>
                <w:rFonts w:hint="eastAsia" w:ascii="仿宋" w:hAnsi="仿宋" w:eastAsia="仿宋" w:cs="仿宋"/>
                <w:szCs w:val="21"/>
              </w:rPr>
              <w:t>1.8 税收逃避</w:t>
            </w:r>
          </w:p>
        </w:tc>
        <w:tc>
          <w:tcPr>
            <w:tcW w:w="3505" w:type="dxa"/>
            <w:vAlign w:val="center"/>
          </w:tcPr>
          <w:p>
            <w:pPr>
              <w:keepNext/>
              <w:spacing w:line="360" w:lineRule="auto"/>
              <w:ind w:firstLine="420" w:firstLineChars="200"/>
              <w:rPr>
                <w:rFonts w:ascii="仿宋" w:hAnsi="仿宋" w:eastAsia="仿宋" w:cs="仿宋"/>
                <w:szCs w:val="21"/>
              </w:rPr>
            </w:pPr>
            <w:r>
              <w:rPr>
                <w:rFonts w:hint="eastAsia" w:ascii="仿宋" w:hAnsi="仿宋" w:eastAsia="仿宋" w:cs="仿宋"/>
                <w:szCs w:val="21"/>
              </w:rPr>
              <w:t>通过对本章的学习，了解税收的分类、税收的作用、税收原则。熟悉税法的概念、税收法律关系。掌握税收的概念、特征、课税要素、税权分配、纳税款征收方式、税款征收措施，以及防止重复征税和减少税收逃避。</w:t>
            </w:r>
          </w:p>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课程思政：学习多学科交叉融合理念，树立正确价值观、全局观、法律意识社会责任感和可持续发展理念，强化责任意识和爱国情怀，实现个人价值与社会发展需求相一致，以备为企业和社会创造价值服务。</w:t>
            </w:r>
          </w:p>
        </w:tc>
        <w:tc>
          <w:tcPr>
            <w:tcW w:w="991" w:type="dxa"/>
            <w:vAlign w:val="center"/>
          </w:tcPr>
          <w:p>
            <w:pPr>
              <w:keepNext/>
              <w:spacing w:line="360" w:lineRule="auto"/>
              <w:jc w:val="center"/>
              <w:rPr>
                <w:rFonts w:ascii="仿宋" w:hAnsi="仿宋" w:eastAsia="仿宋" w:cs="仿宋"/>
                <w:szCs w:val="21"/>
              </w:rPr>
            </w:pPr>
            <w:r>
              <w:rPr>
                <w:rFonts w:ascii="仿宋" w:hAnsi="仿宋" w:eastAsia="仿宋" w:cs="仿宋"/>
                <w:szCs w:val="21"/>
              </w:rPr>
              <w:t>1</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应用</w:t>
            </w:r>
          </w:p>
          <w:p>
            <w:pPr>
              <w:keepNext/>
              <w:jc w:val="center"/>
              <w:rPr>
                <w:rFonts w:ascii="仿宋" w:hAnsi="仿宋" w:eastAsia="仿宋" w:cs="仿宋"/>
                <w:b/>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8" w:hRule="atLeast"/>
          <w:tblHeader/>
        </w:trPr>
        <w:tc>
          <w:tcPr>
            <w:tcW w:w="1018" w:type="dxa"/>
            <w:vAlign w:val="center"/>
          </w:tcPr>
          <w:p>
            <w:pPr>
              <w:keepNext/>
              <w:jc w:val="center"/>
              <w:rPr>
                <w:rFonts w:ascii="仿宋" w:hAnsi="仿宋" w:eastAsia="仿宋" w:cs="仿宋"/>
                <w:szCs w:val="21"/>
              </w:rPr>
            </w:pPr>
            <w:r>
              <w:rPr>
                <w:rFonts w:hint="eastAsia" w:ascii="仿宋" w:hAnsi="仿宋" w:eastAsia="仿宋" w:cs="仿宋"/>
                <w:szCs w:val="21"/>
              </w:rPr>
              <w:t>第2章  增值税法</w:t>
            </w:r>
          </w:p>
        </w:tc>
        <w:tc>
          <w:tcPr>
            <w:tcW w:w="2598" w:type="dxa"/>
            <w:vAlign w:val="center"/>
          </w:tcPr>
          <w:p>
            <w:pPr>
              <w:keepNext/>
              <w:spacing w:line="240" w:lineRule="atLeast"/>
              <w:jc w:val="left"/>
              <w:rPr>
                <w:rFonts w:ascii="仿宋" w:hAnsi="仿宋" w:eastAsia="仿宋" w:cs="仿宋"/>
                <w:szCs w:val="21"/>
              </w:rPr>
            </w:pPr>
            <w:r>
              <w:rPr>
                <w:rFonts w:hint="eastAsia" w:ascii="仿宋" w:hAnsi="仿宋" w:eastAsia="仿宋" w:cs="仿宋"/>
                <w:szCs w:val="21"/>
                <w:lang w:val="zh-CN"/>
              </w:rPr>
              <w:t>2.1</w:t>
            </w:r>
            <w:r>
              <w:rPr>
                <w:rFonts w:hint="eastAsia" w:ascii="仿宋" w:hAnsi="仿宋" w:eastAsia="仿宋" w:cs="仿宋"/>
                <w:szCs w:val="21"/>
              </w:rPr>
              <w:t xml:space="preserve"> 增值税的认知</w:t>
            </w:r>
          </w:p>
          <w:p>
            <w:pPr>
              <w:keepNext/>
              <w:spacing w:line="240" w:lineRule="atLeast"/>
              <w:jc w:val="left"/>
              <w:rPr>
                <w:rFonts w:ascii="仿宋" w:hAnsi="仿宋" w:eastAsia="仿宋" w:cs="仿宋"/>
                <w:szCs w:val="21"/>
              </w:rPr>
            </w:pPr>
            <w:r>
              <w:rPr>
                <w:rFonts w:hint="eastAsia" w:ascii="仿宋" w:hAnsi="仿宋" w:eastAsia="仿宋" w:cs="仿宋"/>
                <w:szCs w:val="21"/>
                <w:lang w:val="zh-CN"/>
              </w:rPr>
              <w:t>2.2</w:t>
            </w:r>
            <w:r>
              <w:rPr>
                <w:rFonts w:hint="eastAsia" w:ascii="仿宋" w:hAnsi="仿宋" w:eastAsia="仿宋" w:cs="仿宋"/>
                <w:szCs w:val="21"/>
              </w:rPr>
              <w:t xml:space="preserve"> 增值税的计算</w:t>
            </w:r>
          </w:p>
          <w:p>
            <w:pPr>
              <w:keepNext/>
              <w:spacing w:line="240" w:lineRule="atLeast"/>
              <w:jc w:val="left"/>
              <w:rPr>
                <w:rFonts w:ascii="仿宋" w:hAnsi="仿宋" w:eastAsia="仿宋" w:cs="仿宋"/>
                <w:szCs w:val="21"/>
              </w:rPr>
            </w:pPr>
            <w:r>
              <w:rPr>
                <w:rFonts w:hint="eastAsia" w:ascii="仿宋" w:hAnsi="仿宋" w:eastAsia="仿宋" w:cs="仿宋"/>
                <w:szCs w:val="21"/>
                <w:lang w:val="zh-CN"/>
              </w:rPr>
              <w:t>2.3</w:t>
            </w:r>
            <w:r>
              <w:rPr>
                <w:rFonts w:hint="eastAsia" w:ascii="仿宋" w:hAnsi="仿宋" w:eastAsia="仿宋" w:cs="仿宋"/>
                <w:szCs w:val="21"/>
              </w:rPr>
              <w:t xml:space="preserve"> 增值税出口退（免）税的计算</w:t>
            </w:r>
          </w:p>
          <w:p>
            <w:pPr>
              <w:keepNext/>
              <w:spacing w:line="240" w:lineRule="atLeast"/>
              <w:jc w:val="left"/>
              <w:rPr>
                <w:rFonts w:ascii="仿宋" w:hAnsi="仿宋" w:eastAsia="仿宋" w:cs="仿宋"/>
                <w:szCs w:val="21"/>
              </w:rPr>
            </w:pPr>
            <w:r>
              <w:rPr>
                <w:rFonts w:hint="eastAsia" w:ascii="仿宋" w:hAnsi="仿宋" w:eastAsia="仿宋" w:cs="仿宋"/>
                <w:szCs w:val="21"/>
                <w:lang w:val="zh-CN"/>
              </w:rPr>
              <w:t>2.4</w:t>
            </w:r>
            <w:r>
              <w:rPr>
                <w:rFonts w:hint="eastAsia" w:ascii="仿宋" w:hAnsi="仿宋" w:eastAsia="仿宋" w:cs="仿宋"/>
                <w:szCs w:val="21"/>
              </w:rPr>
              <w:t xml:space="preserve"> 增值税的征收管理</w:t>
            </w:r>
          </w:p>
          <w:p>
            <w:pPr>
              <w:keepNext/>
              <w:spacing w:line="240" w:lineRule="atLeast"/>
              <w:jc w:val="left"/>
              <w:rPr>
                <w:rFonts w:ascii="仿宋" w:hAnsi="仿宋" w:eastAsia="仿宋" w:cs="仿宋"/>
                <w:szCs w:val="21"/>
              </w:rPr>
            </w:pPr>
            <w:r>
              <w:rPr>
                <w:rFonts w:hint="eastAsia" w:ascii="仿宋" w:hAnsi="仿宋" w:eastAsia="仿宋" w:cs="仿宋"/>
                <w:szCs w:val="21"/>
              </w:rPr>
              <w:t>2.5 技能训练及实战演练</w:t>
            </w:r>
          </w:p>
        </w:tc>
        <w:tc>
          <w:tcPr>
            <w:tcW w:w="3505" w:type="dxa"/>
            <w:vAlign w:val="center"/>
          </w:tcPr>
          <w:p>
            <w:pPr>
              <w:keepNext/>
              <w:spacing w:line="360" w:lineRule="auto"/>
              <w:ind w:firstLine="408" w:firstLineChars="200"/>
              <w:rPr>
                <w:rFonts w:ascii="仿宋" w:hAnsi="仿宋" w:eastAsia="仿宋" w:cs="仿宋"/>
                <w:spacing w:val="-3"/>
                <w:szCs w:val="21"/>
              </w:rPr>
            </w:pPr>
            <w:r>
              <w:rPr>
                <w:rFonts w:hint="eastAsia" w:ascii="仿宋" w:hAnsi="仿宋" w:eastAsia="仿宋" w:cs="仿宋"/>
                <w:spacing w:val="-3"/>
                <w:szCs w:val="21"/>
              </w:rPr>
              <w:t>通过本章学习，了解增值税纳税申报表的编制，掌握增值税的纳税人、征税范围、税率、应纳税额的计算、免税和起征点、学会运用增值税优惠政策、征收管理、增值税专用发票的使用和管理。熟悉增值税的概念、特征、增值税出口退（免）税规定。</w:t>
            </w:r>
          </w:p>
          <w:p>
            <w:pPr>
              <w:keepNext/>
              <w:spacing w:line="360" w:lineRule="auto"/>
              <w:ind w:firstLine="408" w:firstLineChars="200"/>
              <w:rPr>
                <w:rFonts w:ascii="仿宋" w:hAnsi="仿宋" w:eastAsia="仿宋" w:cs="仿宋"/>
                <w:spacing w:val="-3"/>
                <w:szCs w:val="21"/>
              </w:rPr>
            </w:pPr>
            <w:r>
              <w:rPr>
                <w:rFonts w:hint="eastAsia" w:ascii="仿宋" w:hAnsi="仿宋" w:eastAsia="仿宋" w:cs="仿宋"/>
                <w:spacing w:val="-3"/>
                <w:szCs w:val="21"/>
              </w:rPr>
              <w:t>本章重点是掌握增值税的纳税人、征税范围、税率、应纳税额的计算、免税和起征点、征收管理、增值税专用发票的使用和管理，难点是增值税应纳税额的计算。</w:t>
            </w:r>
          </w:p>
          <w:p>
            <w:pPr>
              <w:keepNext/>
              <w:spacing w:line="360" w:lineRule="auto"/>
              <w:ind w:firstLine="408" w:firstLineChars="200"/>
              <w:rPr>
                <w:rFonts w:ascii="仿宋" w:hAnsi="仿宋" w:eastAsia="仿宋" w:cs="仿宋"/>
                <w:spacing w:val="-3"/>
                <w:szCs w:val="21"/>
              </w:rPr>
            </w:pPr>
            <w:r>
              <w:rPr>
                <w:rFonts w:hint="eastAsia" w:ascii="仿宋" w:hAnsi="仿宋" w:eastAsia="仿宋" w:cs="仿宋"/>
                <w:spacing w:val="-3"/>
                <w:szCs w:val="21"/>
              </w:rPr>
              <w:t>课程思政：通过比税率、应纳税额的计算、免税和起征点的联系区别，明白事物间都是普遍关联的道理。</w:t>
            </w:r>
          </w:p>
        </w:tc>
        <w:tc>
          <w:tcPr>
            <w:tcW w:w="991" w:type="dxa"/>
            <w:vAlign w:val="center"/>
          </w:tcPr>
          <w:p>
            <w:pPr>
              <w:keepNext/>
              <w:spacing w:line="360" w:lineRule="auto"/>
              <w:ind w:firstLine="408" w:firstLineChars="200"/>
              <w:rPr>
                <w:rFonts w:ascii="仿宋" w:hAnsi="仿宋" w:eastAsia="仿宋" w:cs="仿宋"/>
                <w:spacing w:val="-3"/>
                <w:szCs w:val="21"/>
              </w:rPr>
            </w:pPr>
            <w:r>
              <w:rPr>
                <w:rFonts w:ascii="仿宋" w:hAnsi="仿宋" w:eastAsia="仿宋" w:cs="仿宋"/>
                <w:spacing w:val="-3"/>
                <w:szCs w:val="21"/>
              </w:rPr>
              <w:t>10</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0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应用</w:t>
            </w:r>
          </w:p>
          <w:p>
            <w:pPr>
              <w:keepNext/>
              <w:jc w:val="center"/>
              <w:rPr>
                <w:rFonts w:ascii="仿宋" w:hAnsi="仿宋" w:eastAsia="仿宋" w:cs="仿宋"/>
                <w:b/>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spacing w:line="240" w:lineRule="atLeast"/>
              <w:jc w:val="center"/>
              <w:rPr>
                <w:rFonts w:ascii="仿宋" w:hAnsi="仿宋" w:eastAsia="仿宋" w:cs="仿宋"/>
                <w:szCs w:val="21"/>
              </w:rPr>
            </w:pPr>
            <w:r>
              <w:rPr>
                <w:rFonts w:hint="eastAsia" w:ascii="仿宋" w:hAnsi="仿宋" w:eastAsia="仿宋" w:cs="仿宋"/>
                <w:szCs w:val="21"/>
                <w:lang w:val="zh-CN"/>
              </w:rPr>
              <w:t>第</w:t>
            </w:r>
            <w:r>
              <w:rPr>
                <w:rFonts w:hint="eastAsia" w:ascii="仿宋" w:hAnsi="仿宋" w:eastAsia="仿宋" w:cs="仿宋"/>
                <w:szCs w:val="21"/>
              </w:rPr>
              <w:t>3</w:t>
            </w:r>
            <w:r>
              <w:rPr>
                <w:rFonts w:hint="eastAsia" w:ascii="仿宋" w:hAnsi="仿宋" w:eastAsia="仿宋" w:cs="仿宋"/>
                <w:szCs w:val="21"/>
                <w:lang w:val="zh-CN"/>
              </w:rPr>
              <w:t>章</w:t>
            </w:r>
          </w:p>
          <w:p>
            <w:pPr>
              <w:keepNext/>
              <w:spacing w:line="240" w:lineRule="atLeast"/>
              <w:jc w:val="center"/>
              <w:rPr>
                <w:rFonts w:ascii="仿宋" w:hAnsi="仿宋" w:eastAsia="仿宋" w:cs="仿宋"/>
                <w:szCs w:val="21"/>
              </w:rPr>
            </w:pPr>
            <w:r>
              <w:rPr>
                <w:rFonts w:hint="eastAsia" w:ascii="仿宋" w:hAnsi="仿宋" w:eastAsia="仿宋" w:cs="仿宋"/>
                <w:szCs w:val="21"/>
              </w:rPr>
              <w:t>消费税</w:t>
            </w:r>
          </w:p>
        </w:tc>
        <w:tc>
          <w:tcPr>
            <w:tcW w:w="2598" w:type="dxa"/>
            <w:vAlign w:val="center"/>
          </w:tcPr>
          <w:p>
            <w:pPr>
              <w:keepNext/>
              <w:spacing w:line="240" w:lineRule="atLeast"/>
              <w:jc w:val="left"/>
              <w:rPr>
                <w:rFonts w:ascii="仿宋" w:hAnsi="仿宋" w:eastAsia="仿宋" w:cs="仿宋"/>
                <w:szCs w:val="21"/>
              </w:rPr>
            </w:pPr>
            <w:r>
              <w:rPr>
                <w:rFonts w:hint="eastAsia" w:ascii="仿宋" w:hAnsi="仿宋" w:eastAsia="仿宋" w:cs="仿宋"/>
                <w:szCs w:val="21"/>
                <w:lang w:val="zh-CN"/>
              </w:rPr>
              <w:t>3.1</w:t>
            </w:r>
            <w:r>
              <w:rPr>
                <w:rFonts w:hint="eastAsia" w:ascii="仿宋" w:hAnsi="仿宋" w:eastAsia="仿宋" w:cs="仿宋"/>
                <w:szCs w:val="21"/>
              </w:rPr>
              <w:t>消费税的认知</w:t>
            </w:r>
          </w:p>
          <w:p>
            <w:pPr>
              <w:keepNext/>
              <w:spacing w:line="240" w:lineRule="atLeast"/>
              <w:jc w:val="left"/>
              <w:rPr>
                <w:rFonts w:ascii="仿宋" w:hAnsi="仿宋" w:eastAsia="仿宋" w:cs="仿宋"/>
                <w:szCs w:val="21"/>
              </w:rPr>
            </w:pPr>
            <w:r>
              <w:rPr>
                <w:rFonts w:hint="eastAsia" w:ascii="仿宋" w:hAnsi="仿宋" w:eastAsia="仿宋" w:cs="仿宋"/>
                <w:szCs w:val="21"/>
                <w:lang w:val="zh-CN"/>
              </w:rPr>
              <w:t>3.2</w:t>
            </w:r>
            <w:r>
              <w:rPr>
                <w:rFonts w:hint="eastAsia" w:ascii="仿宋" w:hAnsi="仿宋" w:eastAsia="仿宋" w:cs="仿宋"/>
                <w:szCs w:val="21"/>
              </w:rPr>
              <w:t>消费税的计算</w:t>
            </w:r>
          </w:p>
          <w:p>
            <w:pPr>
              <w:keepNext/>
              <w:spacing w:line="240" w:lineRule="atLeast"/>
              <w:jc w:val="left"/>
              <w:rPr>
                <w:rFonts w:ascii="仿宋" w:hAnsi="仿宋" w:eastAsia="仿宋" w:cs="仿宋"/>
                <w:szCs w:val="21"/>
              </w:rPr>
            </w:pPr>
            <w:r>
              <w:rPr>
                <w:rFonts w:hint="eastAsia" w:ascii="仿宋" w:hAnsi="仿宋" w:eastAsia="仿宋" w:cs="仿宋"/>
                <w:szCs w:val="21"/>
              </w:rPr>
              <w:t>3.3消费税出口退（免）税的计算</w:t>
            </w:r>
          </w:p>
          <w:p>
            <w:pPr>
              <w:keepNext/>
              <w:spacing w:line="240" w:lineRule="atLeast"/>
              <w:jc w:val="left"/>
              <w:rPr>
                <w:rFonts w:ascii="仿宋" w:hAnsi="仿宋" w:eastAsia="仿宋" w:cs="仿宋"/>
                <w:szCs w:val="21"/>
              </w:rPr>
            </w:pPr>
            <w:r>
              <w:rPr>
                <w:rFonts w:hint="eastAsia" w:ascii="仿宋" w:hAnsi="仿宋" w:eastAsia="仿宋" w:cs="仿宋"/>
                <w:szCs w:val="21"/>
              </w:rPr>
              <w:t>3.4消费税的征收管理</w:t>
            </w:r>
          </w:p>
          <w:p>
            <w:pPr>
              <w:keepNext/>
              <w:spacing w:line="240" w:lineRule="atLeast"/>
              <w:jc w:val="left"/>
              <w:rPr>
                <w:rFonts w:ascii="仿宋" w:hAnsi="仿宋" w:eastAsia="仿宋" w:cs="仿宋"/>
                <w:szCs w:val="21"/>
              </w:rPr>
            </w:pPr>
            <w:r>
              <w:rPr>
                <w:rFonts w:hint="eastAsia" w:ascii="仿宋" w:hAnsi="仿宋" w:eastAsia="仿宋" w:cs="仿宋"/>
                <w:szCs w:val="21"/>
              </w:rPr>
              <w:t>3.5技能训练及实战演练</w:t>
            </w:r>
          </w:p>
        </w:tc>
        <w:tc>
          <w:tcPr>
            <w:tcW w:w="3505" w:type="dxa"/>
            <w:vAlign w:val="center"/>
          </w:tcPr>
          <w:p>
            <w:pPr>
              <w:keepNext/>
              <w:spacing w:line="360" w:lineRule="auto"/>
              <w:ind w:firstLine="408" w:firstLineChars="200"/>
              <w:rPr>
                <w:rFonts w:ascii="仿宋" w:hAnsi="仿宋" w:eastAsia="仿宋" w:cs="仿宋"/>
                <w:spacing w:val="-3"/>
                <w:szCs w:val="21"/>
              </w:rPr>
            </w:pPr>
            <w:r>
              <w:rPr>
                <w:rFonts w:hint="eastAsia" w:ascii="仿宋" w:hAnsi="仿宋" w:eastAsia="仿宋" w:cs="仿宋"/>
                <w:spacing w:val="-3"/>
                <w:szCs w:val="21"/>
              </w:rPr>
              <w:t>通过本章学习，了解营业税减免税规定和营业税纳税申报表的编制，熟悉营业税的概念、特征、纳税义务发生时间、纳税期限和纳税地点。掌握营业税的纳税人（扣缴义务人）、税目、税率、兼营和混合经营行为的税务处理、应纳税额的计算。</w:t>
            </w:r>
          </w:p>
          <w:p>
            <w:pPr>
              <w:keepNext/>
              <w:snapToGrid w:val="0"/>
              <w:spacing w:line="360" w:lineRule="auto"/>
              <w:ind w:firstLine="420" w:firstLineChars="200"/>
              <w:rPr>
                <w:rFonts w:ascii="仿宋" w:hAnsi="仿宋" w:eastAsia="仿宋" w:cs="仿宋"/>
                <w:szCs w:val="21"/>
              </w:rPr>
            </w:pPr>
            <w:r>
              <w:rPr>
                <w:rFonts w:hint="eastAsia" w:ascii="仿宋" w:hAnsi="仿宋" w:eastAsia="仿宋" w:cs="仿宋"/>
                <w:szCs w:val="21"/>
              </w:rPr>
              <w:t>课程思政：打牢基础，通过本章节的讲解，明确日常生活中消费税的缴纳人、缴纳方式和时间，理解社会商品交易的税收缴纳。</w:t>
            </w:r>
          </w:p>
        </w:tc>
        <w:tc>
          <w:tcPr>
            <w:tcW w:w="991" w:type="dxa"/>
            <w:vAlign w:val="center"/>
          </w:tcPr>
          <w:p>
            <w:pPr>
              <w:keepNext/>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应用</w:t>
            </w:r>
          </w:p>
          <w:p>
            <w:pPr>
              <w:keepNext/>
              <w:jc w:val="left"/>
              <w:rPr>
                <w:rFonts w:ascii="仿宋" w:hAnsi="仿宋" w:eastAsia="仿宋" w:cs="仿宋"/>
                <w:b/>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spacing w:line="240" w:lineRule="atLeast"/>
              <w:jc w:val="center"/>
              <w:rPr>
                <w:rFonts w:ascii="仿宋" w:hAnsi="仿宋" w:eastAsia="仿宋" w:cs="仿宋"/>
                <w:szCs w:val="21"/>
                <w:lang w:val="zh-CN"/>
              </w:rPr>
            </w:pPr>
            <w:r>
              <w:rPr>
                <w:rFonts w:hint="eastAsia" w:ascii="仿宋" w:hAnsi="仿宋" w:eastAsia="仿宋" w:cs="仿宋"/>
                <w:szCs w:val="21"/>
                <w:lang w:val="zh-CN"/>
              </w:rPr>
              <w:t>第</w:t>
            </w:r>
            <w:r>
              <w:rPr>
                <w:rFonts w:hint="eastAsia" w:ascii="仿宋" w:hAnsi="仿宋" w:eastAsia="仿宋" w:cs="仿宋"/>
                <w:szCs w:val="21"/>
              </w:rPr>
              <w:t>4</w:t>
            </w:r>
            <w:r>
              <w:rPr>
                <w:rFonts w:hint="eastAsia" w:ascii="仿宋" w:hAnsi="仿宋" w:eastAsia="仿宋" w:cs="仿宋"/>
                <w:szCs w:val="21"/>
                <w:lang w:val="zh-CN"/>
              </w:rPr>
              <w:t>章</w:t>
            </w:r>
          </w:p>
          <w:p>
            <w:pPr>
              <w:spacing w:line="240" w:lineRule="atLeast"/>
              <w:jc w:val="center"/>
              <w:rPr>
                <w:rFonts w:ascii="仿宋" w:hAnsi="仿宋" w:eastAsia="仿宋" w:cs="仿宋"/>
                <w:szCs w:val="21"/>
              </w:rPr>
            </w:pPr>
            <w:r>
              <w:rPr>
                <w:rFonts w:hint="eastAsia" w:ascii="仿宋" w:hAnsi="仿宋" w:eastAsia="仿宋" w:cs="仿宋"/>
                <w:szCs w:val="21"/>
              </w:rPr>
              <w:t>企业所得税</w:t>
            </w:r>
          </w:p>
        </w:tc>
        <w:tc>
          <w:tcPr>
            <w:tcW w:w="2598" w:type="dxa"/>
            <w:vAlign w:val="center"/>
          </w:tcPr>
          <w:p>
            <w:pPr>
              <w:spacing w:line="240" w:lineRule="atLeast"/>
              <w:jc w:val="left"/>
              <w:rPr>
                <w:rFonts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zh-CN"/>
              </w:rPr>
              <w:t>.1</w:t>
            </w:r>
            <w:r>
              <w:rPr>
                <w:rFonts w:hint="eastAsia" w:ascii="仿宋" w:hAnsi="仿宋" w:eastAsia="仿宋" w:cs="仿宋"/>
                <w:szCs w:val="21"/>
              </w:rPr>
              <w:t xml:space="preserve"> 企业所得税</w:t>
            </w:r>
          </w:p>
          <w:p>
            <w:pPr>
              <w:spacing w:line="240" w:lineRule="atLeast"/>
              <w:jc w:val="left"/>
              <w:rPr>
                <w:rFonts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zh-CN"/>
              </w:rPr>
              <w:t>.2</w:t>
            </w:r>
            <w:r>
              <w:rPr>
                <w:rFonts w:hint="eastAsia" w:ascii="仿宋" w:hAnsi="仿宋" w:eastAsia="仿宋" w:cs="仿宋"/>
                <w:szCs w:val="21"/>
              </w:rPr>
              <w:t xml:space="preserve"> 企业所得税应纳税所得额的计算</w:t>
            </w:r>
          </w:p>
          <w:p>
            <w:pPr>
              <w:spacing w:line="240" w:lineRule="atLeast"/>
              <w:jc w:val="left"/>
              <w:rPr>
                <w:rFonts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zh-CN"/>
              </w:rPr>
              <w:t>.</w:t>
            </w:r>
            <w:r>
              <w:rPr>
                <w:rFonts w:hint="eastAsia" w:ascii="仿宋" w:hAnsi="仿宋" w:eastAsia="仿宋" w:cs="仿宋"/>
                <w:szCs w:val="21"/>
              </w:rPr>
              <w:t>3资产的税务处理</w:t>
            </w:r>
          </w:p>
          <w:p>
            <w:pPr>
              <w:spacing w:line="240" w:lineRule="atLeast"/>
              <w:jc w:val="left"/>
              <w:rPr>
                <w:rFonts w:ascii="仿宋" w:hAnsi="仿宋" w:eastAsia="仿宋" w:cs="仿宋"/>
                <w:szCs w:val="21"/>
              </w:rPr>
            </w:pPr>
            <w:r>
              <w:rPr>
                <w:rFonts w:hint="eastAsia" w:ascii="仿宋" w:hAnsi="仿宋" w:eastAsia="仿宋" w:cs="仿宋"/>
                <w:szCs w:val="21"/>
              </w:rPr>
              <w:t>4.4 企业重组的所得税处理</w:t>
            </w:r>
          </w:p>
          <w:p>
            <w:pPr>
              <w:spacing w:line="240" w:lineRule="atLeast"/>
              <w:jc w:val="left"/>
              <w:rPr>
                <w:rFonts w:ascii="仿宋" w:hAnsi="仿宋" w:eastAsia="仿宋" w:cs="仿宋"/>
                <w:szCs w:val="21"/>
              </w:rPr>
            </w:pPr>
            <w:r>
              <w:rPr>
                <w:rFonts w:hint="eastAsia" w:ascii="仿宋" w:hAnsi="仿宋" w:eastAsia="仿宋" w:cs="仿宋"/>
                <w:szCs w:val="21"/>
              </w:rPr>
              <w:t>4.5 企业所得税的计算</w:t>
            </w:r>
          </w:p>
          <w:p>
            <w:pPr>
              <w:spacing w:line="240" w:lineRule="atLeast"/>
              <w:jc w:val="left"/>
              <w:rPr>
                <w:rFonts w:ascii="仿宋" w:hAnsi="仿宋" w:eastAsia="仿宋" w:cs="仿宋"/>
                <w:szCs w:val="21"/>
              </w:rPr>
            </w:pPr>
            <w:r>
              <w:rPr>
                <w:rFonts w:hint="eastAsia" w:ascii="仿宋" w:hAnsi="仿宋" w:eastAsia="仿宋" w:cs="仿宋"/>
                <w:szCs w:val="21"/>
              </w:rPr>
              <w:t>4.6 特别纳税调整</w:t>
            </w:r>
          </w:p>
          <w:p>
            <w:pPr>
              <w:spacing w:line="240" w:lineRule="atLeast"/>
              <w:jc w:val="left"/>
              <w:rPr>
                <w:rFonts w:ascii="仿宋" w:hAnsi="仿宋" w:eastAsia="仿宋" w:cs="仿宋"/>
                <w:szCs w:val="21"/>
              </w:rPr>
            </w:pPr>
            <w:r>
              <w:rPr>
                <w:rFonts w:hint="eastAsia" w:ascii="仿宋" w:hAnsi="仿宋" w:eastAsia="仿宋" w:cs="仿宋"/>
                <w:szCs w:val="21"/>
              </w:rPr>
              <w:t>4.7 企业所得税的征收管理</w:t>
            </w:r>
          </w:p>
          <w:p>
            <w:pPr>
              <w:spacing w:line="240" w:lineRule="atLeast"/>
              <w:jc w:val="left"/>
              <w:rPr>
                <w:rFonts w:ascii="仿宋" w:hAnsi="仿宋" w:eastAsia="仿宋" w:cs="仿宋"/>
                <w:szCs w:val="21"/>
              </w:rPr>
            </w:pPr>
            <w:r>
              <w:rPr>
                <w:rFonts w:hint="eastAsia" w:ascii="仿宋" w:hAnsi="仿宋" w:eastAsia="仿宋" w:cs="仿宋"/>
                <w:szCs w:val="21"/>
              </w:rPr>
              <w:t>4.8 技能训练和实战演练</w:t>
            </w:r>
          </w:p>
          <w:p>
            <w:pPr>
              <w:spacing w:line="240" w:lineRule="atLeast"/>
              <w:jc w:val="left"/>
              <w:rPr>
                <w:rFonts w:ascii="仿宋" w:hAnsi="仿宋" w:eastAsia="仿宋" w:cs="仿宋"/>
                <w:szCs w:val="21"/>
              </w:rPr>
            </w:pPr>
          </w:p>
        </w:tc>
        <w:tc>
          <w:tcPr>
            <w:tcW w:w="3505" w:type="dxa"/>
            <w:vAlign w:val="center"/>
          </w:tcPr>
          <w:p>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通过本章学习，会界定企业所得税纳税人，清晰判断哪些业务应当缴纳企业所得税，税率选择，能充分运用企业所得税优惠政策。能确定企业所得税的计算依据，根据相关业务资料确定企业所得税的收入总额，能根据相关业务资料进行亏损弥补，能根据企业相关业务资料进行所得税相关税务处理。</w:t>
            </w:r>
          </w:p>
          <w:p>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课程思政：通过企业所得税法学习，明白尺有所短、寸有所长的道理，融入国情教育、培养自信和爱国情怀，激励学生选择自己的人生道路后应脚踏实地、全力以赴。</w:t>
            </w:r>
          </w:p>
        </w:tc>
        <w:tc>
          <w:tcPr>
            <w:tcW w:w="991" w:type="dxa"/>
            <w:vAlign w:val="center"/>
          </w:tcPr>
          <w:p>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w:t>
            </w:r>
          </w:p>
        </w:tc>
        <w:tc>
          <w:tcPr>
            <w:tcW w:w="991" w:type="dxa"/>
            <w:vAlign w:val="center"/>
          </w:tcPr>
          <w:p>
            <w:pPr>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应用</w:t>
            </w:r>
          </w:p>
          <w:p>
            <w:pPr>
              <w:jc w:val="lef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 xml:space="preserve">第5章 </w:t>
            </w:r>
          </w:p>
          <w:p>
            <w:pPr>
              <w:keepNext/>
              <w:spacing w:line="360" w:lineRule="auto"/>
              <w:jc w:val="center"/>
              <w:rPr>
                <w:rFonts w:ascii="仿宋" w:hAnsi="仿宋" w:eastAsia="仿宋" w:cs="仿宋"/>
                <w:spacing w:val="-3"/>
                <w:szCs w:val="21"/>
                <w:lang w:val="zh-CN"/>
              </w:rPr>
            </w:pPr>
            <w:r>
              <w:rPr>
                <w:rFonts w:hint="eastAsia" w:ascii="仿宋" w:hAnsi="仿宋" w:eastAsia="仿宋" w:cs="仿宋"/>
                <w:szCs w:val="21"/>
              </w:rPr>
              <w:t>个人所得税</w:t>
            </w:r>
          </w:p>
        </w:tc>
        <w:tc>
          <w:tcPr>
            <w:tcW w:w="2598" w:type="dxa"/>
            <w:vAlign w:val="center"/>
          </w:tcPr>
          <w:p>
            <w:pPr>
              <w:keepNext/>
              <w:spacing w:line="240" w:lineRule="atLeast"/>
              <w:jc w:val="left"/>
              <w:rPr>
                <w:rFonts w:ascii="仿宋" w:hAnsi="仿宋" w:eastAsia="仿宋" w:cs="仿宋"/>
                <w:szCs w:val="21"/>
              </w:rPr>
            </w:pPr>
            <w:r>
              <w:rPr>
                <w:rFonts w:hint="eastAsia" w:ascii="仿宋" w:hAnsi="仿宋" w:eastAsia="仿宋" w:cs="仿宋"/>
                <w:szCs w:val="21"/>
              </w:rPr>
              <w:t>5.1个人所得税的认知</w:t>
            </w:r>
          </w:p>
          <w:p>
            <w:pPr>
              <w:keepNext/>
              <w:spacing w:line="240" w:lineRule="atLeast"/>
              <w:jc w:val="left"/>
              <w:rPr>
                <w:rFonts w:ascii="仿宋" w:hAnsi="仿宋" w:eastAsia="仿宋" w:cs="仿宋"/>
                <w:szCs w:val="21"/>
              </w:rPr>
            </w:pPr>
            <w:r>
              <w:rPr>
                <w:rFonts w:hint="eastAsia" w:ascii="仿宋" w:hAnsi="仿宋" w:eastAsia="仿宋" w:cs="仿宋"/>
                <w:szCs w:val="21"/>
              </w:rPr>
              <w:t>5.2个人所得税的计算</w:t>
            </w:r>
          </w:p>
          <w:p>
            <w:pPr>
              <w:keepNext/>
              <w:spacing w:line="240" w:lineRule="atLeast"/>
              <w:jc w:val="left"/>
              <w:rPr>
                <w:rFonts w:ascii="仿宋" w:hAnsi="仿宋" w:eastAsia="仿宋" w:cs="仿宋"/>
                <w:szCs w:val="21"/>
              </w:rPr>
            </w:pPr>
            <w:r>
              <w:rPr>
                <w:rFonts w:hint="eastAsia" w:ascii="仿宋" w:hAnsi="仿宋" w:eastAsia="仿宋" w:cs="仿宋"/>
                <w:szCs w:val="21"/>
              </w:rPr>
              <w:t>5.3个人所得税的征收</w:t>
            </w:r>
          </w:p>
          <w:p>
            <w:pPr>
              <w:keepNext/>
              <w:spacing w:line="240" w:lineRule="atLeast"/>
              <w:jc w:val="left"/>
              <w:rPr>
                <w:rFonts w:ascii="仿宋" w:hAnsi="仿宋" w:eastAsia="仿宋" w:cs="仿宋"/>
                <w:spacing w:val="-3"/>
                <w:szCs w:val="21"/>
              </w:rPr>
            </w:pPr>
            <w:r>
              <w:rPr>
                <w:rFonts w:hint="eastAsia" w:ascii="仿宋" w:hAnsi="仿宋" w:eastAsia="仿宋" w:cs="仿宋"/>
                <w:szCs w:val="21"/>
              </w:rPr>
              <w:t xml:space="preserve">5.4个人所得税的征收管理  </w:t>
            </w:r>
            <w:r>
              <w:rPr>
                <w:rFonts w:hint="eastAsia" w:ascii="仿宋" w:hAnsi="仿宋" w:eastAsia="仿宋" w:cs="仿宋"/>
                <w:spacing w:val="-3"/>
                <w:szCs w:val="21"/>
              </w:rPr>
              <w:t xml:space="preserve"> </w:t>
            </w:r>
          </w:p>
        </w:tc>
        <w:tc>
          <w:tcPr>
            <w:tcW w:w="3505" w:type="dxa"/>
            <w:vAlign w:val="center"/>
          </w:tcPr>
          <w:p>
            <w:pPr>
              <w:keepNext/>
              <w:spacing w:line="360" w:lineRule="auto"/>
              <w:rPr>
                <w:rFonts w:ascii="仿宋" w:hAnsi="仿宋" w:eastAsia="仿宋" w:cs="仿宋"/>
                <w:szCs w:val="21"/>
              </w:rPr>
            </w:pPr>
            <w:r>
              <w:rPr>
                <w:rFonts w:hint="eastAsia" w:ascii="仿宋" w:hAnsi="仿宋" w:eastAsia="仿宋" w:cs="仿宋"/>
                <w:szCs w:val="21"/>
              </w:rPr>
              <w:t>通过本章学习掌握个人所得税纳税人的界定，清晰判断应当缴纳个人所得税的业务，选择个人所得税适用税率，能充分运用个人所得税优惠政策。能根据相关业务资料计算工资、薪金所得，劳务报酬所得、稿酬所得，特许权使用费所得（统称为综合所得）的应纳税额，财产租赁所得的应纳税额，财产转让所得的应纳税额，以及个人所得税几种特殊情况的应纳税额。本章重点是可以确定个人所得税的纳税义务发生时间、纳税期限和纳税地点，根据相关业务资料计算工资、薪金所得。</w:t>
            </w:r>
          </w:p>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课程思政：融入法制教育、安全教育、消费观与正确的人生价值观。</w:t>
            </w:r>
          </w:p>
        </w:tc>
        <w:tc>
          <w:tcPr>
            <w:tcW w:w="991"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4</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应用</w:t>
            </w:r>
          </w:p>
          <w:p>
            <w:pPr>
              <w:keepNext/>
              <w:jc w:val="left"/>
              <w:rPr>
                <w:rFonts w:ascii="仿宋" w:hAnsi="仿宋" w:eastAsia="仿宋" w:cs="仿宋"/>
                <w:szCs w:val="21"/>
              </w:rPr>
            </w:pPr>
            <w:r>
              <w:rPr>
                <w:rFonts w:hint="eastAsia" w:ascii="仿宋" w:hAnsi="仿宋" w:eastAsia="仿宋" w:cs="仿宋"/>
                <w:szCs w:val="21"/>
                <w:lang w:val="zh-CN"/>
              </w:rPr>
              <w:sym w:font="Wingdings 2" w:char="F052"/>
            </w:r>
            <w:r>
              <w:rPr>
                <w:rFonts w:hint="eastAsia" w:ascii="仿宋" w:hAnsi="仿宋" w:eastAsia="仿宋" w:cs="仿宋"/>
                <w:szCs w:val="21"/>
                <w:lang w:val="zh-CN"/>
              </w:rPr>
              <w:t>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 xml:space="preserve">第6章 </w:t>
            </w:r>
          </w:p>
          <w:p>
            <w:pPr>
              <w:keepNext/>
              <w:spacing w:line="360" w:lineRule="auto"/>
              <w:jc w:val="center"/>
              <w:rPr>
                <w:rFonts w:ascii="仿宋" w:hAnsi="仿宋" w:eastAsia="仿宋" w:cs="仿宋"/>
                <w:spacing w:val="-3"/>
                <w:szCs w:val="21"/>
              </w:rPr>
            </w:pPr>
            <w:r>
              <w:rPr>
                <w:rFonts w:hint="eastAsia" w:ascii="仿宋" w:hAnsi="仿宋" w:eastAsia="仿宋" w:cs="仿宋"/>
                <w:szCs w:val="21"/>
              </w:rPr>
              <w:t>城市维护建设税法和教育附加税</w:t>
            </w:r>
          </w:p>
        </w:tc>
        <w:tc>
          <w:tcPr>
            <w:tcW w:w="2598" w:type="dxa"/>
            <w:vAlign w:val="center"/>
          </w:tcPr>
          <w:p>
            <w:pPr>
              <w:keepNext/>
              <w:spacing w:line="240" w:lineRule="atLeast"/>
              <w:jc w:val="left"/>
              <w:rPr>
                <w:rFonts w:ascii="仿宋" w:hAnsi="仿宋" w:eastAsia="仿宋" w:cs="仿宋"/>
                <w:szCs w:val="21"/>
              </w:rPr>
            </w:pPr>
            <w:r>
              <w:rPr>
                <w:rFonts w:hint="eastAsia" w:ascii="仿宋" w:hAnsi="仿宋" w:eastAsia="仿宋" w:cs="仿宋"/>
                <w:szCs w:val="21"/>
              </w:rPr>
              <w:t>6.1城市维护建设税的认知</w:t>
            </w:r>
          </w:p>
          <w:p>
            <w:pPr>
              <w:keepNext/>
              <w:spacing w:line="240" w:lineRule="atLeast"/>
              <w:jc w:val="left"/>
              <w:rPr>
                <w:rFonts w:ascii="仿宋" w:hAnsi="仿宋" w:eastAsia="仿宋" w:cs="仿宋"/>
                <w:szCs w:val="21"/>
              </w:rPr>
            </w:pPr>
            <w:r>
              <w:rPr>
                <w:rFonts w:hint="eastAsia" w:ascii="仿宋" w:hAnsi="仿宋" w:eastAsia="仿宋" w:cs="仿宋"/>
                <w:szCs w:val="21"/>
              </w:rPr>
              <w:t>6.2城市维护建设税的计算和征收管理</w:t>
            </w:r>
          </w:p>
          <w:p>
            <w:pPr>
              <w:keepNext/>
              <w:spacing w:line="240" w:lineRule="atLeast"/>
              <w:jc w:val="left"/>
              <w:rPr>
                <w:rFonts w:ascii="仿宋" w:hAnsi="仿宋" w:eastAsia="仿宋" w:cs="仿宋"/>
                <w:szCs w:val="21"/>
              </w:rPr>
            </w:pPr>
            <w:r>
              <w:rPr>
                <w:rFonts w:hint="eastAsia" w:ascii="仿宋" w:hAnsi="仿宋" w:eastAsia="仿宋" w:cs="仿宋"/>
                <w:szCs w:val="21"/>
              </w:rPr>
              <w:t>6.3教育附加税的认知</w:t>
            </w:r>
          </w:p>
          <w:p>
            <w:pPr>
              <w:keepNext/>
              <w:spacing w:line="240" w:lineRule="atLeast"/>
              <w:jc w:val="left"/>
              <w:rPr>
                <w:rFonts w:ascii="仿宋" w:hAnsi="仿宋" w:eastAsia="仿宋" w:cs="仿宋"/>
                <w:szCs w:val="21"/>
              </w:rPr>
            </w:pPr>
            <w:r>
              <w:rPr>
                <w:rFonts w:hint="eastAsia" w:ascii="仿宋" w:hAnsi="仿宋" w:eastAsia="仿宋" w:cs="仿宋"/>
                <w:szCs w:val="21"/>
              </w:rPr>
              <w:t>6.4教育附加税的计算和征收管理</w:t>
            </w:r>
          </w:p>
        </w:tc>
        <w:tc>
          <w:tcPr>
            <w:tcW w:w="3505" w:type="dxa"/>
            <w:vAlign w:val="center"/>
          </w:tcPr>
          <w:p>
            <w:pPr>
              <w:keepNext/>
              <w:spacing w:line="360" w:lineRule="auto"/>
              <w:ind w:firstLine="420" w:firstLineChars="200"/>
              <w:rPr>
                <w:rFonts w:ascii="仿宋" w:hAnsi="仿宋" w:eastAsia="仿宋" w:cs="仿宋"/>
                <w:szCs w:val="21"/>
              </w:rPr>
            </w:pPr>
            <w:r>
              <w:rPr>
                <w:rFonts w:hint="eastAsia" w:ascii="仿宋" w:hAnsi="仿宋" w:eastAsia="仿宋" w:cs="仿宋"/>
                <w:szCs w:val="21"/>
              </w:rPr>
              <w:t>通过本章学习可明确城市维护建设税和教育附加税的实际缴纳人，明确城市维护建设税和教育附加的计税依据，能确定纳税义务发生时间、纳税期限和纳税地点。</w:t>
            </w:r>
          </w:p>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课程思政：融入创新精神、劳模精神，培养学生面对困难不放弃、 拓进取的优良品格。</w:t>
            </w:r>
          </w:p>
        </w:tc>
        <w:tc>
          <w:tcPr>
            <w:tcW w:w="991"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1</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jc w:val="left"/>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 xml:space="preserve">第7章 </w:t>
            </w:r>
          </w:p>
          <w:p>
            <w:pPr>
              <w:keepNext/>
              <w:spacing w:line="360" w:lineRule="auto"/>
              <w:jc w:val="center"/>
              <w:rPr>
                <w:rFonts w:ascii="仿宋" w:hAnsi="仿宋" w:eastAsia="仿宋" w:cs="仿宋"/>
                <w:spacing w:val="-3"/>
                <w:szCs w:val="21"/>
              </w:rPr>
            </w:pPr>
            <w:r>
              <w:rPr>
                <w:rFonts w:hint="eastAsia" w:ascii="仿宋" w:hAnsi="仿宋" w:eastAsia="仿宋" w:cs="仿宋"/>
                <w:szCs w:val="21"/>
              </w:rPr>
              <w:t>关税</w:t>
            </w:r>
          </w:p>
        </w:tc>
        <w:tc>
          <w:tcPr>
            <w:tcW w:w="2598" w:type="dxa"/>
            <w:vAlign w:val="center"/>
          </w:tcPr>
          <w:p>
            <w:pPr>
              <w:keepNext/>
              <w:spacing w:line="240" w:lineRule="atLeast"/>
              <w:jc w:val="left"/>
              <w:rPr>
                <w:rFonts w:ascii="仿宋" w:hAnsi="仿宋" w:eastAsia="仿宋" w:cs="仿宋"/>
                <w:szCs w:val="21"/>
              </w:rPr>
            </w:pPr>
            <w:r>
              <w:rPr>
                <w:rFonts w:hint="eastAsia" w:ascii="仿宋" w:hAnsi="仿宋" w:eastAsia="仿宋" w:cs="仿宋"/>
                <w:szCs w:val="21"/>
              </w:rPr>
              <w:t>7.1关税的认知</w:t>
            </w:r>
          </w:p>
          <w:p>
            <w:pPr>
              <w:keepNext/>
              <w:spacing w:line="240" w:lineRule="atLeast"/>
              <w:jc w:val="left"/>
              <w:rPr>
                <w:rFonts w:ascii="仿宋" w:hAnsi="仿宋" w:eastAsia="仿宋" w:cs="仿宋"/>
                <w:szCs w:val="21"/>
              </w:rPr>
            </w:pPr>
            <w:r>
              <w:rPr>
                <w:rFonts w:hint="eastAsia" w:ascii="仿宋" w:hAnsi="仿宋" w:eastAsia="仿宋" w:cs="仿宋"/>
                <w:szCs w:val="21"/>
              </w:rPr>
              <w:t>7.2关税的计算和征收管理</w:t>
            </w:r>
          </w:p>
          <w:p>
            <w:pPr>
              <w:keepNext/>
              <w:spacing w:line="240" w:lineRule="atLeast"/>
              <w:jc w:val="left"/>
              <w:rPr>
                <w:rFonts w:ascii="仿宋" w:hAnsi="仿宋" w:eastAsia="仿宋" w:cs="仿宋"/>
                <w:szCs w:val="21"/>
              </w:rPr>
            </w:pPr>
          </w:p>
        </w:tc>
        <w:tc>
          <w:tcPr>
            <w:tcW w:w="3505" w:type="dxa"/>
            <w:vAlign w:val="center"/>
          </w:tcPr>
          <w:p>
            <w:pPr>
              <w:keepNext/>
              <w:spacing w:line="360" w:lineRule="auto"/>
              <w:ind w:firstLine="420" w:firstLineChars="200"/>
              <w:rPr>
                <w:rFonts w:ascii="仿宋" w:hAnsi="仿宋" w:eastAsia="仿宋" w:cs="仿宋"/>
                <w:szCs w:val="21"/>
              </w:rPr>
            </w:pPr>
            <w:r>
              <w:rPr>
                <w:rFonts w:hint="eastAsia" w:ascii="仿宋" w:hAnsi="仿宋" w:eastAsia="仿宋" w:cs="仿宋"/>
                <w:szCs w:val="21"/>
              </w:rPr>
              <w:t>通过本章学习，了解关税纳税申报，熟悉关税的纳税人、征税范围、税目、税率、计税依据及应纳税额的计算。了解关税的概念、特点、减税和免税、纳税期限和税款退补规定，确定关税的纳税义务发生时间、纳税期限和纳税地点。</w:t>
            </w:r>
          </w:p>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课程思政：在本章的系统学习下，进一步明确关税在我国应用的重要意义，给同学们从中进行爱国向上的教育。</w:t>
            </w:r>
          </w:p>
        </w:tc>
        <w:tc>
          <w:tcPr>
            <w:tcW w:w="991" w:type="dxa"/>
            <w:vAlign w:val="center"/>
          </w:tcPr>
          <w:p>
            <w:pPr>
              <w:keepNext/>
              <w:spacing w:line="360" w:lineRule="auto"/>
              <w:ind w:firstLine="420" w:firstLineChars="200"/>
              <w:rPr>
                <w:rFonts w:ascii="仿宋" w:hAnsi="仿宋" w:eastAsia="仿宋" w:cs="仿宋"/>
                <w:szCs w:val="21"/>
              </w:rPr>
            </w:pPr>
            <w:r>
              <w:rPr>
                <w:rFonts w:hint="eastAsia" w:ascii="仿宋" w:hAnsi="仿宋" w:eastAsia="仿宋" w:cs="仿宋"/>
                <w:szCs w:val="21"/>
              </w:rPr>
              <w:t>1</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jc w:val="left"/>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 xml:space="preserve">第8章 </w:t>
            </w:r>
          </w:p>
          <w:p>
            <w:pPr>
              <w:keepNext/>
              <w:spacing w:line="360" w:lineRule="auto"/>
              <w:jc w:val="center"/>
              <w:rPr>
                <w:rFonts w:ascii="仿宋" w:hAnsi="仿宋" w:eastAsia="仿宋" w:cs="仿宋"/>
                <w:spacing w:val="-3"/>
                <w:szCs w:val="21"/>
              </w:rPr>
            </w:pPr>
            <w:r>
              <w:rPr>
                <w:rFonts w:hint="eastAsia" w:ascii="仿宋" w:hAnsi="仿宋" w:eastAsia="仿宋" w:cs="仿宋"/>
                <w:spacing w:val="-3"/>
                <w:szCs w:val="21"/>
              </w:rPr>
              <w:t>资源税法和环境保护法</w:t>
            </w:r>
          </w:p>
        </w:tc>
        <w:tc>
          <w:tcPr>
            <w:tcW w:w="2598" w:type="dxa"/>
            <w:vAlign w:val="center"/>
          </w:tcPr>
          <w:p>
            <w:pPr>
              <w:keepNext/>
              <w:spacing w:line="240" w:lineRule="atLeast"/>
              <w:jc w:val="left"/>
              <w:rPr>
                <w:rFonts w:ascii="仿宋" w:hAnsi="仿宋" w:eastAsia="仿宋" w:cs="仿宋"/>
                <w:szCs w:val="21"/>
              </w:rPr>
            </w:pPr>
            <w:r>
              <w:rPr>
                <w:rFonts w:ascii="仿宋" w:hAnsi="仿宋" w:eastAsia="仿宋" w:cs="仿宋"/>
                <w:szCs w:val="21"/>
              </w:rPr>
              <w:t>8</w:t>
            </w:r>
            <w:r>
              <w:rPr>
                <w:rFonts w:hint="eastAsia" w:ascii="仿宋" w:hAnsi="仿宋" w:eastAsia="仿宋" w:cs="仿宋"/>
                <w:szCs w:val="21"/>
              </w:rPr>
              <w:t>.1资源税</w:t>
            </w:r>
          </w:p>
          <w:p>
            <w:pPr>
              <w:keepNext/>
              <w:spacing w:line="240" w:lineRule="atLeast"/>
              <w:jc w:val="left"/>
              <w:rPr>
                <w:rFonts w:ascii="仿宋" w:hAnsi="仿宋" w:eastAsia="仿宋" w:cs="仿宋"/>
                <w:szCs w:val="21"/>
              </w:rPr>
            </w:pPr>
            <w:r>
              <w:rPr>
                <w:rFonts w:ascii="仿宋" w:hAnsi="仿宋" w:eastAsia="仿宋" w:cs="仿宋"/>
                <w:szCs w:val="21"/>
              </w:rPr>
              <w:t>8</w:t>
            </w:r>
            <w:r>
              <w:rPr>
                <w:rFonts w:hint="eastAsia" w:ascii="仿宋" w:hAnsi="仿宋" w:eastAsia="仿宋" w:cs="仿宋"/>
                <w:szCs w:val="21"/>
              </w:rPr>
              <w:t>.1城市土地使用税</w:t>
            </w:r>
          </w:p>
          <w:p>
            <w:pPr>
              <w:keepNext/>
              <w:spacing w:line="240" w:lineRule="atLeast"/>
              <w:jc w:val="left"/>
              <w:rPr>
                <w:rFonts w:ascii="仿宋" w:hAnsi="仿宋" w:eastAsia="仿宋" w:cs="仿宋"/>
                <w:szCs w:val="21"/>
              </w:rPr>
            </w:pPr>
            <w:r>
              <w:rPr>
                <w:rFonts w:hint="eastAsia" w:ascii="仿宋" w:hAnsi="仿宋" w:eastAsia="仿宋" w:cs="仿宋"/>
                <w:szCs w:val="21"/>
              </w:rPr>
              <w:t>8.3环境保护税的认知</w:t>
            </w:r>
          </w:p>
          <w:p>
            <w:pPr>
              <w:keepNext/>
              <w:spacing w:line="240" w:lineRule="atLeast"/>
              <w:jc w:val="left"/>
              <w:rPr>
                <w:rFonts w:ascii="仿宋" w:hAnsi="仿宋" w:eastAsia="仿宋" w:cs="仿宋"/>
                <w:szCs w:val="21"/>
              </w:rPr>
            </w:pPr>
            <w:r>
              <w:rPr>
                <w:rFonts w:hint="eastAsia" w:ascii="仿宋" w:hAnsi="仿宋" w:eastAsia="仿宋" w:cs="仿宋"/>
                <w:szCs w:val="21"/>
              </w:rPr>
              <w:t>8.4环境保护税的计算和征收管理</w:t>
            </w:r>
          </w:p>
        </w:tc>
        <w:tc>
          <w:tcPr>
            <w:tcW w:w="3505" w:type="dxa"/>
            <w:vAlign w:val="center"/>
          </w:tcPr>
          <w:p>
            <w:pPr>
              <w:keepNext/>
              <w:spacing w:line="360" w:lineRule="auto"/>
              <w:ind w:firstLine="420" w:firstLineChars="200"/>
              <w:rPr>
                <w:rFonts w:ascii="仿宋" w:hAnsi="仿宋" w:eastAsia="仿宋" w:cs="仿宋"/>
                <w:szCs w:val="21"/>
              </w:rPr>
            </w:pPr>
            <w:r>
              <w:rPr>
                <w:rFonts w:hint="eastAsia" w:ascii="仿宋" w:hAnsi="仿宋" w:eastAsia="仿宋" w:cs="仿宋"/>
                <w:szCs w:val="21"/>
              </w:rPr>
              <w:t>通过本章学习可以判定哪些资源应缴纳资源税，能根据相关业务资料计算资源税，能确定资源税的缴纳义务发生时间、纳税期限和纳税地点；可以判定哪些资源应缴纳环境保护税，能根据相关业务资料计算环境保护税，能确定环境保护税的缴纳义务发生时间、纳税期限和纳税地点。</w:t>
            </w:r>
          </w:p>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课程思政：通过本章节的学习，使同学们深刻意识到资源保护和环境保护的重要性，提升理论与实际相结合的素质，深刻体会我国社会主义制度下的工程制度的优越性。</w:t>
            </w:r>
          </w:p>
        </w:tc>
        <w:tc>
          <w:tcPr>
            <w:tcW w:w="991"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1</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jc w:val="left"/>
              <w:rPr>
                <w:rFonts w:ascii="仿宋" w:hAnsi="仿宋" w:eastAsia="仿宋" w:cs="仿宋"/>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018"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 xml:space="preserve">第9章 </w:t>
            </w:r>
          </w:p>
          <w:p>
            <w:pPr>
              <w:keepNext/>
              <w:spacing w:line="360" w:lineRule="auto"/>
              <w:jc w:val="center"/>
              <w:rPr>
                <w:rFonts w:ascii="仿宋" w:hAnsi="仿宋" w:eastAsia="仿宋" w:cs="仿宋"/>
                <w:szCs w:val="21"/>
              </w:rPr>
            </w:pPr>
            <w:r>
              <w:rPr>
                <w:rFonts w:hint="eastAsia" w:ascii="仿宋" w:hAnsi="仿宋" w:eastAsia="仿宋" w:cs="仿宋"/>
                <w:spacing w:val="-3"/>
                <w:szCs w:val="21"/>
              </w:rPr>
              <w:t>其他税种</w:t>
            </w:r>
          </w:p>
        </w:tc>
        <w:tc>
          <w:tcPr>
            <w:tcW w:w="2598" w:type="dxa"/>
            <w:vAlign w:val="center"/>
          </w:tcPr>
          <w:p>
            <w:pPr>
              <w:keepNext/>
              <w:spacing w:line="240" w:lineRule="atLeast"/>
              <w:jc w:val="left"/>
              <w:rPr>
                <w:rFonts w:ascii="仿宋" w:hAnsi="仿宋" w:eastAsia="仿宋" w:cs="仿宋"/>
                <w:szCs w:val="21"/>
              </w:rPr>
            </w:pPr>
            <w:r>
              <w:rPr>
                <w:rFonts w:ascii="仿宋" w:hAnsi="仿宋" w:eastAsia="仿宋" w:cs="仿宋"/>
                <w:szCs w:val="21"/>
              </w:rPr>
              <w:t>9.1</w:t>
            </w:r>
            <w:r>
              <w:rPr>
                <w:rFonts w:hint="eastAsia" w:ascii="仿宋" w:hAnsi="仿宋" w:eastAsia="仿宋" w:cs="仿宋"/>
                <w:szCs w:val="21"/>
              </w:rPr>
              <w:t>土地增值税法</w:t>
            </w:r>
          </w:p>
          <w:p>
            <w:pPr>
              <w:keepNext/>
              <w:spacing w:line="240" w:lineRule="atLeast"/>
              <w:jc w:val="left"/>
              <w:rPr>
                <w:rFonts w:ascii="仿宋" w:hAnsi="仿宋" w:eastAsia="仿宋" w:cs="仿宋"/>
                <w:szCs w:val="21"/>
              </w:rPr>
            </w:pPr>
            <w:r>
              <w:rPr>
                <w:rFonts w:ascii="仿宋" w:hAnsi="仿宋" w:eastAsia="仿宋" w:cs="仿宋"/>
                <w:szCs w:val="21"/>
              </w:rPr>
              <w:t xml:space="preserve">9.2 </w:t>
            </w:r>
            <w:r>
              <w:rPr>
                <w:rFonts w:hint="eastAsia" w:ascii="仿宋" w:hAnsi="仿宋" w:eastAsia="仿宋" w:cs="仿宋"/>
                <w:szCs w:val="21"/>
              </w:rPr>
              <w:t>城镇土地使用税法</w:t>
            </w:r>
          </w:p>
          <w:p>
            <w:pPr>
              <w:keepNext/>
              <w:spacing w:line="240" w:lineRule="atLeast"/>
              <w:jc w:val="left"/>
              <w:rPr>
                <w:rFonts w:ascii="仿宋" w:hAnsi="仿宋" w:eastAsia="仿宋" w:cs="仿宋"/>
                <w:szCs w:val="21"/>
              </w:rPr>
            </w:pPr>
            <w:r>
              <w:rPr>
                <w:rFonts w:hint="eastAsia" w:ascii="仿宋" w:hAnsi="仿宋" w:eastAsia="仿宋" w:cs="仿宋"/>
                <w:szCs w:val="21"/>
              </w:rPr>
              <w:t>9</w:t>
            </w:r>
            <w:r>
              <w:rPr>
                <w:rFonts w:ascii="仿宋" w:hAnsi="仿宋" w:eastAsia="仿宋" w:cs="仿宋"/>
                <w:szCs w:val="21"/>
              </w:rPr>
              <w:t>.3</w:t>
            </w:r>
            <w:r>
              <w:rPr>
                <w:rFonts w:hint="eastAsia" w:ascii="仿宋" w:hAnsi="仿宋" w:eastAsia="仿宋" w:cs="仿宋"/>
                <w:szCs w:val="21"/>
              </w:rPr>
              <w:t>耕地占用税法</w:t>
            </w:r>
            <w:r>
              <w:rPr>
                <w:rFonts w:ascii="仿宋" w:hAnsi="仿宋" w:eastAsia="仿宋" w:cs="仿宋"/>
                <w:szCs w:val="21"/>
              </w:rPr>
              <w:t xml:space="preserve"> </w:t>
            </w:r>
          </w:p>
          <w:p>
            <w:pPr>
              <w:keepNext/>
              <w:spacing w:line="240" w:lineRule="atLeast"/>
              <w:jc w:val="left"/>
              <w:rPr>
                <w:rFonts w:ascii="仿宋" w:hAnsi="仿宋" w:eastAsia="仿宋" w:cs="仿宋"/>
                <w:szCs w:val="21"/>
              </w:rPr>
            </w:pPr>
            <w:r>
              <w:rPr>
                <w:rFonts w:hint="eastAsia" w:ascii="仿宋" w:hAnsi="仿宋" w:eastAsia="仿宋" w:cs="仿宋"/>
                <w:szCs w:val="21"/>
              </w:rPr>
              <w:t>9.4</w:t>
            </w:r>
            <w:r>
              <w:rPr>
                <w:rFonts w:ascii="仿宋" w:hAnsi="仿宋" w:eastAsia="仿宋" w:cs="仿宋"/>
                <w:szCs w:val="21"/>
              </w:rPr>
              <w:t xml:space="preserve"> </w:t>
            </w:r>
            <w:r>
              <w:rPr>
                <w:rFonts w:hint="eastAsia" w:ascii="仿宋" w:hAnsi="仿宋" w:eastAsia="仿宋" w:cs="仿宋"/>
                <w:szCs w:val="21"/>
              </w:rPr>
              <w:t>车船税法</w:t>
            </w:r>
          </w:p>
          <w:p>
            <w:pPr>
              <w:keepNext/>
              <w:spacing w:line="240" w:lineRule="atLeast"/>
              <w:jc w:val="left"/>
              <w:rPr>
                <w:rFonts w:ascii="仿宋" w:hAnsi="仿宋" w:eastAsia="仿宋" w:cs="仿宋"/>
                <w:szCs w:val="21"/>
              </w:rPr>
            </w:pPr>
            <w:r>
              <w:rPr>
                <w:rFonts w:hint="eastAsia" w:ascii="仿宋" w:hAnsi="仿宋" w:eastAsia="仿宋" w:cs="仿宋"/>
                <w:szCs w:val="21"/>
              </w:rPr>
              <w:t>9</w:t>
            </w:r>
            <w:r>
              <w:rPr>
                <w:rFonts w:ascii="仿宋" w:hAnsi="仿宋" w:eastAsia="仿宋" w:cs="仿宋"/>
                <w:szCs w:val="21"/>
              </w:rPr>
              <w:t>.5</w:t>
            </w:r>
            <w:r>
              <w:rPr>
                <w:rFonts w:hint="eastAsia" w:ascii="仿宋" w:hAnsi="仿宋" w:eastAsia="仿宋" w:cs="仿宋"/>
                <w:szCs w:val="21"/>
              </w:rPr>
              <w:t>车辆购置税法</w:t>
            </w:r>
          </w:p>
          <w:p>
            <w:pPr>
              <w:keepNext/>
              <w:spacing w:line="240" w:lineRule="atLeast"/>
              <w:jc w:val="left"/>
              <w:rPr>
                <w:rFonts w:ascii="仿宋" w:hAnsi="仿宋" w:eastAsia="仿宋" w:cs="仿宋"/>
                <w:szCs w:val="21"/>
              </w:rPr>
            </w:pPr>
            <w:r>
              <w:rPr>
                <w:rFonts w:hint="eastAsia" w:ascii="仿宋" w:hAnsi="仿宋" w:eastAsia="仿宋" w:cs="仿宋"/>
                <w:szCs w:val="21"/>
              </w:rPr>
              <w:t>9</w:t>
            </w:r>
            <w:r>
              <w:rPr>
                <w:rFonts w:ascii="仿宋" w:hAnsi="仿宋" w:eastAsia="仿宋" w:cs="仿宋"/>
                <w:szCs w:val="21"/>
              </w:rPr>
              <w:t xml:space="preserve">.6 </w:t>
            </w:r>
            <w:r>
              <w:rPr>
                <w:rFonts w:hint="eastAsia" w:ascii="仿宋" w:hAnsi="仿宋" w:eastAsia="仿宋" w:cs="仿宋"/>
                <w:szCs w:val="21"/>
              </w:rPr>
              <w:t>房产税法</w:t>
            </w:r>
          </w:p>
          <w:p>
            <w:pPr>
              <w:keepNext/>
              <w:spacing w:line="240" w:lineRule="atLeast"/>
              <w:jc w:val="left"/>
              <w:rPr>
                <w:rFonts w:ascii="仿宋" w:hAnsi="仿宋" w:eastAsia="仿宋" w:cs="仿宋"/>
                <w:szCs w:val="21"/>
              </w:rPr>
            </w:pPr>
            <w:r>
              <w:rPr>
                <w:rFonts w:hint="eastAsia" w:ascii="仿宋" w:hAnsi="仿宋" w:eastAsia="仿宋" w:cs="仿宋"/>
                <w:szCs w:val="21"/>
              </w:rPr>
              <w:t>9</w:t>
            </w:r>
            <w:r>
              <w:rPr>
                <w:rFonts w:ascii="仿宋" w:hAnsi="仿宋" w:eastAsia="仿宋" w:cs="仿宋"/>
                <w:szCs w:val="21"/>
              </w:rPr>
              <w:t xml:space="preserve">.7 </w:t>
            </w:r>
            <w:r>
              <w:rPr>
                <w:rFonts w:hint="eastAsia" w:ascii="仿宋" w:hAnsi="仿宋" w:eastAsia="仿宋" w:cs="仿宋"/>
                <w:szCs w:val="21"/>
              </w:rPr>
              <w:t>印花税法</w:t>
            </w:r>
          </w:p>
          <w:p>
            <w:pPr>
              <w:keepNext/>
              <w:spacing w:line="240" w:lineRule="atLeast"/>
              <w:jc w:val="left"/>
              <w:rPr>
                <w:rFonts w:ascii="仿宋" w:hAnsi="仿宋" w:eastAsia="仿宋" w:cs="仿宋"/>
                <w:szCs w:val="21"/>
              </w:rPr>
            </w:pPr>
            <w:r>
              <w:rPr>
                <w:rFonts w:hint="eastAsia" w:ascii="仿宋" w:hAnsi="仿宋" w:eastAsia="仿宋" w:cs="仿宋"/>
                <w:szCs w:val="21"/>
              </w:rPr>
              <w:t>9</w:t>
            </w:r>
            <w:r>
              <w:rPr>
                <w:rFonts w:ascii="仿宋" w:hAnsi="仿宋" w:eastAsia="仿宋" w:cs="仿宋"/>
                <w:szCs w:val="21"/>
              </w:rPr>
              <w:t xml:space="preserve">.8 </w:t>
            </w:r>
            <w:r>
              <w:rPr>
                <w:rFonts w:hint="eastAsia" w:ascii="仿宋" w:hAnsi="仿宋" w:eastAsia="仿宋" w:cs="仿宋"/>
                <w:szCs w:val="21"/>
              </w:rPr>
              <w:t>契税法</w:t>
            </w:r>
          </w:p>
        </w:tc>
        <w:tc>
          <w:tcPr>
            <w:tcW w:w="3505" w:type="dxa"/>
            <w:vAlign w:val="center"/>
          </w:tcPr>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能根据相关业务资料计算税收，能确定缴纳义务发生时间、纳税期限和纳税地点。</w:t>
            </w:r>
            <w:r>
              <w:rPr>
                <w:rFonts w:ascii="仿宋" w:hAnsi="仿宋" w:eastAsia="仿宋" w:cs="仿宋"/>
                <w:szCs w:val="21"/>
              </w:rPr>
              <w:t xml:space="preserve"> </w:t>
            </w:r>
          </w:p>
          <w:p>
            <w:pPr>
              <w:keepNext/>
              <w:spacing w:line="360" w:lineRule="auto"/>
              <w:ind w:firstLine="420" w:firstLineChars="200"/>
              <w:rPr>
                <w:rFonts w:ascii="仿宋" w:hAnsi="仿宋" w:eastAsia="仿宋" w:cs="仿宋"/>
                <w:szCs w:val="21"/>
              </w:rPr>
            </w:pPr>
            <w:r>
              <w:rPr>
                <w:rFonts w:hint="eastAsia" w:ascii="仿宋" w:hAnsi="仿宋" w:eastAsia="仿宋" w:cs="仿宋"/>
                <w:szCs w:val="21"/>
              </w:rPr>
              <w:t>课程思政：在本章的学习中，贯彻诚实守信的社会主义核心价值观基本内涵，使同学们树立契约精神、诚信精神以及对法律的敬畏心。</w:t>
            </w:r>
          </w:p>
        </w:tc>
        <w:tc>
          <w:tcPr>
            <w:tcW w:w="991" w:type="dxa"/>
            <w:vAlign w:val="center"/>
          </w:tcPr>
          <w:p>
            <w:pPr>
              <w:keepNext/>
              <w:spacing w:line="360" w:lineRule="auto"/>
              <w:jc w:val="center"/>
              <w:rPr>
                <w:rFonts w:ascii="仿宋" w:hAnsi="仿宋" w:eastAsia="仿宋" w:cs="仿宋"/>
                <w:szCs w:val="21"/>
              </w:rPr>
            </w:pPr>
            <w:r>
              <w:rPr>
                <w:rFonts w:ascii="仿宋" w:hAnsi="仿宋" w:eastAsia="仿宋" w:cs="仿宋"/>
                <w:szCs w:val="21"/>
              </w:rPr>
              <w:t>3</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rPr>
                <w:rFonts w:ascii="仿宋" w:hAnsi="仿宋" w:eastAsia="仿宋" w:cs="仿宋"/>
                <w:szCs w:val="21"/>
                <w:lang w:val="zh-CN"/>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tblHeader/>
        </w:trPr>
        <w:tc>
          <w:tcPr>
            <w:tcW w:w="1018" w:type="dxa"/>
            <w:vAlign w:val="center"/>
          </w:tcPr>
          <w:p>
            <w:pPr>
              <w:keepNext/>
              <w:spacing w:line="360" w:lineRule="auto"/>
              <w:jc w:val="center"/>
              <w:rPr>
                <w:rFonts w:ascii="仿宋" w:hAnsi="仿宋" w:eastAsia="仿宋" w:cs="仿宋"/>
                <w:szCs w:val="21"/>
              </w:rPr>
            </w:pPr>
            <w:r>
              <w:rPr>
                <w:rFonts w:hint="eastAsia" w:ascii="仿宋" w:hAnsi="仿宋" w:eastAsia="仿宋" w:cs="仿宋"/>
                <w:szCs w:val="21"/>
              </w:rPr>
              <w:t>第1</w:t>
            </w:r>
            <w:r>
              <w:rPr>
                <w:rFonts w:ascii="仿宋" w:hAnsi="仿宋" w:eastAsia="仿宋" w:cs="仿宋"/>
                <w:szCs w:val="21"/>
              </w:rPr>
              <w:t>0</w:t>
            </w:r>
            <w:r>
              <w:rPr>
                <w:rFonts w:hint="eastAsia" w:ascii="仿宋" w:hAnsi="仿宋" w:eastAsia="仿宋" w:cs="仿宋"/>
                <w:szCs w:val="21"/>
              </w:rPr>
              <w:t>章</w:t>
            </w:r>
          </w:p>
          <w:p>
            <w:pPr>
              <w:keepNext/>
              <w:spacing w:line="360" w:lineRule="auto"/>
              <w:jc w:val="center"/>
              <w:rPr>
                <w:rFonts w:ascii="仿宋" w:hAnsi="仿宋" w:eastAsia="仿宋" w:cs="仿宋"/>
                <w:szCs w:val="21"/>
              </w:rPr>
            </w:pPr>
            <w:r>
              <w:rPr>
                <w:rFonts w:hint="eastAsia" w:ascii="仿宋" w:hAnsi="仿宋" w:eastAsia="仿宋" w:cs="仿宋"/>
                <w:szCs w:val="21"/>
              </w:rPr>
              <w:t>税收管理及税务行政法制</w:t>
            </w:r>
          </w:p>
        </w:tc>
        <w:tc>
          <w:tcPr>
            <w:tcW w:w="2598" w:type="dxa"/>
            <w:vAlign w:val="center"/>
          </w:tcPr>
          <w:p>
            <w:pPr>
              <w:keepNext/>
              <w:spacing w:line="360" w:lineRule="auto"/>
              <w:rPr>
                <w:rFonts w:ascii="仿宋" w:hAnsi="仿宋" w:eastAsia="仿宋" w:cs="仿宋"/>
                <w:szCs w:val="21"/>
              </w:rPr>
            </w:pPr>
            <w:r>
              <w:rPr>
                <w:rFonts w:hint="eastAsia" w:ascii="仿宋" w:hAnsi="仿宋" w:eastAsia="仿宋" w:cs="仿宋"/>
                <w:szCs w:val="21"/>
              </w:rPr>
              <w:t>11.1税收管理制度</w:t>
            </w:r>
          </w:p>
          <w:p>
            <w:pPr>
              <w:keepNext/>
              <w:spacing w:line="360" w:lineRule="auto"/>
              <w:rPr>
                <w:rFonts w:ascii="仿宋" w:hAnsi="仿宋" w:eastAsia="仿宋" w:cs="仿宋"/>
                <w:szCs w:val="21"/>
              </w:rPr>
            </w:pPr>
            <w:r>
              <w:rPr>
                <w:rFonts w:hint="eastAsia" w:ascii="仿宋" w:hAnsi="仿宋" w:eastAsia="仿宋" w:cs="仿宋"/>
                <w:szCs w:val="21"/>
              </w:rPr>
              <w:t>11.2</w:t>
            </w:r>
            <w:r>
              <w:rPr>
                <w:rFonts w:ascii="仿宋" w:hAnsi="仿宋" w:eastAsia="仿宋" w:cs="仿宋"/>
                <w:szCs w:val="21"/>
              </w:rPr>
              <w:t xml:space="preserve"> </w:t>
            </w:r>
            <w:r>
              <w:rPr>
                <w:rFonts w:hint="eastAsia" w:ascii="仿宋" w:hAnsi="仿宋" w:eastAsia="仿宋" w:cs="仿宋"/>
                <w:szCs w:val="21"/>
              </w:rPr>
              <w:t>税务行政法制</w:t>
            </w:r>
          </w:p>
          <w:p>
            <w:pPr>
              <w:keepNext/>
              <w:spacing w:line="360" w:lineRule="auto"/>
              <w:rPr>
                <w:rFonts w:ascii="仿宋" w:hAnsi="仿宋" w:eastAsia="仿宋" w:cs="仿宋"/>
                <w:szCs w:val="21"/>
              </w:rPr>
            </w:pPr>
          </w:p>
        </w:tc>
        <w:tc>
          <w:tcPr>
            <w:tcW w:w="3505" w:type="dxa"/>
            <w:vAlign w:val="center"/>
          </w:tcPr>
          <w:p>
            <w:pPr>
              <w:keepNext/>
              <w:spacing w:line="360" w:lineRule="auto"/>
              <w:rPr>
                <w:rFonts w:ascii="仿宋" w:hAnsi="仿宋" w:eastAsia="仿宋" w:cs="仿宋"/>
                <w:szCs w:val="21"/>
              </w:rPr>
            </w:pPr>
            <w:r>
              <w:rPr>
                <w:rFonts w:hint="eastAsia" w:ascii="仿宋" w:hAnsi="仿宋" w:eastAsia="仿宋" w:cs="仿宋"/>
                <w:szCs w:val="21"/>
              </w:rPr>
              <w:t>通过本章的学习加深学生对税收管理制度、征收制度、法律责任、税收复议制度和税收诉讼制度了解，在税收计算时对案例或业务数据进行有效分析；有助于学生把握整个税收征管制度的全貌，明晰税收管理制度在整个税收征管制度的定位，并对违反征纳制度的主体应承担的各类具体责任进行了介绍，明确解决税收争议的重要制度。</w:t>
            </w:r>
          </w:p>
          <w:p>
            <w:pPr>
              <w:keepNext/>
              <w:spacing w:line="360" w:lineRule="auto"/>
              <w:rPr>
                <w:rFonts w:ascii="仿宋" w:hAnsi="仿宋" w:eastAsia="仿宋" w:cs="仿宋"/>
                <w:szCs w:val="21"/>
              </w:rPr>
            </w:pPr>
            <w:r>
              <w:rPr>
                <w:rFonts w:hint="eastAsia" w:ascii="仿宋" w:hAnsi="仿宋" w:eastAsia="仿宋" w:cs="仿宋"/>
                <w:szCs w:val="21"/>
              </w:rPr>
              <w:t>融入国情教育，培养严谨、求真务实的工作作风，守住底线，筑牢底线思维，防患于未然。插入对于相关法律法规的介绍学习，使同学们将来能够按照相关法律行事，恪守本心。</w:t>
            </w:r>
          </w:p>
        </w:tc>
        <w:tc>
          <w:tcPr>
            <w:tcW w:w="991" w:type="dxa"/>
            <w:vAlign w:val="center"/>
          </w:tcPr>
          <w:p>
            <w:pPr>
              <w:keepNext/>
              <w:spacing w:line="360" w:lineRule="auto"/>
              <w:jc w:val="center"/>
              <w:rPr>
                <w:rFonts w:ascii="仿宋" w:hAnsi="仿宋" w:eastAsia="仿宋" w:cs="仿宋"/>
                <w:szCs w:val="21"/>
              </w:rPr>
            </w:pPr>
            <w:r>
              <w:rPr>
                <w:rFonts w:ascii="仿宋" w:hAnsi="仿宋" w:eastAsia="仿宋" w:cs="仿宋"/>
                <w:szCs w:val="21"/>
              </w:rPr>
              <w:t>1</w:t>
            </w:r>
          </w:p>
        </w:tc>
        <w:tc>
          <w:tcPr>
            <w:tcW w:w="991" w:type="dxa"/>
            <w:vAlign w:val="center"/>
          </w:tcPr>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记忆</w:t>
            </w:r>
          </w:p>
          <w:p>
            <w:pPr>
              <w:keepNext/>
              <w:rPr>
                <w:rFonts w:ascii="仿宋" w:hAnsi="仿宋" w:eastAsia="仿宋" w:cs="仿宋"/>
                <w:szCs w:val="21"/>
                <w:lang w:val="zh-CN"/>
              </w:rPr>
            </w:pPr>
            <w:r>
              <w:rPr>
                <w:rFonts w:hint="eastAsia" w:ascii="仿宋" w:hAnsi="仿宋" w:eastAsia="仿宋" w:cs="仿宋"/>
                <w:szCs w:val="21"/>
                <w:lang w:val="zh-CN"/>
              </w:rPr>
              <w:sym w:font="Wingdings 2" w:char="F052"/>
            </w:r>
            <w:r>
              <w:rPr>
                <w:rFonts w:hint="eastAsia" w:ascii="仿宋" w:hAnsi="仿宋" w:eastAsia="仿宋" w:cs="仿宋"/>
                <w:szCs w:val="21"/>
                <w:lang w:val="zh-CN"/>
              </w:rPr>
              <w:t>理解</w:t>
            </w:r>
          </w:p>
          <w:p>
            <w:pPr>
              <w:keepNext/>
              <w:jc w:val="center"/>
              <w:rPr>
                <w:rFonts w:ascii="仿宋" w:hAnsi="仿宋" w:eastAsia="仿宋" w:cs="仿宋"/>
                <w:b/>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tblHeader/>
        </w:trPr>
        <w:tc>
          <w:tcPr>
            <w:tcW w:w="1018" w:type="dxa"/>
            <w:vAlign w:val="center"/>
          </w:tcPr>
          <w:p>
            <w:pPr>
              <w:keepNext/>
              <w:jc w:val="center"/>
              <w:rPr>
                <w:rFonts w:ascii="仿宋" w:hAnsi="仿宋" w:eastAsia="仿宋" w:cs="仿宋"/>
                <w:szCs w:val="21"/>
              </w:rPr>
            </w:pPr>
          </w:p>
        </w:tc>
        <w:tc>
          <w:tcPr>
            <w:tcW w:w="2598" w:type="dxa"/>
            <w:vAlign w:val="center"/>
          </w:tcPr>
          <w:p>
            <w:pPr>
              <w:keepNext/>
              <w:jc w:val="center"/>
              <w:rPr>
                <w:rFonts w:ascii="仿宋" w:hAnsi="仿宋" w:eastAsia="仿宋" w:cs="仿宋"/>
                <w:szCs w:val="21"/>
              </w:rPr>
            </w:pPr>
          </w:p>
        </w:tc>
        <w:tc>
          <w:tcPr>
            <w:tcW w:w="3505" w:type="dxa"/>
            <w:vAlign w:val="center"/>
          </w:tcPr>
          <w:p>
            <w:pPr>
              <w:keepNext/>
              <w:jc w:val="center"/>
              <w:rPr>
                <w:rFonts w:ascii="仿宋" w:hAnsi="仿宋" w:eastAsia="仿宋" w:cs="仿宋"/>
                <w:szCs w:val="21"/>
              </w:rPr>
            </w:pPr>
            <w:r>
              <w:rPr>
                <w:rFonts w:hint="eastAsia" w:ascii="仿宋" w:hAnsi="仿宋" w:eastAsia="仿宋" w:cs="仿宋"/>
                <w:szCs w:val="21"/>
              </w:rPr>
              <w:t>合计</w:t>
            </w:r>
          </w:p>
        </w:tc>
        <w:tc>
          <w:tcPr>
            <w:tcW w:w="991" w:type="dxa"/>
            <w:vAlign w:val="center"/>
          </w:tcPr>
          <w:p>
            <w:pPr>
              <w:keepNext/>
              <w:jc w:val="center"/>
              <w:rPr>
                <w:rFonts w:ascii="仿宋" w:hAnsi="仿宋" w:eastAsia="仿宋" w:cs="仿宋"/>
                <w:szCs w:val="21"/>
              </w:rPr>
            </w:pPr>
            <w:r>
              <w:rPr>
                <w:rFonts w:hint="eastAsia" w:ascii="仿宋" w:hAnsi="仿宋" w:eastAsia="仿宋" w:cs="仿宋"/>
                <w:szCs w:val="21"/>
              </w:rPr>
              <w:t>32</w:t>
            </w:r>
          </w:p>
        </w:tc>
        <w:tc>
          <w:tcPr>
            <w:tcW w:w="991" w:type="dxa"/>
            <w:vAlign w:val="center"/>
          </w:tcPr>
          <w:p>
            <w:pPr>
              <w:keepNext/>
              <w:jc w:val="center"/>
              <w:rPr>
                <w:rFonts w:ascii="仿宋" w:hAnsi="仿宋" w:eastAsia="仿宋" w:cs="仿宋"/>
                <w:szCs w:val="21"/>
              </w:rPr>
            </w:pPr>
          </w:p>
        </w:tc>
      </w:tr>
      <w:bookmarkEnd w:id="1"/>
    </w:tbl>
    <w:p>
      <w:pPr>
        <w:rPr>
          <w:rFonts w:ascii="黑体" w:hAnsi="黑体" w:eastAsia="黑体"/>
          <w:szCs w:val="21"/>
          <w:lang w:val="en-GB"/>
        </w:rPr>
      </w:pPr>
    </w:p>
    <w:p>
      <w:pPr>
        <w:rPr>
          <w:rFonts w:ascii="黑体" w:hAnsi="黑体" w:eastAsia="黑体"/>
          <w:szCs w:val="21"/>
          <w:lang w:val="en-GB"/>
        </w:rPr>
      </w:pPr>
      <w:r>
        <w:rPr>
          <w:rFonts w:hint="eastAsia" w:ascii="黑体" w:hAnsi="黑体" w:eastAsia="黑体"/>
          <w:szCs w:val="21"/>
          <w:lang w:val="en-GB"/>
        </w:rPr>
        <w:t>五、教学方法</w:t>
      </w:r>
    </w:p>
    <w:p>
      <w:pPr>
        <w:tabs>
          <w:tab w:val="left" w:pos="720"/>
        </w:tabs>
        <w:spacing w:line="300" w:lineRule="auto"/>
        <w:ind w:firstLine="420" w:firstLineChars="200"/>
        <w:rPr>
          <w:rFonts w:ascii="仿宋" w:hAnsi="仿宋" w:eastAsia="仿宋"/>
          <w:color w:val="000000"/>
          <w:szCs w:val="21"/>
        </w:rPr>
      </w:pPr>
      <w:r>
        <w:rPr>
          <w:rFonts w:hint="eastAsia" w:ascii="仿宋" w:hAnsi="仿宋" w:eastAsia="仿宋"/>
          <w:color w:val="000000"/>
          <w:szCs w:val="21"/>
        </w:rPr>
        <w:t>本课程以课堂讲授为主，运用PPT与板书相结合的手段，遵循</w:t>
      </w:r>
      <w:r>
        <w:rPr>
          <w:rFonts w:ascii="仿宋" w:hAnsi="仿宋" w:eastAsia="仿宋"/>
          <w:color w:val="000000"/>
          <w:szCs w:val="21"/>
        </w:rPr>
        <w:t>教师精讲</w:t>
      </w:r>
      <w:r>
        <w:rPr>
          <w:rFonts w:hint="eastAsia" w:ascii="仿宋" w:hAnsi="仿宋" w:eastAsia="仿宋"/>
          <w:color w:val="000000"/>
          <w:szCs w:val="21"/>
        </w:rPr>
        <w:t>引导</w:t>
      </w:r>
      <w:r>
        <w:rPr>
          <w:rFonts w:ascii="仿宋" w:hAnsi="仿宋" w:eastAsia="仿宋"/>
          <w:color w:val="000000"/>
          <w:szCs w:val="21"/>
        </w:rPr>
        <w:t>、学生宽学多练</w:t>
      </w:r>
      <w:r>
        <w:rPr>
          <w:rFonts w:hint="eastAsia" w:ascii="仿宋" w:hAnsi="仿宋" w:eastAsia="仿宋"/>
          <w:color w:val="000000"/>
          <w:szCs w:val="21"/>
        </w:rPr>
        <w:t>的原则</w:t>
      </w:r>
      <w:r>
        <w:rPr>
          <w:rFonts w:ascii="仿宋" w:hAnsi="仿宋" w:eastAsia="仿宋"/>
          <w:color w:val="000000"/>
          <w:szCs w:val="21"/>
        </w:rPr>
        <w:t>。</w:t>
      </w:r>
      <w:r>
        <w:rPr>
          <w:rFonts w:hint="eastAsia" w:ascii="仿宋" w:hAnsi="仿宋" w:eastAsia="仿宋"/>
          <w:color w:val="000000"/>
          <w:szCs w:val="21"/>
        </w:rPr>
        <w:t>在讲解过程中，对重点内容，注重联系实际案例，以启发式的提问引导学生思考，激发学生的学习兴趣；对难点内容，以学生提问、师生互动的形式，创造良好的课堂氛围，以增强学生的自信心，培养学生的分析问题、解决问题和表达见解的能力。对定量分析的内容，要根据具体问题进行课</w:t>
      </w:r>
      <w:r>
        <w:rPr>
          <w:rFonts w:ascii="仿宋" w:hAnsi="仿宋" w:eastAsia="仿宋"/>
          <w:color w:val="000000"/>
          <w:szCs w:val="21"/>
        </w:rPr>
        <w:t>堂</w:t>
      </w:r>
      <w:r>
        <w:rPr>
          <w:rFonts w:hint="eastAsia" w:ascii="仿宋" w:hAnsi="仿宋" w:eastAsia="仿宋"/>
          <w:color w:val="000000"/>
          <w:szCs w:val="21"/>
        </w:rPr>
        <w:t>练习和讨论。对要求学会的内容，必须考查</w:t>
      </w:r>
      <w:r>
        <w:rPr>
          <w:rFonts w:ascii="仿宋" w:hAnsi="仿宋" w:eastAsia="仿宋"/>
          <w:color w:val="000000"/>
          <w:szCs w:val="21"/>
        </w:rPr>
        <w:t>实训</w:t>
      </w:r>
      <w:r>
        <w:rPr>
          <w:rFonts w:hint="eastAsia" w:ascii="仿宋" w:hAnsi="仿宋" w:eastAsia="仿宋"/>
          <w:color w:val="000000"/>
          <w:szCs w:val="21"/>
        </w:rPr>
        <w:t>所达到的程度。课后要求完成适当的作业或练习，以加深对基本概念的理解，强化对重点、难点内容的掌握程度。</w:t>
      </w:r>
    </w:p>
    <w:p>
      <w:pPr>
        <w:tabs>
          <w:tab w:val="left" w:pos="720"/>
        </w:tabs>
        <w:spacing w:line="300" w:lineRule="auto"/>
        <w:rPr>
          <w:rFonts w:ascii="仿宋" w:hAnsi="仿宋" w:eastAsia="仿宋"/>
          <w:color w:val="000000"/>
          <w:szCs w:val="21"/>
        </w:rPr>
      </w:pPr>
    </w:p>
    <w:p>
      <w:pPr>
        <w:rPr>
          <w:rFonts w:ascii="黑体" w:hAnsi="黑体" w:eastAsia="黑体"/>
          <w:szCs w:val="21"/>
          <w:lang w:val="en-GB"/>
        </w:rPr>
      </w:pPr>
      <w:r>
        <w:rPr>
          <w:rFonts w:hint="eastAsia" w:ascii="黑体" w:hAnsi="黑体" w:eastAsia="黑体"/>
          <w:szCs w:val="21"/>
          <w:lang w:val="en-GB"/>
        </w:rPr>
        <w:t>六、考核方式</w:t>
      </w:r>
    </w:p>
    <w:p>
      <w:pPr>
        <w:ind w:firstLine="420" w:firstLineChars="200"/>
        <w:rPr>
          <w:rFonts w:hint="eastAsia" w:ascii="仿宋" w:hAnsi="仿宋" w:eastAsia="仿宋"/>
          <w:szCs w:val="21"/>
          <w:lang w:val="en-US" w:eastAsia="zh-CN"/>
        </w:rPr>
      </w:pPr>
      <w:r>
        <w:rPr>
          <w:rFonts w:hint="eastAsia" w:ascii="仿宋" w:hAnsi="仿宋" w:eastAsia="仿宋"/>
          <w:szCs w:val="21"/>
        </w:rPr>
        <w:t>是否排考：</w:t>
      </w:r>
      <w:r>
        <w:rPr>
          <w:rFonts w:hint="eastAsia" w:ascii="仿宋" w:hAnsi="仿宋" w:eastAsia="仿宋"/>
          <w:szCs w:val="21"/>
          <w:lang w:val="en-US" w:eastAsia="zh-CN"/>
        </w:rPr>
        <w:t>是</w:t>
      </w:r>
    </w:p>
    <w:p>
      <w:pPr>
        <w:ind w:firstLine="420" w:firstLineChars="200"/>
        <w:rPr>
          <w:rFonts w:hint="eastAsia" w:ascii="仿宋" w:hAnsi="仿宋" w:eastAsia="仿宋"/>
          <w:szCs w:val="21"/>
          <w:lang w:val="en-US" w:eastAsia="zh-CN"/>
        </w:rPr>
      </w:pPr>
      <w:r>
        <w:rPr>
          <w:rFonts w:hint="eastAsia" w:ascii="仿宋" w:hAnsi="仿宋" w:eastAsia="仿宋"/>
          <w:szCs w:val="21"/>
        </w:rPr>
        <w:t>考核形式：</w:t>
      </w:r>
      <w:r>
        <w:rPr>
          <w:rFonts w:hint="eastAsia" w:ascii="仿宋" w:hAnsi="仿宋" w:eastAsia="仿宋"/>
          <w:szCs w:val="21"/>
          <w:lang w:val="en-US" w:eastAsia="zh-CN"/>
        </w:rPr>
        <w:t>开卷</w:t>
      </w:r>
    </w:p>
    <w:p>
      <w:pPr>
        <w:ind w:firstLine="420" w:firstLineChars="200"/>
        <w:rPr>
          <w:rFonts w:ascii="仿宋" w:hAnsi="仿宋" w:eastAsia="仿宋"/>
          <w:szCs w:val="21"/>
        </w:rPr>
      </w:pPr>
      <w:r>
        <w:rPr>
          <w:rFonts w:hint="eastAsia" w:ascii="仿宋" w:hAnsi="仿宋" w:eastAsia="仿宋"/>
          <w:szCs w:val="21"/>
        </w:rPr>
        <w:t>成绩评定方式：百分制</w:t>
      </w:r>
    </w:p>
    <w:p>
      <w:pPr>
        <w:ind w:firstLine="420" w:firstLineChars="200"/>
        <w:rPr>
          <w:rFonts w:ascii="仿宋" w:hAnsi="仿宋" w:eastAsia="仿宋"/>
          <w:szCs w:val="21"/>
        </w:rPr>
      </w:pPr>
      <w:r>
        <w:rPr>
          <w:rFonts w:hint="eastAsia" w:ascii="仿宋" w:hAnsi="仿宋" w:eastAsia="仿宋"/>
          <w:szCs w:val="21"/>
          <w:lang w:eastAsia="zh-Hans"/>
        </w:rPr>
        <w:t>由平时成绩、实验成绩和期末</w:t>
      </w:r>
      <w:r>
        <w:rPr>
          <w:rFonts w:hint="eastAsia" w:ascii="仿宋" w:hAnsi="仿宋" w:eastAsia="仿宋"/>
          <w:szCs w:val="21"/>
          <w:lang w:val="en-US" w:eastAsia="zh-CN"/>
        </w:rPr>
        <w:t>考试</w:t>
      </w:r>
      <w:r>
        <w:rPr>
          <w:rFonts w:hint="eastAsia" w:ascii="仿宋" w:hAnsi="仿宋" w:eastAsia="仿宋"/>
          <w:szCs w:val="21"/>
          <w:lang w:eastAsia="zh-Hans"/>
        </w:rPr>
        <w:t>成绩三部分组成</w:t>
      </w:r>
      <w:r>
        <w:rPr>
          <w:rFonts w:hint="eastAsia" w:ascii="仿宋" w:hAnsi="仿宋" w:eastAsia="仿宋"/>
          <w:szCs w:val="21"/>
        </w:rPr>
        <w:t>：</w:t>
      </w:r>
    </w:p>
    <w:p>
      <w:pPr>
        <w:ind w:firstLine="420" w:firstLineChars="200"/>
        <w:rPr>
          <w:rFonts w:ascii="仿宋" w:hAnsi="仿宋" w:eastAsia="仿宋"/>
          <w:szCs w:val="21"/>
          <w:lang w:eastAsia="zh-Hans"/>
        </w:rPr>
      </w:pPr>
      <w:r>
        <w:rPr>
          <w:rFonts w:hint="eastAsia" w:ascii="仿宋" w:hAnsi="仿宋" w:eastAsia="仿宋"/>
          <w:szCs w:val="21"/>
        </w:rPr>
        <w:t>（1）</w:t>
      </w:r>
      <w:r>
        <w:rPr>
          <w:rFonts w:hint="eastAsia" w:ascii="仿宋" w:hAnsi="仿宋" w:eastAsia="仿宋"/>
          <w:szCs w:val="21"/>
          <w:lang w:eastAsia="zh-Hans"/>
        </w:rPr>
        <w:t>平时成绩总分</w:t>
      </w:r>
      <w:r>
        <w:rPr>
          <w:rFonts w:ascii="仿宋" w:hAnsi="仿宋" w:eastAsia="仿宋"/>
          <w:szCs w:val="21"/>
          <w:lang w:eastAsia="zh-Hans"/>
        </w:rPr>
        <w:t>100</w:t>
      </w:r>
      <w:r>
        <w:rPr>
          <w:rFonts w:hint="eastAsia" w:ascii="仿宋" w:hAnsi="仿宋" w:eastAsia="仿宋"/>
          <w:szCs w:val="21"/>
          <w:lang w:eastAsia="zh-Hans"/>
        </w:rPr>
        <w:t>分</w:t>
      </w:r>
      <w:r>
        <w:rPr>
          <w:rFonts w:hint="eastAsia" w:ascii="仿宋" w:hAnsi="仿宋" w:eastAsia="仿宋"/>
          <w:szCs w:val="21"/>
        </w:rPr>
        <w:t>，</w:t>
      </w:r>
      <w:r>
        <w:rPr>
          <w:rFonts w:hint="eastAsia" w:ascii="仿宋" w:hAnsi="仿宋" w:eastAsia="仿宋"/>
          <w:szCs w:val="21"/>
          <w:lang w:eastAsia="zh-Hans"/>
        </w:rPr>
        <w:t>占比</w:t>
      </w:r>
      <w:r>
        <w:rPr>
          <w:rFonts w:hint="eastAsia" w:ascii="仿宋" w:hAnsi="仿宋" w:eastAsia="仿宋"/>
          <w:szCs w:val="21"/>
          <w:lang w:val="en-US" w:eastAsia="zh-CN"/>
        </w:rPr>
        <w:t>2</w:t>
      </w:r>
      <w:r>
        <w:rPr>
          <w:rFonts w:ascii="仿宋" w:hAnsi="仿宋" w:eastAsia="仿宋"/>
          <w:szCs w:val="21"/>
          <w:lang w:eastAsia="zh-Hans"/>
        </w:rPr>
        <w:t>0%</w:t>
      </w:r>
      <w:r>
        <w:rPr>
          <w:rFonts w:hint="eastAsia" w:ascii="仿宋" w:hAnsi="仿宋" w:eastAsia="仿宋"/>
          <w:szCs w:val="21"/>
        </w:rPr>
        <w:t>。</w:t>
      </w:r>
      <w:r>
        <w:rPr>
          <w:rFonts w:hint="eastAsia" w:ascii="仿宋" w:hAnsi="仿宋" w:eastAsia="仿宋"/>
          <w:szCs w:val="21"/>
          <w:lang w:eastAsia="zh-Hans"/>
        </w:rPr>
        <w:t>主要由考勤</w:t>
      </w:r>
      <w:r>
        <w:rPr>
          <w:rFonts w:ascii="仿宋" w:hAnsi="仿宋" w:eastAsia="仿宋"/>
          <w:szCs w:val="21"/>
        </w:rPr>
        <w:t>10</w:t>
      </w:r>
      <w:r>
        <w:rPr>
          <w:rFonts w:hint="eastAsia" w:ascii="仿宋" w:hAnsi="仿宋" w:eastAsia="仿宋"/>
          <w:szCs w:val="21"/>
        </w:rPr>
        <w:t>分，课堂作业</w:t>
      </w:r>
      <w:r>
        <w:rPr>
          <w:rFonts w:hint="eastAsia" w:ascii="仿宋" w:hAnsi="仿宋" w:eastAsia="仿宋"/>
          <w:szCs w:val="21"/>
          <w:lang w:val="en-US" w:eastAsia="zh-CN"/>
        </w:rPr>
        <w:t>10</w:t>
      </w:r>
      <w:r>
        <w:rPr>
          <w:rFonts w:hint="eastAsia" w:ascii="仿宋" w:hAnsi="仿宋" w:eastAsia="仿宋"/>
          <w:szCs w:val="21"/>
        </w:rPr>
        <w:t>分构成</w:t>
      </w:r>
      <w:r>
        <w:rPr>
          <w:rFonts w:ascii="仿宋" w:hAnsi="仿宋" w:eastAsia="仿宋"/>
          <w:szCs w:val="21"/>
          <w:lang w:eastAsia="zh-Hans"/>
        </w:rPr>
        <w:t>；</w:t>
      </w:r>
    </w:p>
    <w:p>
      <w:pPr>
        <w:ind w:firstLine="420" w:firstLineChars="200"/>
        <w:rPr>
          <w:rFonts w:ascii="仿宋" w:hAnsi="仿宋" w:eastAsia="仿宋"/>
          <w:szCs w:val="21"/>
        </w:rPr>
      </w:pPr>
      <w:r>
        <w:rPr>
          <w:rFonts w:hint="eastAsia" w:ascii="仿宋" w:hAnsi="仿宋" w:eastAsia="仿宋"/>
          <w:szCs w:val="21"/>
        </w:rPr>
        <w:t>（2）实验</w:t>
      </w:r>
      <w:r>
        <w:rPr>
          <w:rFonts w:hint="eastAsia" w:ascii="仿宋" w:hAnsi="仿宋" w:eastAsia="仿宋"/>
          <w:szCs w:val="21"/>
          <w:lang w:eastAsia="zh-Hans"/>
        </w:rPr>
        <w:t>成绩总分</w:t>
      </w:r>
      <w:r>
        <w:rPr>
          <w:rFonts w:ascii="仿宋" w:hAnsi="仿宋" w:eastAsia="仿宋"/>
          <w:szCs w:val="21"/>
          <w:lang w:eastAsia="zh-Hans"/>
        </w:rPr>
        <w:t>100</w:t>
      </w:r>
      <w:r>
        <w:rPr>
          <w:rFonts w:hint="eastAsia" w:ascii="仿宋" w:hAnsi="仿宋" w:eastAsia="仿宋"/>
          <w:szCs w:val="21"/>
          <w:lang w:eastAsia="zh-Hans"/>
        </w:rPr>
        <w:t>分</w:t>
      </w:r>
      <w:r>
        <w:rPr>
          <w:rFonts w:ascii="仿宋" w:hAnsi="仿宋" w:eastAsia="仿宋"/>
          <w:szCs w:val="21"/>
          <w:lang w:eastAsia="zh-Hans"/>
        </w:rPr>
        <w:t>，</w:t>
      </w:r>
      <w:r>
        <w:rPr>
          <w:rFonts w:hint="eastAsia" w:ascii="仿宋" w:hAnsi="仿宋" w:eastAsia="仿宋"/>
          <w:szCs w:val="21"/>
          <w:lang w:eastAsia="zh-Hans"/>
        </w:rPr>
        <w:t>占比</w:t>
      </w:r>
      <w:r>
        <w:rPr>
          <w:rFonts w:ascii="仿宋" w:hAnsi="仿宋" w:eastAsia="仿宋"/>
          <w:szCs w:val="21"/>
        </w:rPr>
        <w:t>20</w:t>
      </w:r>
      <w:r>
        <w:rPr>
          <w:rFonts w:ascii="仿宋" w:hAnsi="仿宋" w:eastAsia="仿宋"/>
          <w:szCs w:val="21"/>
          <w:lang w:eastAsia="zh-Hans"/>
        </w:rPr>
        <w:t>%。</w:t>
      </w:r>
      <w:r>
        <w:rPr>
          <w:rFonts w:hint="eastAsia" w:ascii="仿宋" w:hAnsi="仿宋" w:eastAsia="仿宋"/>
          <w:szCs w:val="21"/>
        </w:rPr>
        <w:t>由两次实验作业构成。</w:t>
      </w:r>
    </w:p>
    <w:p>
      <w:pPr>
        <w:ind w:firstLine="420" w:firstLineChars="200"/>
        <w:rPr>
          <w:rFonts w:hint="eastAsia" w:ascii="黑体" w:hAnsi="黑体" w:eastAsia="黑体"/>
          <w:szCs w:val="21"/>
          <w:lang w:val="en-GB"/>
        </w:rPr>
      </w:pPr>
      <w:r>
        <w:rPr>
          <w:rFonts w:hint="eastAsia" w:ascii="仿宋" w:hAnsi="仿宋" w:eastAsia="仿宋"/>
          <w:szCs w:val="21"/>
        </w:rPr>
        <w:t>（</w:t>
      </w:r>
      <w:r>
        <w:rPr>
          <w:rFonts w:ascii="仿宋" w:hAnsi="仿宋" w:eastAsia="仿宋"/>
          <w:szCs w:val="21"/>
        </w:rPr>
        <w:t>3</w:t>
      </w:r>
      <w:r>
        <w:rPr>
          <w:rFonts w:hint="eastAsia" w:ascii="仿宋" w:hAnsi="仿宋" w:eastAsia="仿宋"/>
          <w:szCs w:val="21"/>
        </w:rPr>
        <w:t>）期末大作业总分1</w:t>
      </w:r>
      <w:r>
        <w:rPr>
          <w:rFonts w:ascii="仿宋" w:hAnsi="仿宋" w:eastAsia="仿宋"/>
          <w:szCs w:val="21"/>
        </w:rPr>
        <w:t>00</w:t>
      </w:r>
      <w:r>
        <w:rPr>
          <w:rFonts w:hint="eastAsia" w:ascii="仿宋" w:hAnsi="仿宋" w:eastAsia="仿宋"/>
          <w:szCs w:val="21"/>
        </w:rPr>
        <w:t>分，占比</w:t>
      </w:r>
      <w:r>
        <w:rPr>
          <w:rFonts w:hint="eastAsia" w:ascii="仿宋" w:hAnsi="仿宋" w:eastAsia="仿宋"/>
          <w:szCs w:val="21"/>
          <w:lang w:val="en-US" w:eastAsia="zh-CN"/>
        </w:rPr>
        <w:t>6</w:t>
      </w:r>
      <w:r>
        <w:rPr>
          <w:rFonts w:ascii="仿宋" w:hAnsi="仿宋" w:eastAsia="仿宋"/>
          <w:szCs w:val="21"/>
        </w:rPr>
        <w:t>0%</w:t>
      </w:r>
      <w:r>
        <w:rPr>
          <w:rFonts w:hint="eastAsia" w:ascii="仿宋" w:hAnsi="仿宋" w:eastAsia="仿宋"/>
          <w:szCs w:val="21"/>
        </w:rPr>
        <w:t>。由</w:t>
      </w:r>
      <w:r>
        <w:rPr>
          <w:rFonts w:hint="eastAsia" w:ascii="仿宋" w:hAnsi="仿宋" w:eastAsia="仿宋"/>
          <w:szCs w:val="21"/>
          <w:lang w:val="en-US" w:eastAsia="zh-CN"/>
        </w:rPr>
        <w:t>期末开卷考试</w:t>
      </w:r>
      <w:r>
        <w:rPr>
          <w:rFonts w:hint="eastAsia" w:ascii="仿宋" w:hAnsi="仿宋" w:eastAsia="仿宋"/>
          <w:szCs w:val="21"/>
        </w:rPr>
        <w:t>构成。</w:t>
      </w:r>
    </w:p>
    <w:p>
      <w:pPr>
        <w:rPr>
          <w:rFonts w:ascii="黑体" w:hAnsi="黑体" w:eastAsia="黑体"/>
          <w:szCs w:val="21"/>
          <w:lang w:val="en-GB"/>
        </w:rPr>
      </w:pPr>
    </w:p>
    <w:p>
      <w:pPr>
        <w:rPr>
          <w:rFonts w:ascii="黑体" w:hAnsi="黑体" w:eastAsia="黑体"/>
          <w:szCs w:val="21"/>
          <w:lang w:val="en-GB"/>
        </w:rPr>
      </w:pPr>
      <w:r>
        <w:rPr>
          <w:rFonts w:hint="eastAsia" w:ascii="黑体" w:hAnsi="黑体" w:eastAsia="黑体"/>
          <w:szCs w:val="21"/>
          <w:lang w:val="en-GB"/>
        </w:rPr>
        <w:t>七、教材与参考书</w:t>
      </w:r>
    </w:p>
    <w:p>
      <w:pPr>
        <w:ind w:firstLine="422" w:firstLineChars="200"/>
        <w:rPr>
          <w:rFonts w:ascii="仿宋" w:hAnsi="仿宋" w:eastAsia="仿宋"/>
          <w:b/>
          <w:szCs w:val="21"/>
        </w:rPr>
      </w:pPr>
      <w:r>
        <w:rPr>
          <w:rFonts w:hint="eastAsia" w:ascii="仿宋" w:hAnsi="仿宋" w:eastAsia="仿宋"/>
          <w:b/>
          <w:szCs w:val="21"/>
        </w:rPr>
        <w:t>1.教材</w:t>
      </w:r>
    </w:p>
    <w:p>
      <w:pPr>
        <w:pStyle w:val="5"/>
        <w:spacing w:before="0" w:beforeAutospacing="0" w:after="0" w:afterAutospacing="0" w:line="300" w:lineRule="auto"/>
        <w:ind w:firstLine="420" w:firstLineChars="200"/>
        <w:rPr>
          <w:rFonts w:ascii="Times New Roman" w:hAnsi="仿宋" w:eastAsia="仿宋" w:cs="Times New Roman"/>
          <w:color w:val="000000"/>
          <w:kern w:val="2"/>
          <w:sz w:val="21"/>
          <w:szCs w:val="21"/>
        </w:rPr>
      </w:pPr>
      <w:r>
        <w:rPr>
          <w:rFonts w:hint="eastAsia" w:ascii="Times New Roman" w:hAnsi="仿宋" w:eastAsia="仿宋" w:cs="Times New Roman"/>
          <w:color w:val="000000"/>
          <w:kern w:val="2"/>
          <w:sz w:val="21"/>
          <w:szCs w:val="21"/>
        </w:rPr>
        <w:t>《税法》（第七版）（普通高等学校应用型教材），梁文涛，2023年，中国人民大学出版社。</w:t>
      </w:r>
    </w:p>
    <w:p>
      <w:pPr>
        <w:ind w:firstLine="422" w:firstLineChars="200"/>
        <w:rPr>
          <w:rFonts w:ascii="仿宋" w:hAnsi="仿宋" w:eastAsia="仿宋"/>
          <w:b/>
          <w:szCs w:val="21"/>
        </w:rPr>
      </w:pPr>
      <w:r>
        <w:rPr>
          <w:rFonts w:hint="eastAsia" w:ascii="仿宋" w:hAnsi="仿宋" w:eastAsia="仿宋"/>
          <w:b/>
          <w:szCs w:val="21"/>
        </w:rPr>
        <w:t>2.参考教材</w:t>
      </w:r>
    </w:p>
    <w:p>
      <w:pPr>
        <w:pStyle w:val="5"/>
        <w:spacing w:before="0" w:beforeAutospacing="0" w:after="0" w:afterAutospacing="0" w:line="300" w:lineRule="auto"/>
        <w:ind w:firstLine="420" w:firstLineChars="200"/>
        <w:rPr>
          <w:rFonts w:hint="eastAsia" w:ascii="Times New Roman" w:hAnsi="仿宋" w:eastAsia="仿宋" w:cs="Times New Roman"/>
          <w:color w:val="000000"/>
          <w:kern w:val="2"/>
          <w:sz w:val="21"/>
          <w:szCs w:val="21"/>
        </w:rPr>
      </w:pPr>
      <w:r>
        <w:rPr>
          <w:rFonts w:ascii="Times New Roman" w:hAnsi="仿宋" w:eastAsia="仿宋" w:cs="Times New Roman"/>
          <w:color w:val="000000"/>
          <w:kern w:val="2"/>
          <w:sz w:val="21"/>
          <w:szCs w:val="21"/>
        </w:rPr>
        <w:t>《</w:t>
      </w:r>
      <w:r>
        <w:rPr>
          <w:rFonts w:hint="eastAsia" w:ascii="Times New Roman" w:hAnsi="仿宋" w:eastAsia="仿宋" w:cs="Times New Roman"/>
          <w:color w:val="000000"/>
          <w:kern w:val="2"/>
          <w:sz w:val="21"/>
          <w:szCs w:val="21"/>
        </w:rPr>
        <w:t>税法原理</w:t>
      </w:r>
      <w:r>
        <w:rPr>
          <w:rFonts w:ascii="Times New Roman" w:hAnsi="仿宋" w:eastAsia="仿宋" w:cs="Times New Roman"/>
          <w:color w:val="000000"/>
          <w:kern w:val="2"/>
          <w:sz w:val="21"/>
          <w:szCs w:val="21"/>
        </w:rPr>
        <w:t>》</w:t>
      </w:r>
      <w:r>
        <w:rPr>
          <w:rFonts w:hint="eastAsia" w:ascii="Times New Roman" w:hAnsi="仿宋" w:eastAsia="仿宋" w:cs="Times New Roman"/>
          <w:color w:val="000000"/>
          <w:kern w:val="2"/>
          <w:sz w:val="21"/>
          <w:szCs w:val="21"/>
        </w:rPr>
        <w:t>（第十版）</w:t>
      </w:r>
      <w:r>
        <w:rPr>
          <w:rFonts w:ascii="Times New Roman" w:hAnsi="仿宋" w:eastAsia="仿宋" w:cs="Times New Roman"/>
          <w:color w:val="000000"/>
          <w:kern w:val="2"/>
          <w:sz w:val="21"/>
          <w:szCs w:val="21"/>
        </w:rPr>
        <w:t>（</w:t>
      </w:r>
      <w:r>
        <w:rPr>
          <w:rFonts w:hint="eastAsia" w:ascii="Times New Roman" w:hAnsi="仿宋" w:eastAsia="仿宋" w:cs="Times New Roman"/>
          <w:color w:val="000000"/>
          <w:kern w:val="2"/>
          <w:sz w:val="21"/>
          <w:szCs w:val="21"/>
        </w:rPr>
        <w:t>“十二五”普通高等教育本科国家级规划</w:t>
      </w:r>
      <w:r>
        <w:rPr>
          <w:rFonts w:ascii="Times New Roman" w:hAnsi="仿宋" w:eastAsia="仿宋" w:cs="Times New Roman"/>
          <w:color w:val="000000"/>
          <w:kern w:val="2"/>
          <w:sz w:val="21"/>
          <w:szCs w:val="21"/>
        </w:rPr>
        <w:t>教材），</w:t>
      </w:r>
      <w:r>
        <w:rPr>
          <w:rFonts w:hint="eastAsia" w:ascii="Times New Roman" w:hAnsi="仿宋" w:eastAsia="仿宋" w:cs="Times New Roman"/>
          <w:color w:val="000000"/>
          <w:kern w:val="2"/>
          <w:sz w:val="21"/>
          <w:szCs w:val="21"/>
        </w:rPr>
        <w:t>张守义</w:t>
      </w:r>
      <w:r>
        <w:rPr>
          <w:rFonts w:ascii="Times New Roman" w:hAnsi="仿宋" w:eastAsia="仿宋" w:cs="Times New Roman"/>
          <w:color w:val="000000"/>
          <w:kern w:val="2"/>
          <w:sz w:val="21"/>
          <w:szCs w:val="21"/>
        </w:rPr>
        <w:t>，</w:t>
      </w:r>
      <w:r>
        <w:rPr>
          <w:rFonts w:hint="eastAsia" w:ascii="Times New Roman" w:hAnsi="Times New Roman" w:eastAsia="仿宋" w:cs="Times New Roman"/>
          <w:color w:val="000000"/>
          <w:kern w:val="2"/>
          <w:sz w:val="21"/>
          <w:szCs w:val="21"/>
        </w:rPr>
        <w:t>2021</w:t>
      </w:r>
      <w:r>
        <w:rPr>
          <w:rFonts w:ascii="Times New Roman" w:hAnsi="仿宋" w:eastAsia="仿宋" w:cs="Times New Roman"/>
          <w:color w:val="000000"/>
          <w:kern w:val="2"/>
          <w:sz w:val="21"/>
          <w:szCs w:val="21"/>
        </w:rPr>
        <w:t>年，</w:t>
      </w:r>
      <w:r>
        <w:rPr>
          <w:rFonts w:hint="eastAsia" w:ascii="Times New Roman" w:hAnsi="仿宋" w:eastAsia="仿宋" w:cs="Times New Roman"/>
          <w:color w:val="000000"/>
          <w:kern w:val="2"/>
          <w:sz w:val="21"/>
          <w:szCs w:val="21"/>
        </w:rPr>
        <w:t>北京大学</w:t>
      </w:r>
      <w:r>
        <w:rPr>
          <w:rFonts w:ascii="Times New Roman" w:hAnsi="仿宋" w:eastAsia="仿宋" w:cs="Times New Roman"/>
          <w:color w:val="000000"/>
          <w:kern w:val="2"/>
          <w:sz w:val="21"/>
          <w:szCs w:val="21"/>
        </w:rPr>
        <w:t>出版社</w:t>
      </w:r>
      <w:r>
        <w:rPr>
          <w:rFonts w:hint="eastAsia" w:ascii="Times New Roman" w:hAnsi="仿宋" w:eastAsia="仿宋" w:cs="Times New Roman"/>
          <w:color w:val="000000"/>
          <w:kern w:val="2"/>
          <w:sz w:val="21"/>
          <w:szCs w:val="21"/>
        </w:rPr>
        <w:t>。</w:t>
      </w:r>
    </w:p>
    <w:p>
      <w:pPr>
        <w:ind w:firstLine="420" w:firstLineChars="200"/>
        <w:rPr>
          <w:rFonts w:ascii="仿宋" w:hAnsi="仿宋" w:eastAsia="仿宋"/>
          <w:szCs w:val="21"/>
          <w:lang w:val="en-GB"/>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pPr>
              <w:rPr>
                <w:rFonts w:ascii="黑体" w:hAnsi="黑体" w:eastAsia="黑体"/>
                <w:szCs w:val="21"/>
                <w:lang w:val="en-GB"/>
              </w:rPr>
            </w:pPr>
          </w:p>
        </w:tc>
        <w:tc>
          <w:tcPr>
            <w:tcW w:w="3316" w:type="dxa"/>
            <w:vAlign w:val="center"/>
          </w:tcPr>
          <w:p>
            <w:pPr>
              <w:rPr>
                <w:rFonts w:ascii="黑体" w:hAnsi="黑体" w:eastAsia="仿宋"/>
                <w:szCs w:val="21"/>
              </w:rPr>
            </w:pPr>
            <w:r>
              <w:rPr>
                <w:rFonts w:hint="eastAsia" w:ascii="仿宋" w:hAnsi="仿宋" w:eastAsia="仿宋"/>
                <w:szCs w:val="21"/>
                <w:lang w:val="en-GB"/>
              </w:rPr>
              <w:t>制定人：</w:t>
            </w:r>
            <w:r>
              <w:rPr>
                <w:rFonts w:hint="eastAsia" w:ascii="仿宋" w:hAnsi="仿宋" w:eastAsia="仿宋"/>
                <w:szCs w:val="21"/>
              </w:rPr>
              <w:t>秦曼曼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pPr>
              <w:rPr>
                <w:rFonts w:ascii="黑体" w:hAnsi="黑体" w:eastAsia="黑体"/>
                <w:szCs w:val="21"/>
                <w:lang w:val="en-GB"/>
              </w:rPr>
            </w:pPr>
          </w:p>
        </w:tc>
        <w:tc>
          <w:tcPr>
            <w:tcW w:w="3316" w:type="dxa"/>
            <w:vAlign w:val="center"/>
          </w:tcPr>
          <w:p>
            <w:pPr>
              <w:rPr>
                <w:rFonts w:ascii="仿宋" w:hAnsi="仿宋" w:eastAsia="仿宋"/>
                <w:szCs w:val="21"/>
                <w:lang w:val="en-GB"/>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开课系主任</w:t>
            </w:r>
            <w:r>
              <w:rPr>
                <w:rFonts w:ascii="仿宋" w:hAnsi="仿宋" w:eastAsia="仿宋"/>
                <w:szCs w:val="21"/>
                <w:lang w:val="en-GB"/>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pPr>
              <w:rPr>
                <w:rFonts w:ascii="黑体" w:hAnsi="黑体" w:eastAsia="黑体"/>
                <w:szCs w:val="21"/>
                <w:lang w:val="en-GB"/>
              </w:rPr>
            </w:pPr>
          </w:p>
        </w:tc>
        <w:tc>
          <w:tcPr>
            <w:tcW w:w="3316" w:type="dxa"/>
            <w:vAlign w:val="center"/>
          </w:tcPr>
          <w:p>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rPr>
              <w:t>3</w:t>
            </w:r>
            <w:r>
              <w:rPr>
                <w:rFonts w:hint="eastAsia" w:ascii="仿宋" w:hAnsi="仿宋" w:eastAsia="仿宋"/>
                <w:szCs w:val="21"/>
                <w:lang w:val="en-GB"/>
              </w:rPr>
              <w:t>年</w:t>
            </w:r>
            <w:r>
              <w:rPr>
                <w:rFonts w:hint="eastAsia" w:ascii="仿宋" w:hAnsi="仿宋" w:eastAsia="仿宋"/>
                <w:szCs w:val="21"/>
              </w:rPr>
              <w:t>9</w:t>
            </w:r>
            <w:r>
              <w:rPr>
                <w:rFonts w:hint="eastAsia" w:ascii="仿宋" w:hAnsi="仿宋" w:eastAsia="仿宋"/>
                <w:szCs w:val="21"/>
                <w:lang w:val="en-GB"/>
              </w:rPr>
              <w:t>月</w:t>
            </w:r>
          </w:p>
        </w:tc>
      </w:tr>
    </w:tbl>
    <w:p>
      <w:pPr>
        <w:widowControl/>
        <w:jc w:val="left"/>
        <w:rPr>
          <w:rFonts w:ascii="Times New Roman" w:hAnsi="Times New Roman" w:eastAsia="仿宋" w:cs="Times New Roman"/>
          <w:sz w:val="32"/>
          <w:szCs w:val="32"/>
        </w:rPr>
      </w:pPr>
    </w:p>
    <w:p>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rPr>
        <w:t>Topics of Taxation Law</w:t>
      </w:r>
      <w:r>
        <w:rPr>
          <w:rFonts w:ascii="Times New Roman" w:hAnsi="Times New Roman" w:eastAsia="黑体" w:cs="Times New Roman"/>
          <w:b/>
          <w:sz w:val="32"/>
          <w:szCs w:val="21"/>
          <w:lang w:val="en-GB"/>
        </w:rPr>
        <w:t>》Syllabus</w:t>
      </w:r>
    </w:p>
    <w:p>
      <w:pPr>
        <w:numPr>
          <w:ilvl w:val="0"/>
          <w:numId w:val="3"/>
        </w:numPr>
        <w:rPr>
          <w:rFonts w:ascii="Times New Roman" w:hAnsi="Times New Roman" w:eastAsia="黑体" w:cs="Times New Roman"/>
          <w:b/>
          <w:szCs w:val="21"/>
          <w:lang w:val="en-GB"/>
        </w:rPr>
      </w:pPr>
      <w:r>
        <w:rPr>
          <w:rFonts w:ascii="Times New Roman" w:hAnsi="Times New Roman" w:eastAsia="黑体" w:cs="Times New Roman"/>
          <w:b/>
          <w:szCs w:val="21"/>
          <w:lang w:val="en-GB"/>
        </w:rPr>
        <w:t>Basic Information</w:t>
      </w:r>
    </w:p>
    <w:tbl>
      <w:tblPr>
        <w:tblStyle w:val="7"/>
        <w:tblpPr w:leftFromText="180" w:rightFromText="180" w:vertAnchor="text" w:horzAnchor="page" w:tblpX="2142" w:tblpY="179"/>
        <w:tblOverlap w:val="never"/>
        <w:tblW w:w="87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65"/>
        <w:gridCol w:w="4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4365" w:type="dxa"/>
            <w:vAlign w:val="center"/>
          </w:tcPr>
          <w:p>
            <w:pPr>
              <w:spacing w:line="288" w:lineRule="auto"/>
              <w:ind w:left="1260" w:hanging="1260" w:hangingChars="600"/>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eastAsia="等线" w:cs="Times New Roman"/>
                <w:sz w:val="24"/>
              </w:rPr>
              <w:t>Topics of Taxation Law</w:t>
            </w:r>
          </w:p>
        </w:tc>
        <w:tc>
          <w:tcPr>
            <w:tcW w:w="4368"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ascii="Times New Roman" w:hAnsi="Times New Roman" w:eastAsia="仿宋" w:cs="Times New Roman"/>
                <w:bCs/>
                <w:sz w:val="24"/>
                <w:szCs w:val="24"/>
              </w:rPr>
              <w:t>《</w:t>
            </w:r>
            <w:r>
              <w:rPr>
                <w:rFonts w:hint="eastAsia" w:ascii="Times New Roman" w:hAnsi="Times New Roman" w:eastAsia="仿宋" w:cs="Times New Roman"/>
                <w:bCs/>
                <w:sz w:val="24"/>
                <w:szCs w:val="24"/>
              </w:rPr>
              <w:t>税法专题</w:t>
            </w:r>
            <w:r>
              <w:rPr>
                <w:rFonts w:ascii="Times New Roman" w:hAnsi="Times New Roman" w:eastAsia="仿宋" w:cs="Times New Roman"/>
                <w:bCs/>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365" w:type="dxa"/>
            <w:vAlign w:val="center"/>
          </w:tcPr>
          <w:p>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Times New Roman" w:hAnsi="Times New Roman" w:cs="Times New Roman"/>
              </w:rPr>
              <w:t>160721E012</w:t>
            </w:r>
          </w:p>
        </w:tc>
        <w:tc>
          <w:tcPr>
            <w:tcW w:w="4368" w:type="dxa"/>
            <w:vAlign w:val="center"/>
          </w:tcPr>
          <w:p>
            <w:pPr>
              <w:rPr>
                <w:rFonts w:ascii="Times New Roman" w:hAnsi="Times New Roman" w:cs="Times New Roman"/>
                <w:szCs w:val="21"/>
              </w:rPr>
            </w:pPr>
            <w:r>
              <w:rPr>
                <w:rFonts w:ascii="Times New Roman" w:hAnsi="Times New Roman" w:cs="Times New Roman"/>
              </w:rPr>
              <w:t>Total Credits: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4365" w:type="dxa"/>
            <w:vAlign w:val="center"/>
          </w:tcPr>
          <w:p>
            <w:pPr>
              <w:rPr>
                <w:rFonts w:ascii="Times New Roman" w:hAnsi="Times New Roman" w:cs="Times New Roman"/>
                <w:szCs w:val="21"/>
              </w:rPr>
            </w:pPr>
            <w:r>
              <w:rPr>
                <w:rFonts w:ascii="Times New Roman" w:hAnsi="Times New Roman" w:cs="Times New Roman"/>
              </w:rPr>
              <w:t>Total Hours: 32</w:t>
            </w:r>
          </w:p>
        </w:tc>
        <w:tc>
          <w:tcPr>
            <w:tcW w:w="4368" w:type="dxa"/>
            <w:vAlign w:val="center"/>
          </w:tcPr>
          <w:p>
            <w:pPr>
              <w:rPr>
                <w:rFonts w:ascii="Times New Roman" w:hAnsi="Times New Roman" w:eastAsia="黑体" w:cs="Times New Roman"/>
                <w:szCs w:val="21"/>
                <w:lang w:val="en-GB"/>
              </w:rPr>
            </w:pPr>
            <w:r>
              <w:rPr>
                <w:rFonts w:ascii="Times New Roman" w:hAnsi="Times New Roman" w:eastAsia="黑体" w:cs="Times New Roman"/>
                <w:szCs w:val="21"/>
                <w:lang w:val="en-GB"/>
              </w:rPr>
              <w:t>Lecture Hours:</w:t>
            </w:r>
            <w:r>
              <w:rPr>
                <w:rFonts w:ascii="Times New Roman" w:hAnsi="Times New Roman" w:eastAsia="黑体" w:cs="Times New Roman"/>
                <w:szCs w:val="21"/>
              </w:rPr>
              <w:t>32</w:t>
            </w:r>
            <w:r>
              <w:rPr>
                <w:rFonts w:ascii="Times New Roman" w:hAnsi="Times New Roman" w:eastAsia="黑体" w:cs="Times New Roman"/>
                <w:szCs w:val="21"/>
                <w:lang w:val="en-GB"/>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4365" w:type="dxa"/>
            <w:vAlign w:val="center"/>
          </w:tcPr>
          <w:p>
            <w:pPr>
              <w:rPr>
                <w:rFonts w:ascii="Times New Roman" w:hAnsi="Times New Roman" w:cs="Times New Roman"/>
                <w:szCs w:val="21"/>
              </w:rPr>
            </w:pPr>
            <w:r>
              <w:rPr>
                <w:rFonts w:ascii="Times New Roman" w:hAnsi="Times New Roman" w:cs="Times New Roman"/>
              </w:rPr>
              <w:t xml:space="preserve">Lab Hours: </w:t>
            </w:r>
            <w:r>
              <w:rPr>
                <w:rFonts w:hint="eastAsia" w:ascii="Times New Roman" w:hAnsi="Times New Roman" w:cs="Times New Roman"/>
              </w:rPr>
              <w:t>8</w:t>
            </w:r>
          </w:p>
        </w:tc>
        <w:tc>
          <w:tcPr>
            <w:tcW w:w="4368" w:type="dxa"/>
            <w:vAlign w:val="center"/>
          </w:tcPr>
          <w:p>
            <w:pPr>
              <w:rPr>
                <w:rFonts w:ascii="Times New Roman" w:hAnsi="Times New Roman" w:cs="Times New Roman"/>
                <w:szCs w:val="21"/>
              </w:rPr>
            </w:pPr>
            <w:r>
              <w:rPr>
                <w:rFonts w:ascii="Times New Roman" w:hAnsi="Times New Roman" w:cs="Times New Roman"/>
              </w:rPr>
              <w:t>Computer Lab Hours: 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4365" w:type="dxa"/>
            <w:vAlign w:val="center"/>
          </w:tcPr>
          <w:p>
            <w:pPr>
              <w:rPr>
                <w:rFonts w:ascii="Times New Roman" w:hAnsi="Times New Roman" w:cs="Times New Roman"/>
              </w:rPr>
            </w:pPr>
            <w:r>
              <w:rPr>
                <w:rFonts w:ascii="Times New Roman" w:hAnsi="Times New Roman" w:cs="Times New Roman"/>
              </w:rPr>
              <w:t xml:space="preserve">Offering College: </w:t>
            </w:r>
          </w:p>
          <w:p>
            <w:pPr>
              <w:ind w:firstLine="1260" w:firstLineChars="600"/>
              <w:rPr>
                <w:rFonts w:ascii="Times New Roman" w:hAnsi="Times New Roman" w:eastAsia="黑体" w:cs="Times New Roman"/>
                <w:szCs w:val="21"/>
                <w:lang w:val="en-GB"/>
              </w:rPr>
            </w:pPr>
            <w:r>
              <w:rPr>
                <w:rFonts w:ascii="Times New Roman" w:hAnsi="Times New Roman" w:cs="Times New Roman"/>
              </w:rPr>
              <w:t>college of business administration</w:t>
            </w:r>
          </w:p>
        </w:tc>
        <w:tc>
          <w:tcPr>
            <w:tcW w:w="4368" w:type="dxa"/>
            <w:vAlign w:val="center"/>
          </w:tcPr>
          <w:p>
            <w:pPr>
              <w:rPr>
                <w:rFonts w:ascii="Times New Roman" w:hAnsi="Times New Roman" w:eastAsia="黑体" w:cs="Times New Roman"/>
                <w:szCs w:val="21"/>
                <w:lang w:val="en-GB"/>
              </w:rPr>
            </w:pPr>
            <w:r>
              <w:rPr>
                <w:rFonts w:ascii="Times New Roman" w:hAnsi="Times New Roman" w:cs="Times New Roman"/>
              </w:rPr>
              <w:t xml:space="preserve">Corresponding Majors: </w:t>
            </w:r>
            <w:r>
              <w:rPr>
                <w:rFonts w:ascii="Times New Roman" w:hAnsi="Times New Roman" w:eastAsia="等线" w:cs="Times New Roman"/>
                <w:sz w:val="24"/>
              </w:rPr>
              <w:t>Engineering Majors such as Petroleum Engineering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4365" w:type="dxa"/>
            <w:vAlign w:val="center"/>
          </w:tcPr>
          <w:p>
            <w:pPr>
              <w:rPr>
                <w:rFonts w:ascii="Times New Roman" w:hAnsi="Times New Roman" w:cs="Times New Roman"/>
                <w:szCs w:val="21"/>
              </w:rPr>
            </w:pPr>
            <w:r>
              <w:rPr>
                <w:rFonts w:ascii="Times New Roman" w:hAnsi="Times New Roman" w:cs="Times New Roman"/>
              </w:rPr>
              <w:t xml:space="preserve">Course Type: </w:t>
            </w:r>
            <w:r>
              <w:rPr>
                <w:rFonts w:hint="eastAsia" w:ascii="Times New Roman" w:hAnsi="Times New Roman" w:cs="Times New Roman"/>
              </w:rPr>
              <w:t>Elective</w:t>
            </w:r>
          </w:p>
        </w:tc>
        <w:tc>
          <w:tcPr>
            <w:tcW w:w="4368" w:type="dxa"/>
            <w:vAlign w:val="center"/>
          </w:tcPr>
          <w:p>
            <w:pPr>
              <w:rPr>
                <w:rFonts w:ascii="Times New Roman" w:hAnsi="Times New Roman" w:eastAsia="黑体" w:cs="Times New Roman"/>
                <w:szCs w:val="21"/>
                <w:lang w:val="en-GB"/>
              </w:rPr>
            </w:pPr>
            <w:r>
              <w:rPr>
                <w:rFonts w:ascii="Times New Roman" w:hAnsi="Times New Roman" w:cs="Times New Roman"/>
              </w:rPr>
              <w:t xml:space="preserve">Prerequisite: </w:t>
            </w:r>
          </w:p>
        </w:tc>
      </w:tr>
    </w:tbl>
    <w:p>
      <w:pPr>
        <w:rPr>
          <w:rFonts w:ascii="Times New Roman" w:hAnsi="Times New Roman" w:eastAsia="黑体" w:cs="Times New Roman"/>
          <w:b/>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pPr>
        <w:ind w:firstLine="420" w:firstLineChars="200"/>
        <w:rPr>
          <w:rFonts w:ascii="Times New Roman" w:hAnsi="Times New Roman" w:eastAsia="仿宋" w:cs="Times New Roman"/>
          <w:szCs w:val="21"/>
          <w:lang w:val="en-GB"/>
        </w:rPr>
      </w:pPr>
    </w:p>
    <w:p>
      <w:pPr>
        <w:rPr>
          <w:rFonts w:ascii="Times New Roman" w:hAnsi="Times New Roman" w:eastAsia="仿宋" w:cs="Times New Roman"/>
          <w:szCs w:val="21"/>
          <w:lang w:val="en-GB"/>
        </w:rPr>
      </w:pPr>
      <w:r>
        <w:rPr>
          <w:rFonts w:ascii="Times New Roman" w:hAnsi="Times New Roman" w:eastAsia="仿宋" w:cs="Times New Roman"/>
          <w:szCs w:val="21"/>
          <w:lang w:val="en-GB"/>
        </w:rPr>
        <w:t>《</w:t>
      </w:r>
      <w:r>
        <w:rPr>
          <w:rFonts w:hint="eastAsia" w:ascii="Times New Roman" w:hAnsi="Times New Roman" w:eastAsia="仿宋" w:cs="Times New Roman"/>
          <w:szCs w:val="21"/>
        </w:rPr>
        <w:t>Topics of Taxation Law</w:t>
      </w:r>
      <w:r>
        <w:rPr>
          <w:rFonts w:ascii="Times New Roman" w:hAnsi="Times New Roman" w:eastAsia="仿宋" w:cs="Times New Roman"/>
          <w:szCs w:val="21"/>
          <w:lang w:val="en-GB"/>
        </w:rPr>
        <w:t>》 is an elective course in the accounting major, which is an independent elective course based on professional theoretical courses such as Accounting Fundamentals, Financial Accounting, Financial Management, Economic Law, and Audit. This course should be updated and adjusted according to changes in national tax regulations at any time. In teaching, attention should be paid to mobilizing students' enthusiasm for learning, arranging more case studies, and deepening students' understanding of tax law principles through classroom discussions; Arrange homework for key content classes. The overall goal is to cultivate students' ability to analyze and solve practical tax law problems by studying the basic concepts, principles, and methods of tax law, researching, analyzing, and evaluating various cases. Diligent in using one's brain, utilizing one's professional knowledge, combined with practical tax law cases, continuously improving one's abilities in practice, and accumulating rich experience to achieve the goal of applying what one has learned.</w:t>
      </w:r>
    </w:p>
    <w:p>
      <w:pPr>
        <w:rPr>
          <w:rFonts w:ascii="Times New Roman" w:hAnsi="Times New Roman" w:eastAsia="仿宋" w:cs="Times New Roman"/>
          <w:szCs w:val="21"/>
          <w:lang w:val="en-GB"/>
        </w:rPr>
      </w:pPr>
    </w:p>
    <w:p>
      <w:pPr>
        <w:rPr>
          <w:rFonts w:ascii="Times New Roman" w:hAnsi="Times New Roman" w:eastAsia="仿宋" w:cs="Times New Roman"/>
          <w:szCs w:val="21"/>
          <w:lang w:val="en-GB"/>
        </w:rPr>
      </w:pPr>
      <w:r>
        <w:rPr>
          <w:rFonts w:ascii="Times New Roman" w:hAnsi="Times New Roman" w:eastAsia="仿宋" w:cs="Times New Roman"/>
          <w:szCs w:val="21"/>
          <w:lang w:val="en-GB"/>
        </w:rPr>
        <w:t xml:space="preserve">This course consists of </w:t>
      </w:r>
      <w:r>
        <w:rPr>
          <w:rFonts w:hint="eastAsia" w:ascii="Times New Roman" w:hAnsi="Times New Roman" w:eastAsia="仿宋" w:cs="Times New Roman"/>
          <w:szCs w:val="21"/>
        </w:rPr>
        <w:t>three</w:t>
      </w:r>
      <w:r>
        <w:rPr>
          <w:rFonts w:ascii="Times New Roman" w:hAnsi="Times New Roman" w:eastAsia="仿宋" w:cs="Times New Roman"/>
          <w:szCs w:val="21"/>
          <w:lang w:val="en-GB"/>
        </w:rPr>
        <w:t xml:space="preserve"> parts. The first part is the basic theory of tax law, including the preliminary stage of taxation, general theory of tax law, elements of taxation, distribution of tax rights, meaning of taxation rights, interpretation of tax law, double taxation, tax evasion, and application cases; The second part is substantive law, including goods and services tax law, income tax law, resource tax law, property tax law, and behavior tax law, as well as case discussions; The third part is about tax management and tax administrative legal system, including tax management system, tax collection system, tax legal responsibility, tax review system, and tax litigation system.</w:t>
      </w:r>
    </w:p>
    <w:p>
      <w:pPr>
        <w:ind w:firstLine="420" w:firstLineChars="200"/>
        <w:rPr>
          <w:rFonts w:ascii="Times New Roman" w:hAnsi="Times New Roman" w:eastAsia="仿宋" w:cs="Times New Roman"/>
          <w:szCs w:val="21"/>
          <w:lang w:val="en-GB"/>
        </w:rPr>
      </w:pPr>
    </w:p>
    <w:p>
      <w:pPr>
        <w:rPr>
          <w:rFonts w:ascii="Times New Roman" w:hAnsi="Times New Roman" w:eastAsia="仿宋" w:cs="Times New Roman"/>
          <w:szCs w:val="21"/>
          <w:lang w:val="en-GB"/>
        </w:rPr>
      </w:pPr>
    </w:p>
    <w:p>
      <w:pPr>
        <w:rPr>
          <w:rFonts w:ascii="Times New Roman" w:hAnsi="Times New Roman" w:eastAsia="仿宋" w:cs="Times New Roman"/>
          <w:szCs w:val="21"/>
          <w:lang w:val="en-GB"/>
        </w:rPr>
      </w:pPr>
    </w:p>
    <w:p>
      <w:pPr>
        <w:rPr>
          <w:rFonts w:ascii="Times New Roman" w:hAnsi="Times New Roman" w:eastAsia="仿宋" w:cs="Times New Roman"/>
          <w:szCs w:val="21"/>
          <w:lang w:val="en-GB"/>
        </w:rPr>
      </w:pPr>
    </w:p>
    <w:p>
      <w:pPr>
        <w:ind w:firstLine="420" w:firstLineChars="200"/>
        <w:rPr>
          <w:rFonts w:ascii="Times New Roman" w:hAnsi="Times New Roman" w:eastAsia="仿宋" w:cs="Times New Roman"/>
          <w:szCs w:val="21"/>
          <w:lang w:val="en-GB"/>
        </w:rPr>
      </w:pPr>
    </w:p>
    <w:p>
      <w:pPr>
        <w:ind w:firstLine="420" w:firstLineChars="200"/>
        <w:rPr>
          <w:rFonts w:ascii="Times New Roman" w:hAnsi="Times New Roman" w:eastAsia="仿宋" w:cs="Times New Roman"/>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pPr>
        <w:rPr>
          <w:rFonts w:ascii="Times New Roman" w:hAnsi="Times New Roman" w:eastAsia="仿宋" w:cs="Times New Roman"/>
          <w:szCs w:val="21"/>
          <w:lang w:val="en-GB"/>
        </w:rPr>
      </w:pPr>
    </w:p>
    <w:p>
      <w:pPr>
        <w:rPr>
          <w:rFonts w:ascii="Times New Roman" w:hAnsi="Times New Roman" w:eastAsia="仿宋" w:cs="Times New Roman"/>
          <w:szCs w:val="21"/>
          <w:lang w:val="en-GB"/>
        </w:rPr>
      </w:pPr>
      <w:r>
        <w:rPr>
          <w:rFonts w:ascii="Times New Roman" w:hAnsi="Times New Roman" w:eastAsia="仿宋" w:cs="Times New Roman"/>
          <w:szCs w:val="21"/>
          <w:lang w:val="en-GB"/>
        </w:rPr>
        <w:t>The overall goal of course teaching is to explore, analyze, and evaluate various cases of enterprises through the study of the basic principles and methods of tax law, and to cultivate students' analytical and comprehensive abilities through skill training and practical exercises. Through the teaching of this course, students will understand the foundation of the tax legal system and the legal system of tax collection and management, understand and master the main content of various tax legal systems, comprehensively grasp the tax calculation basis and methods of various tax categories in China, correctly calculate the payable tax amount of each tax category, and thus have the ability to analyze and solve tax problems involved in actual economic business, To achieve the goal of cultivating applied talents.</w:t>
      </w:r>
    </w:p>
    <w:p>
      <w:pPr>
        <w:ind w:firstLine="420" w:firstLineChars="200"/>
        <w:rPr>
          <w:rFonts w:ascii="Times New Roman" w:hAnsi="Times New Roman" w:eastAsia="仿宋" w:cs="Times New Roman"/>
          <w:szCs w:val="21"/>
          <w:lang w:val="en-GB"/>
        </w:rPr>
      </w:pPr>
    </w:p>
    <w:p>
      <w:pPr>
        <w:rPr>
          <w:rFonts w:ascii="Times New Roman" w:hAnsi="Times New Roman" w:eastAsia="仿宋" w:cs="Times New Roman"/>
          <w:szCs w:val="21"/>
          <w:lang w:val="en-GB"/>
        </w:rPr>
      </w:pPr>
      <w:r>
        <w:rPr>
          <w:rFonts w:ascii="Times New Roman" w:hAnsi="Times New Roman" w:eastAsia="仿宋" w:cs="Times New Roman"/>
          <w:szCs w:val="21"/>
          <w:lang w:val="en-GB"/>
        </w:rPr>
        <w:t>This course mainly focuses on teaching, supplemented by case teaching and classroom discussions. Based on the characteristics of accounting students, it links tax law knowledge and accounting knowledge to improve their ability to solve comprehensive problems.</w:t>
      </w:r>
    </w:p>
    <w:p>
      <w:pPr>
        <w:ind w:firstLine="420" w:firstLineChars="200"/>
        <w:rPr>
          <w:rFonts w:ascii="Times New Roman" w:hAnsi="Times New Roman" w:eastAsia="仿宋" w:cs="Times New Roman"/>
          <w:szCs w:val="21"/>
          <w:lang w:val="en-GB"/>
        </w:rPr>
      </w:pPr>
    </w:p>
    <w:p>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r>
        <w:fldChar w:fldCharType="begin"/>
      </w:r>
      <w:r>
        <w:instrText xml:space="preserve"> HYPERLINK "https://fanyi.baidu.com/" \l "##" </w:instrText>
      </w:r>
      <w:r>
        <w:fldChar w:fldCharType="separate"/>
      </w:r>
      <w:r>
        <w:fldChar w:fldCharType="end"/>
      </w:r>
    </w:p>
    <w:p>
      <w:pPr>
        <w:widowControl/>
        <w:jc w:val="left"/>
        <w:rPr>
          <w:b/>
          <w:bCs/>
        </w:rPr>
      </w:pPr>
    </w:p>
    <w:p>
      <w:pPr>
        <w:numPr>
          <w:ilvl w:val="0"/>
          <w:numId w:val="4"/>
        </w:numPr>
        <w:rPr>
          <w:rFonts w:ascii="Times New Roman" w:hAnsi="Times New Roman" w:eastAsia="黑体" w:cs="Times New Roman"/>
          <w:b/>
          <w:bCs/>
          <w:szCs w:val="21"/>
        </w:rPr>
      </w:pPr>
      <w:r>
        <w:rPr>
          <w:rFonts w:ascii="Times New Roman" w:hAnsi="Times New Roman" w:cs="Times New Roman"/>
          <w:b/>
          <w:bCs/>
        </w:rPr>
        <w:t xml:space="preserve"> Class hour allocation table </w:t>
      </w:r>
    </w:p>
    <w:p>
      <w:pPr>
        <w:rPr>
          <w:rFonts w:ascii="Times New Roman" w:hAnsi="Times New Roman" w:cs="Times New Roman"/>
          <w:b/>
          <w:bCs/>
        </w:rPr>
      </w:pPr>
    </w:p>
    <w:tbl>
      <w:tblPr>
        <w:tblStyle w:val="7"/>
        <w:tblpPr w:leftFromText="180" w:rightFromText="180" w:vertAnchor="text" w:horzAnchor="page" w:tblpX="1801" w:tblpY="287"/>
        <w:tblOverlap w:val="never"/>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4150"/>
        <w:gridCol w:w="1000"/>
        <w:gridCol w:w="151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仿宋" w:cs="Times New Roman"/>
                <w:b/>
                <w:szCs w:val="21"/>
              </w:rPr>
            </w:pPr>
          </w:p>
        </w:tc>
        <w:tc>
          <w:tcPr>
            <w:tcW w:w="415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Teaching content</w:t>
            </w:r>
          </w:p>
        </w:tc>
        <w:tc>
          <w:tcPr>
            <w:tcW w:w="100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 xml:space="preserve">Lecture </w:t>
            </w:r>
          </w:p>
        </w:tc>
        <w:tc>
          <w:tcPr>
            <w:tcW w:w="151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Experimental Class</w:t>
            </w:r>
          </w:p>
        </w:tc>
        <w:tc>
          <w:tcPr>
            <w:tcW w:w="901"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Total class hour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1</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1: Basic Theory of Tax Law</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1510" w:type="dxa"/>
            <w:vAlign w:val="center"/>
          </w:tcPr>
          <w:p>
            <w:pPr>
              <w:spacing w:line="240" w:lineRule="atLeast"/>
              <w:jc w:val="center"/>
              <w:rPr>
                <w:rFonts w:ascii="Times New Roman" w:hAnsi="Times New Roman" w:eastAsia="仿宋" w:cs="Times New Roman"/>
                <w:szCs w:val="21"/>
              </w:rPr>
            </w:pP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2</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cs="Times New Roman"/>
              </w:rPr>
              <w:t>Chapter 2: Value Added Tax</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7</w:t>
            </w:r>
          </w:p>
        </w:tc>
        <w:tc>
          <w:tcPr>
            <w:tcW w:w="151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w:t>
            </w: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3</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3: Consumption Tax</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w:t>
            </w:r>
          </w:p>
        </w:tc>
        <w:tc>
          <w:tcPr>
            <w:tcW w:w="151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4</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4: Corporate Income Tax</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4</w:t>
            </w:r>
          </w:p>
        </w:tc>
        <w:tc>
          <w:tcPr>
            <w:tcW w:w="151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w:t>
            </w: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5</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5: Personal Income Tax</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w:t>
            </w:r>
          </w:p>
        </w:tc>
        <w:tc>
          <w:tcPr>
            <w:tcW w:w="151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6</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6: Urban Maintenance and Construction Tax and Education Surtax</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1510" w:type="dxa"/>
            <w:vAlign w:val="center"/>
          </w:tcPr>
          <w:p>
            <w:pPr>
              <w:spacing w:line="240" w:lineRule="atLeast"/>
              <w:jc w:val="center"/>
              <w:rPr>
                <w:rFonts w:ascii="Times New Roman" w:hAnsi="Times New Roman" w:eastAsia="仿宋" w:cs="Times New Roman"/>
                <w:szCs w:val="21"/>
              </w:rPr>
            </w:pP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7</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7: Customs Duties</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1510" w:type="dxa"/>
            <w:vAlign w:val="center"/>
          </w:tcPr>
          <w:p>
            <w:pPr>
              <w:spacing w:line="240" w:lineRule="atLeast"/>
              <w:jc w:val="center"/>
              <w:rPr>
                <w:rFonts w:ascii="Times New Roman" w:hAnsi="Times New Roman" w:eastAsia="仿宋" w:cs="Times New Roman"/>
                <w:szCs w:val="21"/>
              </w:rPr>
            </w:pP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8</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8: Resource Tax and Environmental Protection Tax</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1510" w:type="dxa"/>
            <w:vAlign w:val="center"/>
          </w:tcPr>
          <w:p>
            <w:pPr>
              <w:spacing w:line="240" w:lineRule="atLeast"/>
              <w:jc w:val="center"/>
              <w:rPr>
                <w:rFonts w:ascii="Times New Roman" w:hAnsi="Times New Roman" w:eastAsia="仿宋" w:cs="Times New Roman"/>
                <w:szCs w:val="21"/>
              </w:rPr>
            </w:pP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10</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9: Other Taxes</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151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1</w:t>
            </w: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10</w:t>
            </w:r>
          </w:p>
        </w:tc>
        <w:tc>
          <w:tcPr>
            <w:tcW w:w="4150"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Chapter 10: Tax Management and Tax Administrative Legal System</w:t>
            </w: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w:t>
            </w:r>
          </w:p>
        </w:tc>
        <w:tc>
          <w:tcPr>
            <w:tcW w:w="1510" w:type="dxa"/>
            <w:vAlign w:val="center"/>
          </w:tcPr>
          <w:p>
            <w:pPr>
              <w:spacing w:line="240" w:lineRule="atLeast"/>
              <w:jc w:val="center"/>
              <w:rPr>
                <w:rFonts w:ascii="Times New Roman" w:hAnsi="Times New Roman" w:eastAsia="仿宋" w:cs="Times New Roman"/>
                <w:szCs w:val="21"/>
              </w:rPr>
            </w:pP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 w:type="dxa"/>
            <w:vAlign w:val="center"/>
          </w:tcPr>
          <w:p>
            <w:pPr>
              <w:jc w:val="center"/>
              <w:rPr>
                <w:rFonts w:ascii="Times New Roman" w:hAnsi="Times New Roman" w:eastAsia="黑体" w:cs="Times New Roman"/>
                <w:szCs w:val="21"/>
              </w:rPr>
            </w:pPr>
            <w:r>
              <w:rPr>
                <w:rFonts w:ascii="Times New Roman" w:hAnsi="Times New Roman" w:eastAsia="黑体" w:cs="Times New Roman"/>
                <w:szCs w:val="21"/>
              </w:rPr>
              <w:t>Total</w:t>
            </w:r>
          </w:p>
        </w:tc>
        <w:tc>
          <w:tcPr>
            <w:tcW w:w="4150" w:type="dxa"/>
            <w:vAlign w:val="center"/>
          </w:tcPr>
          <w:p>
            <w:pPr>
              <w:spacing w:line="240" w:lineRule="atLeast"/>
              <w:jc w:val="left"/>
              <w:rPr>
                <w:rFonts w:ascii="Times New Roman" w:hAnsi="Times New Roman" w:eastAsia="仿宋" w:cs="Times New Roman"/>
                <w:szCs w:val="21"/>
              </w:rPr>
            </w:pPr>
          </w:p>
        </w:tc>
        <w:tc>
          <w:tcPr>
            <w:tcW w:w="100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24</w:t>
            </w:r>
          </w:p>
        </w:tc>
        <w:tc>
          <w:tcPr>
            <w:tcW w:w="1510"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8</w:t>
            </w:r>
          </w:p>
        </w:tc>
        <w:tc>
          <w:tcPr>
            <w:tcW w:w="901"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32</w:t>
            </w:r>
          </w:p>
        </w:tc>
      </w:tr>
    </w:tbl>
    <w:p>
      <w:pPr>
        <w:rPr>
          <w:rFonts w:ascii="Times New Roman" w:hAnsi="Times New Roman" w:cs="Times New Roman"/>
          <w:b/>
          <w:bCs/>
        </w:rPr>
      </w:pPr>
    </w:p>
    <w:p>
      <w:pPr>
        <w:rPr>
          <w:rFonts w:ascii="Times New Roman" w:hAnsi="Times New Roman" w:cs="Times New Roman"/>
          <w:b/>
          <w:bCs/>
        </w:rPr>
      </w:pPr>
    </w:p>
    <w:p>
      <w:pPr>
        <w:rPr>
          <w:rFonts w:ascii="Times New Roman" w:hAnsi="Times New Roman" w:cs="Times New Roman"/>
          <w:b/>
          <w:bCs/>
        </w:rPr>
      </w:pPr>
    </w:p>
    <w:p>
      <w:pPr>
        <w:rPr>
          <w:rFonts w:ascii="Times New Roman" w:hAnsi="Times New Roman" w:cs="Times New Roman"/>
          <w:b/>
          <w:bCs/>
        </w:rPr>
      </w:pPr>
    </w:p>
    <w:p>
      <w:pPr>
        <w:rPr>
          <w:rFonts w:ascii="Times New Roman" w:hAnsi="Times New Roman" w:cs="Times New Roman"/>
          <w:b/>
          <w:bCs/>
        </w:rPr>
      </w:pPr>
      <w:r>
        <w:rPr>
          <w:rFonts w:ascii="Times New Roman" w:hAnsi="Times New Roman" w:cs="Times New Roman"/>
          <w:b/>
          <w:bCs/>
        </w:rPr>
        <w:t>2. Teaching content and learning requirements</w:t>
      </w:r>
    </w:p>
    <w:tbl>
      <w:tblPr>
        <w:tblStyle w:val="7"/>
        <w:tblpPr w:leftFromText="180" w:rightFromText="180" w:vertAnchor="text" w:horzAnchor="page" w:tblpX="1502" w:tblpY="624"/>
        <w:tblOverlap w:val="never"/>
        <w:tblW w:w="9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2222"/>
        <w:gridCol w:w="3920"/>
        <w:gridCol w:w="560"/>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trPr>
        <w:tc>
          <w:tcPr>
            <w:tcW w:w="3667" w:type="dxa"/>
            <w:gridSpan w:val="2"/>
            <w:vAlign w:val="center"/>
          </w:tcPr>
          <w:p>
            <w:pPr>
              <w:jc w:val="center"/>
              <w:rPr>
                <w:rFonts w:ascii="Times New Roman" w:hAnsi="Times New Roman" w:eastAsia="仿宋" w:cs="Times New Roman"/>
                <w:b/>
                <w:szCs w:val="21"/>
                <w:lang w:val="zh-CN"/>
              </w:rPr>
            </w:pPr>
            <w:r>
              <w:rPr>
                <w:rFonts w:ascii="Times New Roman" w:hAnsi="Times New Roman" w:eastAsia="仿宋" w:cs="Times New Roman"/>
                <w:b/>
                <w:sz w:val="18"/>
                <w:szCs w:val="18"/>
                <w:lang w:val="zh-CN"/>
              </w:rPr>
              <w:t>Chapter/Unit</w:t>
            </w:r>
          </w:p>
        </w:tc>
        <w:tc>
          <w:tcPr>
            <w:tcW w:w="3920" w:type="dxa"/>
            <w:vAlign w:val="center"/>
          </w:tcPr>
          <w:p>
            <w:pPr>
              <w:jc w:val="center"/>
              <w:rPr>
                <w:rFonts w:ascii="Times New Roman" w:hAnsi="Times New Roman" w:eastAsia="仿宋" w:cs="Times New Roman"/>
                <w:b/>
                <w:szCs w:val="21"/>
                <w:lang w:val="zh-CN"/>
              </w:rPr>
            </w:pPr>
            <w:r>
              <w:rPr>
                <w:rFonts w:ascii="Times New Roman" w:hAnsi="Times New Roman" w:eastAsia="仿宋" w:cs="Times New Roman"/>
                <w:b/>
                <w:sz w:val="18"/>
                <w:szCs w:val="18"/>
                <w:lang w:val="zh-CN"/>
              </w:rPr>
              <w:t>Contents and Key Points</w:t>
            </w:r>
          </w:p>
        </w:tc>
        <w:tc>
          <w:tcPr>
            <w:tcW w:w="560" w:type="dxa"/>
            <w:vAlign w:val="center"/>
          </w:tcPr>
          <w:p>
            <w:pPr>
              <w:jc w:val="center"/>
              <w:rPr>
                <w:rFonts w:ascii="Times New Roman" w:hAnsi="Times New Roman" w:eastAsia="仿宋" w:cs="Times New Roman"/>
                <w:b/>
                <w:szCs w:val="21"/>
                <w:lang w:val="zh-CN"/>
              </w:rPr>
            </w:pPr>
            <w:r>
              <w:rPr>
                <w:rFonts w:ascii="Times New Roman" w:hAnsi="Times New Roman" w:eastAsia="仿宋" w:cs="Times New Roman"/>
                <w:b/>
                <w:sz w:val="18"/>
                <w:szCs w:val="18"/>
                <w:lang w:val="zh-CN"/>
              </w:rPr>
              <w:t>hrs</w:t>
            </w:r>
          </w:p>
        </w:tc>
        <w:tc>
          <w:tcPr>
            <w:tcW w:w="1387" w:type="dxa"/>
            <w:vAlign w:val="center"/>
          </w:tcPr>
          <w:p>
            <w:pPr>
              <w:jc w:val="center"/>
              <w:rPr>
                <w:rFonts w:ascii="Times New Roman" w:hAnsi="Times New Roman" w:eastAsia="仿宋" w:cs="Times New Roman"/>
                <w:b/>
                <w:szCs w:val="21"/>
                <w:lang w:val="zh-CN"/>
              </w:rPr>
            </w:pPr>
            <w:r>
              <w:rPr>
                <w:rFonts w:ascii="Times New Roman" w:hAnsi="Times New Roman" w:eastAsia="仿宋" w:cs="Times New Roman"/>
                <w:b/>
                <w:sz w:val="18"/>
                <w:szCs w:val="18"/>
                <w:lang w:val="zh-CN"/>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jc w:val="center"/>
              <w:rPr>
                <w:rFonts w:ascii="Times New Roman" w:hAnsi="Times New Roman" w:eastAsia="仿宋" w:cs="Times New Roman"/>
                <w:b/>
                <w:szCs w:val="21"/>
              </w:rPr>
            </w:pPr>
            <w:r>
              <w:rPr>
                <w:rFonts w:ascii="Times New Roman" w:hAnsi="Times New Roman" w:eastAsia="仿宋" w:cs="Times New Roman"/>
                <w:szCs w:val="21"/>
              </w:rPr>
              <w:t>Chapter 1: Basic Theory of Tax Law</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1.1 Preliminary Taxation Stage</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1.2 Overview of Tax Law</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1.3 Tax Elements</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1.4 Distribution of Tax Rights</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1.5 Tax collection rights and obligations</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1.6 Interpretation of Tax Law</w:t>
            </w:r>
          </w:p>
          <w:p>
            <w:pPr>
              <w:spacing w:line="240" w:lineRule="atLeast"/>
              <w:jc w:val="left"/>
              <w:rPr>
                <w:rFonts w:ascii="Times New Roman" w:hAnsi="Times New Roman" w:eastAsia="仿宋" w:cs="Times New Roman"/>
                <w:szCs w:val="21"/>
                <w:lang w:val="zh-CN"/>
              </w:rPr>
            </w:pPr>
            <w:r>
              <w:rPr>
                <w:rFonts w:ascii="Times New Roman" w:hAnsi="Times New Roman" w:eastAsia="仿宋" w:cs="Times New Roman"/>
                <w:szCs w:val="21"/>
                <w:lang w:val="zh-CN"/>
              </w:rPr>
              <w:t>1.7 Double Taxation</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lang w:val="zh-CN"/>
              </w:rPr>
              <w:t>1.8 Tax evasion</w:t>
            </w: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By studying this chapter, understand the classification, role, and principles of taxation. Familiar with the concept of tax law and tax legal relationships. Master the concept, characteristics, tax elements, distribution of tax rights, tax collection methods, tax collection measures of taxation, as well as prevent duplicate taxation and reduce tax evasion.</w:t>
            </w:r>
          </w:p>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Course Ideological and Political Education: Learn the concept of interdisciplinary integration, establish correct values, a global perspective, legal awareness, social responsibility, and sustainable development concepts, strengthen sense of responsibility and patriotism, and achieve consistency between personal values and social development needs, in order to provide value creation services for enterprises and society.</w:t>
            </w:r>
          </w:p>
        </w:tc>
        <w:tc>
          <w:tcPr>
            <w:tcW w:w="56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1</w:t>
            </w:r>
          </w:p>
        </w:tc>
        <w:tc>
          <w:tcPr>
            <w:tcW w:w="1387" w:type="dxa"/>
            <w:vAlign w:val="center"/>
          </w:tcPr>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remember</w:t>
            </w:r>
          </w:p>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understand</w:t>
            </w:r>
          </w:p>
          <w:p>
            <w:pPr>
              <w:jc w:val="center"/>
              <w:rPr>
                <w:rFonts w:ascii="Times New Roman" w:hAnsi="Times New Roman" w:eastAsia="仿宋" w:cs="Times New Roman"/>
                <w:b/>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6" w:hRule="atLeast"/>
          <w:tblHeader/>
        </w:trPr>
        <w:tc>
          <w:tcPr>
            <w:tcW w:w="1445" w:type="dxa"/>
            <w:vAlign w:val="center"/>
          </w:tcPr>
          <w:p>
            <w:pPr>
              <w:jc w:val="center"/>
              <w:rPr>
                <w:rFonts w:ascii="Times New Roman" w:hAnsi="Times New Roman" w:eastAsia="仿宋" w:cs="Times New Roman"/>
                <w:szCs w:val="21"/>
              </w:rPr>
            </w:pPr>
            <w:r>
              <w:rPr>
                <w:rFonts w:ascii="Times New Roman" w:hAnsi="Times New Roman" w:eastAsia="仿宋" w:cs="Times New Roman"/>
                <w:szCs w:val="21"/>
              </w:rPr>
              <w:t>Chapter 2: Value added tax law</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2.1 Understanding of Value Added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2.2 Calculation of Value Added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2.3 Calculation of value-added tax export refund (exemption)</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2.4 Collection and Management of Value Added Tax</w:t>
            </w:r>
          </w:p>
          <w:p>
            <w:pPr>
              <w:spacing w:line="240" w:lineRule="atLeast"/>
              <w:jc w:val="left"/>
              <w:rPr>
                <w:rFonts w:ascii="Times New Roman" w:hAnsi="Times New Roman" w:eastAsia="仿宋" w:cs="Times New Roman"/>
                <w:spacing w:val="-3"/>
                <w:szCs w:val="21"/>
              </w:rPr>
            </w:pPr>
            <w:r>
              <w:rPr>
                <w:rFonts w:ascii="Times New Roman" w:hAnsi="Times New Roman" w:eastAsia="仿宋" w:cs="Times New Roman"/>
                <w:szCs w:val="21"/>
              </w:rPr>
              <w:t>2.5 Skill training and practical exercises</w:t>
            </w:r>
          </w:p>
        </w:tc>
        <w:tc>
          <w:tcPr>
            <w:tcW w:w="3920" w:type="dxa"/>
            <w:vAlign w:val="center"/>
          </w:tcPr>
          <w:p>
            <w:pPr>
              <w:rPr>
                <w:rFonts w:ascii="Times New Roman" w:hAnsi="Times New Roman" w:eastAsia="仿宋" w:cs="Times New Roman"/>
                <w:spacing w:val="-3"/>
                <w:szCs w:val="21"/>
              </w:rPr>
            </w:pPr>
            <w:r>
              <w:rPr>
                <w:rFonts w:ascii="Times New Roman" w:hAnsi="Times New Roman" w:eastAsia="仿宋" w:cs="Times New Roman"/>
                <w:spacing w:val="-3"/>
                <w:szCs w:val="21"/>
              </w:rPr>
              <w:t>Through this chapter, learn about the preparation of value-added tax declaration forms, master the taxpayers of value-added tax, tax scope, tax rate, calculation of taxable amount, exemption and threshold points, learn to apply value-added tax preferential policies, collection management, and use and management of value-added tax special invoices. Familiar with the concept, characteristics, and export tax refund (exemption) regulations of value-added tax.</w:t>
            </w:r>
          </w:p>
          <w:p>
            <w:pPr>
              <w:rPr>
                <w:rFonts w:ascii="Times New Roman" w:hAnsi="Times New Roman" w:eastAsia="仿宋" w:cs="Times New Roman"/>
                <w:spacing w:val="-3"/>
                <w:szCs w:val="21"/>
              </w:rPr>
            </w:pPr>
          </w:p>
          <w:p>
            <w:pPr>
              <w:rPr>
                <w:rFonts w:ascii="Times New Roman" w:hAnsi="Times New Roman" w:eastAsia="仿宋" w:cs="Times New Roman"/>
                <w:spacing w:val="-3"/>
                <w:szCs w:val="21"/>
              </w:rPr>
            </w:pPr>
            <w:r>
              <w:rPr>
                <w:rFonts w:ascii="Times New Roman" w:hAnsi="Times New Roman" w:eastAsia="仿宋" w:cs="Times New Roman"/>
                <w:spacing w:val="-3"/>
                <w:szCs w:val="21"/>
              </w:rPr>
              <w:t>The focus of this chapter is to grasp the taxpayers of value-added tax, the scope of taxation, tax rates, calculation of tax payable, exemption and threshold points, collection management, and the use and management of value-added tax special invoices. The difficulty is the calculation of value-added tax payable.</w:t>
            </w:r>
          </w:p>
          <w:p>
            <w:pPr>
              <w:rPr>
                <w:rFonts w:ascii="Times New Roman" w:hAnsi="Times New Roman" w:eastAsia="仿宋" w:cs="Times New Roman"/>
                <w:spacing w:val="-3"/>
                <w:szCs w:val="21"/>
              </w:rPr>
            </w:pPr>
          </w:p>
          <w:p>
            <w:pPr>
              <w:rPr>
                <w:rFonts w:ascii="Times New Roman" w:hAnsi="Times New Roman" w:eastAsia="仿宋" w:cs="Times New Roman"/>
                <w:spacing w:val="-3"/>
                <w:szCs w:val="21"/>
              </w:rPr>
            </w:pPr>
            <w:r>
              <w:rPr>
                <w:rFonts w:ascii="Times New Roman" w:hAnsi="Times New Roman" w:eastAsia="仿宋" w:cs="Times New Roman"/>
                <w:spacing w:val="-3"/>
                <w:szCs w:val="21"/>
              </w:rPr>
              <w:t>Course Ideological and Political Education: By comparing tax rates, calculating taxable amounts, and distinguishing between tax exemptions and threshold points, one can understand the principle that things are generally related.</w:t>
            </w:r>
          </w:p>
        </w:tc>
        <w:tc>
          <w:tcPr>
            <w:tcW w:w="56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10</w:t>
            </w:r>
          </w:p>
        </w:tc>
        <w:tc>
          <w:tcPr>
            <w:tcW w:w="1387" w:type="dxa"/>
            <w:vAlign w:val="center"/>
          </w:tcPr>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remember</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understand</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apply</w:t>
            </w:r>
          </w:p>
          <w:p>
            <w:pPr>
              <w:rPr>
                <w:rFonts w:ascii="Times New Roman" w:hAnsi="Times New Roman" w:eastAsia="仿宋" w:cs="Times New Roman"/>
                <w:b/>
                <w:szCs w:val="21"/>
              </w:rPr>
            </w:pPr>
            <w:r>
              <w:rPr>
                <w:rFonts w:ascii="Times New Roman" w:hAnsi="Times New Roman" w:eastAsia="仿宋" w:cs="Times New Roman"/>
                <w:szCs w:val="21"/>
                <w:lang w:val="zh-CN"/>
              </w:rPr>
              <w:sym w:font="Wingdings 2" w:char="0052"/>
            </w:r>
            <w:r>
              <w:rPr>
                <w:rFonts w:ascii="Times New Roman" w:hAnsi="Times New Roman" w:eastAsia="仿宋" w:cs="Times New Roman"/>
                <w:szCs w:val="21"/>
              </w:rPr>
              <w:t>aggregate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240" w:lineRule="atLeast"/>
              <w:jc w:val="center"/>
              <w:rPr>
                <w:rFonts w:ascii="Times New Roman" w:hAnsi="Times New Roman" w:eastAsia="仿宋" w:cs="Times New Roman"/>
                <w:szCs w:val="21"/>
                <w:lang w:val="zh-CN"/>
              </w:rPr>
            </w:pPr>
            <w:r>
              <w:rPr>
                <w:rFonts w:ascii="Times New Roman" w:hAnsi="Times New Roman" w:eastAsia="仿宋" w:cs="Times New Roman"/>
                <w:szCs w:val="21"/>
                <w:lang w:val="zh-CN"/>
              </w:rPr>
              <w:t xml:space="preserve">Chapter 3 </w:t>
            </w:r>
            <w:r>
              <w:rPr>
                <w:rFonts w:hint="eastAsia" w:ascii="Times New Roman" w:hAnsi="Times New Roman" w:eastAsia="仿宋" w:cs="Times New Roman"/>
                <w:szCs w:val="21"/>
              </w:rPr>
              <w:t>:</w:t>
            </w:r>
            <w:r>
              <w:rPr>
                <w:rFonts w:hint="eastAsia" w:ascii="Times New Roman" w:hAnsi="Times New Roman" w:eastAsia="仿宋" w:cs="Times New Roman"/>
                <w:szCs w:val="21"/>
                <w:lang w:val="zh-CN"/>
              </w:rPr>
              <w:t xml:space="preserve">consumption tax </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3.1 Investment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3.2 Total costs and expenses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3.3 Revenue, taxes, and profits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3.4 Depreciation, taxes, profit and cash flow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lang w:val="zh-CN"/>
              </w:rPr>
              <w:t>3.5 Case analysis</w:t>
            </w:r>
          </w:p>
        </w:tc>
        <w:tc>
          <w:tcPr>
            <w:tcW w:w="3920" w:type="dxa"/>
            <w:vAlign w:val="center"/>
          </w:tcPr>
          <w:p>
            <w:pPr>
              <w:snapToGrid w:val="0"/>
              <w:rPr>
                <w:rFonts w:ascii="Times New Roman" w:hAnsi="Times New Roman" w:eastAsia="仿宋" w:cs="Times New Roman"/>
                <w:szCs w:val="21"/>
              </w:rPr>
            </w:pPr>
            <w:r>
              <w:rPr>
                <w:rFonts w:ascii="Times New Roman" w:hAnsi="Times New Roman" w:eastAsia="仿宋" w:cs="Times New Roman"/>
                <w:szCs w:val="21"/>
              </w:rPr>
              <w:t>Through the study of this chapter, understand the regulations on business tax reduction and exemption, and the preparation of business tax declaration forms. Familiarize yourself with the concept, characteristics, occurrence time of tax obligations, tax payment period, and tax payment location of business tax. Master the taxpayer (withholding agent), tax items, tax rates, tax treatment of concurrent and mixed business operations, and calculation of tax payable for business tax.</w:t>
            </w:r>
          </w:p>
          <w:p>
            <w:pPr>
              <w:snapToGrid w:val="0"/>
              <w:rPr>
                <w:rFonts w:ascii="Times New Roman" w:hAnsi="Times New Roman" w:eastAsia="仿宋" w:cs="Times New Roman"/>
                <w:szCs w:val="21"/>
              </w:rPr>
            </w:pPr>
          </w:p>
          <w:p>
            <w:pPr>
              <w:snapToGrid w:val="0"/>
              <w:rPr>
                <w:rFonts w:ascii="Times New Roman" w:hAnsi="Times New Roman" w:eastAsia="仿宋" w:cs="Times New Roman"/>
                <w:szCs w:val="21"/>
              </w:rPr>
            </w:pPr>
            <w:r>
              <w:rPr>
                <w:rFonts w:ascii="Times New Roman" w:hAnsi="Times New Roman" w:eastAsia="仿宋" w:cs="Times New Roman"/>
                <w:szCs w:val="21"/>
              </w:rPr>
              <w:t>Course Ideological and Political Education: To lay a solid foundation, through the explanation in this chapter, clarify the payer, payment method, and time of consumption tax in daily life, and understand the tax payment of social commodity transactions.</w:t>
            </w:r>
          </w:p>
        </w:tc>
        <w:tc>
          <w:tcPr>
            <w:tcW w:w="560" w:type="dxa"/>
            <w:vAlign w:val="center"/>
          </w:tcPr>
          <w:p>
            <w:pPr>
              <w:jc w:val="center"/>
              <w:rPr>
                <w:rFonts w:ascii="Times New Roman" w:hAnsi="Times New Roman" w:eastAsia="仿宋" w:cs="Times New Roman"/>
                <w:b/>
                <w:szCs w:val="21"/>
              </w:rPr>
            </w:pPr>
            <w:r>
              <w:rPr>
                <w:rFonts w:hint="eastAsia" w:ascii="Times New Roman" w:hAnsi="Times New Roman" w:eastAsia="仿宋" w:cs="Times New Roman"/>
                <w:b/>
                <w:szCs w:val="21"/>
              </w:rPr>
              <w:t>4</w:t>
            </w:r>
          </w:p>
        </w:tc>
        <w:tc>
          <w:tcPr>
            <w:tcW w:w="1387" w:type="dxa"/>
            <w:vAlign w:val="center"/>
          </w:tcPr>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remember</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understand</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apply</w:t>
            </w:r>
          </w:p>
          <w:p>
            <w:pPr>
              <w:jc w:val="left"/>
              <w:rPr>
                <w:rFonts w:ascii="Times New Roman" w:hAnsi="Times New Roman" w:eastAsia="仿宋" w:cs="Times New Roman"/>
                <w:b/>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aggregate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240" w:lineRule="atLeast"/>
              <w:jc w:val="center"/>
              <w:rPr>
                <w:rFonts w:ascii="Times New Roman" w:hAnsi="Times New Roman" w:eastAsia="仿宋" w:cs="Times New Roman"/>
                <w:szCs w:val="21"/>
              </w:rPr>
            </w:pPr>
            <w:r>
              <w:rPr>
                <w:rFonts w:ascii="Times New Roman" w:hAnsi="Times New Roman" w:eastAsia="仿宋" w:cs="Times New Roman"/>
                <w:szCs w:val="21"/>
              </w:rPr>
              <w:t>Chapter 4 Engineering economic evaluation index</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4.1 Project economic evaluation index system 4.2 Static evaluation index </w:t>
            </w:r>
          </w:p>
          <w:p>
            <w:pPr>
              <w:spacing w:line="240" w:lineRule="atLeast"/>
              <w:jc w:val="left"/>
              <w:rPr>
                <w:rFonts w:ascii="Times New Roman" w:hAnsi="Times New Roman" w:eastAsia="仿宋" w:cs="Times New Roman"/>
                <w:szCs w:val="21"/>
                <w:lang w:val="zh-CN"/>
              </w:rPr>
            </w:pPr>
            <w:r>
              <w:rPr>
                <w:rFonts w:ascii="Times New Roman" w:hAnsi="Times New Roman" w:eastAsia="仿宋" w:cs="Times New Roman"/>
                <w:szCs w:val="21"/>
              </w:rPr>
              <w:t>4.3 Dynamic evaluation system</w:t>
            </w: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Master the meaning, calculation and discrimination of the static evaluation index of engineering economy, master the meaning, calculation and discrimination of the dynamic evaluation index of engineering economy, understand the influence of capital time value on the evaluation index, and lay a foundation for the scheme of economic evaluation method of the fifth chapter through the study of this chapter.</w:t>
            </w:r>
          </w:p>
          <w:p>
            <w:pPr>
              <w:rPr>
                <w:rFonts w:ascii="Times New Roman" w:hAnsi="Times New Roman" w:eastAsia="仿宋" w:cs="Times New Roman"/>
                <w:szCs w:val="21"/>
              </w:rPr>
            </w:pPr>
            <w:r>
              <w:rPr>
                <w:rFonts w:ascii="Times New Roman" w:hAnsi="Times New Roman" w:eastAsia="仿宋" w:cs="Times New Roman"/>
                <w:szCs w:val="21"/>
              </w:rPr>
              <w:t>Course ideological and political: through the study of different indicators, understand the truth of short and strong, into the national education, cultivate confidence and patriotism, encourage students to choose their own life path should be down-to-earth, go all out.</w:t>
            </w:r>
          </w:p>
        </w:tc>
        <w:tc>
          <w:tcPr>
            <w:tcW w:w="560" w:type="dxa"/>
            <w:vAlign w:val="center"/>
          </w:tcPr>
          <w:p>
            <w:pPr>
              <w:jc w:val="center"/>
              <w:rPr>
                <w:rFonts w:ascii="Times New Roman" w:hAnsi="Times New Roman" w:eastAsia="仿宋" w:cs="Times New Roman"/>
                <w:b/>
                <w:szCs w:val="21"/>
              </w:rPr>
            </w:pPr>
            <w:r>
              <w:rPr>
                <w:rFonts w:hint="eastAsia" w:ascii="Times New Roman" w:hAnsi="Times New Roman" w:eastAsia="仿宋" w:cs="Times New Roman"/>
                <w:b/>
                <w:szCs w:val="21"/>
              </w:rPr>
              <w:t>6</w:t>
            </w:r>
          </w:p>
        </w:tc>
        <w:tc>
          <w:tcPr>
            <w:tcW w:w="1387" w:type="dxa"/>
            <w:vAlign w:val="center"/>
          </w:tcPr>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remember</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understand</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apply</w:t>
            </w:r>
          </w:p>
          <w:p>
            <w:pPr>
              <w:jc w:val="left"/>
              <w:rPr>
                <w:rFonts w:ascii="Times New Roman" w:hAnsi="Times New Roman" w:eastAsia="仿宋" w:cs="Times New Roman"/>
                <w:b/>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aggregate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360" w:lineRule="auto"/>
              <w:jc w:val="center"/>
              <w:rPr>
                <w:rFonts w:ascii="Times New Roman" w:hAnsi="Times New Roman" w:eastAsia="仿宋" w:cs="Times New Roman"/>
                <w:spacing w:val="-3"/>
                <w:szCs w:val="21"/>
                <w:lang w:val="zh-CN"/>
              </w:rPr>
            </w:pPr>
            <w:r>
              <w:rPr>
                <w:rFonts w:ascii="Times New Roman" w:hAnsi="Times New Roman" w:eastAsia="仿宋" w:cs="Times New Roman"/>
                <w:szCs w:val="21"/>
              </w:rPr>
              <w:t>Chapter 5</w:t>
            </w:r>
            <w:r>
              <w:rPr>
                <w:rFonts w:hint="eastAsia" w:ascii="Times New Roman" w:hAnsi="Times New Roman" w:eastAsia="仿宋" w:cs="Times New Roman"/>
                <w:szCs w:val="21"/>
              </w:rPr>
              <w:t xml:space="preserve">: </w:t>
            </w:r>
            <w:r>
              <w:rPr>
                <w:rFonts w:ascii="Times New Roman" w:hAnsi="Times New Roman" w:eastAsia="仿宋" w:cs="Times New Roman"/>
                <w:szCs w:val="21"/>
              </w:rPr>
              <w:t xml:space="preserve">individual income tax </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5.1 Cognition of personal income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5.2 Calculation of personal income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5.3 Collection of Personal Income Tax</w:t>
            </w:r>
          </w:p>
          <w:p>
            <w:pPr>
              <w:spacing w:line="240" w:lineRule="atLeast"/>
              <w:jc w:val="left"/>
              <w:rPr>
                <w:rFonts w:ascii="Times New Roman" w:hAnsi="Times New Roman" w:eastAsia="仿宋" w:cs="Times New Roman"/>
                <w:spacing w:val="-3"/>
                <w:szCs w:val="21"/>
              </w:rPr>
            </w:pPr>
            <w:r>
              <w:rPr>
                <w:rFonts w:ascii="Times New Roman" w:hAnsi="Times New Roman" w:eastAsia="仿宋" w:cs="Times New Roman"/>
                <w:szCs w:val="21"/>
              </w:rPr>
              <w:t>5.4 Collection and Management of Personal Income Tax</w:t>
            </w:r>
            <w:r>
              <w:rPr>
                <w:rFonts w:ascii="Times New Roman" w:hAnsi="Times New Roman" w:eastAsia="仿宋" w:cs="Times New Roman"/>
                <w:spacing w:val="-3"/>
                <w:szCs w:val="21"/>
              </w:rPr>
              <w:t xml:space="preserve"> </w:t>
            </w: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By studying this chapter, one can grasp the definition of individual income tax taxpayers, clearly determine the businesses that should pay individual income tax, choose the applicable tax rate for individual income tax, and fully utilize the preferential policies for individual income tax. Able to calculate the taxable amount of wages, salaries, labor remuneration, manuscript remuneration, royalties (collectively referred to as comprehensive income), property leasing income, property transfer income, and personal income tax under special circumstances based on relevant business information. The focus of this chapter is to determine the timing, duration, and location of personal income tax obligations, and to calculate salary and salary income based on relevant business information.</w:t>
            </w:r>
          </w:p>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Curriculum Ideological and Political Education: Integrating legal education, safety education, consumption concepts, and correct life values.</w:t>
            </w:r>
          </w:p>
          <w:p>
            <w:pPr>
              <w:spacing w:line="360" w:lineRule="auto"/>
              <w:rPr>
                <w:rFonts w:ascii="Times New Roman" w:hAnsi="Times New Roman" w:eastAsia="仿宋" w:cs="Times New Roman"/>
                <w:szCs w:val="21"/>
              </w:rPr>
            </w:pPr>
          </w:p>
        </w:tc>
        <w:tc>
          <w:tcPr>
            <w:tcW w:w="56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4</w:t>
            </w:r>
          </w:p>
        </w:tc>
        <w:tc>
          <w:tcPr>
            <w:tcW w:w="1387" w:type="dxa"/>
            <w:vAlign w:val="center"/>
          </w:tcPr>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remember</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understand</w:t>
            </w:r>
          </w:p>
          <w:p>
            <w:pPr>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apply</w:t>
            </w:r>
          </w:p>
          <w:p>
            <w:pPr>
              <w:jc w:val="left"/>
              <w:rPr>
                <w:rFonts w:ascii="Times New Roman" w:hAnsi="Times New Roman" w:eastAsia="仿宋" w:cs="Times New Roman"/>
                <w:szCs w:val="21"/>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rPr>
              <w:t>aggregate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360" w:lineRule="auto"/>
              <w:jc w:val="center"/>
              <w:rPr>
                <w:rFonts w:ascii="Times New Roman" w:hAnsi="Times New Roman" w:eastAsia="仿宋" w:cs="Times New Roman"/>
                <w:spacing w:val="-3"/>
                <w:szCs w:val="21"/>
              </w:rPr>
            </w:pPr>
            <w:r>
              <w:rPr>
                <w:rFonts w:ascii="Times New Roman" w:hAnsi="Times New Roman" w:eastAsia="仿宋" w:cs="Times New Roman"/>
                <w:szCs w:val="21"/>
              </w:rPr>
              <w:t xml:space="preserve">Chapter 6 </w:t>
            </w:r>
            <w:r>
              <w:rPr>
                <w:rFonts w:hint="eastAsia" w:ascii="Times New Roman" w:hAnsi="Times New Roman" w:eastAsia="仿宋" w:cs="Times New Roman"/>
                <w:szCs w:val="21"/>
              </w:rPr>
              <w:t xml:space="preserve">: Urban Maintenance and Construction Tax Law and </w:t>
            </w:r>
            <w:r>
              <w:rPr>
                <w:rFonts w:ascii="Times New Roman" w:hAnsi="Times New Roman" w:eastAsia="仿宋" w:cs="Times New Roman"/>
                <w:szCs w:val="21"/>
              </w:rPr>
              <w:t>Education surtax</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6.1 Understanding of Urban Maintenance and Construction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6.2 Calculation and Collection Management of Urban Maintenance and Construction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6.3 Cognition of Education surtax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6.4 Calculation and Collection Management of Education surtax</w:t>
            </w: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By studying this chapter, it is possible to identify the actual payers of urban maintenance and construction tax and education surtax, as well as the tax basis for urban maintenance and construction tax and education surtax. It is also possible to determine the time, duration, and location of tax obligations.</w:t>
            </w:r>
          </w:p>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Course Ideological and Political Education: Integrating the spirit of innovation and model worker, cultivating students' excellent character of not giving up and striving for progress in the face of difficulties.</w:t>
            </w:r>
          </w:p>
        </w:tc>
        <w:tc>
          <w:tcPr>
            <w:tcW w:w="560" w:type="dxa"/>
            <w:vAlign w:val="center"/>
          </w:tcPr>
          <w:p>
            <w:pPr>
              <w:jc w:val="center"/>
              <w:rPr>
                <w:rFonts w:ascii="Times New Roman" w:hAnsi="Times New Roman" w:eastAsia="仿宋" w:cs="Times New Roman"/>
                <w:b/>
                <w:szCs w:val="21"/>
              </w:rPr>
            </w:pPr>
            <w:r>
              <w:rPr>
                <w:rFonts w:hint="eastAsia" w:ascii="Times New Roman" w:hAnsi="Times New Roman" w:eastAsia="仿宋" w:cs="Times New Roman"/>
                <w:b/>
                <w:szCs w:val="21"/>
              </w:rPr>
              <w:t>1</w:t>
            </w:r>
          </w:p>
        </w:tc>
        <w:tc>
          <w:tcPr>
            <w:tcW w:w="1387" w:type="dxa"/>
            <w:vAlign w:val="center"/>
          </w:tcPr>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remember</w:t>
            </w:r>
          </w:p>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understand</w:t>
            </w:r>
          </w:p>
          <w:p>
            <w:pPr>
              <w:jc w:val="left"/>
              <w:rPr>
                <w:rFonts w:ascii="Times New Roman" w:hAnsi="Times New Roman" w:eastAsia="仿宋" w:cs="Times New Roman"/>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360" w:lineRule="auto"/>
              <w:jc w:val="center"/>
              <w:rPr>
                <w:rFonts w:ascii="Times New Roman" w:hAnsi="Times New Roman" w:eastAsia="仿宋" w:cs="Times New Roman"/>
                <w:spacing w:val="-3"/>
                <w:szCs w:val="21"/>
                <w:lang w:val="en-GB"/>
              </w:rPr>
            </w:pPr>
            <w:r>
              <w:rPr>
                <w:rFonts w:ascii="Times New Roman" w:hAnsi="Times New Roman" w:eastAsia="仿宋" w:cs="Times New Roman"/>
                <w:szCs w:val="21"/>
              </w:rPr>
              <w:t>Chapter 7</w:t>
            </w:r>
            <w:r>
              <w:rPr>
                <w:rFonts w:hint="eastAsia" w:ascii="Times New Roman" w:hAnsi="Times New Roman" w:eastAsia="仿宋" w:cs="Times New Roman"/>
                <w:szCs w:val="21"/>
              </w:rPr>
              <w:t xml:space="preserve">: </w:t>
            </w:r>
            <w:r>
              <w:rPr>
                <w:rFonts w:ascii="Times New Roman" w:hAnsi="Times New Roman" w:eastAsia="仿宋" w:cs="Times New Roman"/>
                <w:szCs w:val="21"/>
              </w:rPr>
              <w:t xml:space="preserve"> </w:t>
            </w:r>
            <w:r>
              <w:t xml:space="preserve"> </w:t>
            </w:r>
            <w:r>
              <w:rPr>
                <w:rFonts w:ascii="Times New Roman" w:hAnsi="Times New Roman" w:eastAsia="仿宋" w:cs="Times New Roman"/>
                <w:szCs w:val="21"/>
              </w:rPr>
              <w:t>Customs Duties</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7.1 Cognition of Tariffs</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7.2 Calculation and Collection Management of Tariffs</w:t>
            </w:r>
          </w:p>
          <w:p>
            <w:pPr>
              <w:spacing w:line="240" w:lineRule="atLeast"/>
              <w:jc w:val="left"/>
              <w:rPr>
                <w:rFonts w:ascii="Times New Roman" w:hAnsi="Times New Roman" w:eastAsia="仿宋" w:cs="Times New Roman"/>
                <w:szCs w:val="21"/>
              </w:rPr>
            </w:pP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Through the study of this chapter, understand the declaration of customs duties and become familiar with the taxpayers, scope of taxation, tax items, tax rates, tax calculation basis, and calculation of tax payable of customs duties. Understand the concept, characteristics, tax reduction and exemption, tax payment period, and tax refund and supplement regulations of tariffs, and determine the time, period, and location of tax payment obligations for tariffs.</w:t>
            </w:r>
          </w:p>
          <w:p>
            <w:pPr>
              <w:rPr>
                <w:rFonts w:ascii="Times New Roman" w:hAnsi="Times New Roman" w:eastAsia="仿宋" w:cs="Times New Roman"/>
                <w:szCs w:val="21"/>
              </w:rPr>
            </w:pPr>
          </w:p>
          <w:p>
            <w:pPr>
              <w:rPr>
                <w:rFonts w:ascii="Times New Roman" w:hAnsi="Times New Roman" w:eastAsia="仿宋" w:cs="Times New Roman"/>
                <w:szCs w:val="21"/>
              </w:rPr>
            </w:pPr>
            <w:r>
              <w:rPr>
                <w:rFonts w:hint="eastAsia" w:ascii="Times New Roman" w:hAnsi="Times New Roman" w:eastAsia="仿宋" w:cs="Times New Roman"/>
                <w:szCs w:val="21"/>
              </w:rPr>
              <w:t>Course Ideological and Political Education: Through the systematic learning of this chapter, further clarify the important significance of customs duties and ship tonnage taxes in China, and provide students with patriotic and upward education.</w:t>
            </w:r>
          </w:p>
        </w:tc>
        <w:tc>
          <w:tcPr>
            <w:tcW w:w="560" w:type="dxa"/>
            <w:vAlign w:val="center"/>
          </w:tcPr>
          <w:p>
            <w:pPr>
              <w:jc w:val="center"/>
              <w:rPr>
                <w:rFonts w:ascii="Times New Roman" w:hAnsi="Times New Roman" w:eastAsia="仿宋" w:cs="Times New Roman"/>
                <w:b/>
                <w:szCs w:val="21"/>
              </w:rPr>
            </w:pPr>
            <w:r>
              <w:rPr>
                <w:rFonts w:hint="eastAsia" w:ascii="Times New Roman" w:hAnsi="Times New Roman" w:eastAsia="仿宋" w:cs="Times New Roman"/>
                <w:b/>
                <w:szCs w:val="21"/>
              </w:rPr>
              <w:t>1</w:t>
            </w:r>
          </w:p>
        </w:tc>
        <w:tc>
          <w:tcPr>
            <w:tcW w:w="1387" w:type="dxa"/>
            <w:vAlign w:val="center"/>
          </w:tcPr>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remember</w:t>
            </w:r>
          </w:p>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understand</w:t>
            </w:r>
          </w:p>
          <w:p>
            <w:pPr>
              <w:jc w:val="left"/>
              <w:rPr>
                <w:rFonts w:ascii="Times New Roman" w:hAnsi="Times New Roman" w:eastAsia="仿宋" w:cs="Times New Roman"/>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360" w:lineRule="auto"/>
              <w:jc w:val="center"/>
              <w:rPr>
                <w:rFonts w:ascii="Times New Roman" w:hAnsi="Times New Roman" w:eastAsia="仿宋" w:cs="Times New Roman"/>
                <w:spacing w:val="-3"/>
                <w:szCs w:val="21"/>
              </w:rPr>
            </w:pPr>
            <w:r>
              <w:rPr>
                <w:rFonts w:ascii="Times New Roman" w:hAnsi="Times New Roman" w:eastAsia="仿宋" w:cs="Times New Roman"/>
                <w:szCs w:val="21"/>
              </w:rPr>
              <w:t>Chapter 8</w:t>
            </w:r>
            <w:r>
              <w:rPr>
                <w:rFonts w:hint="eastAsia" w:ascii="Times New Roman" w:hAnsi="Times New Roman" w:eastAsia="仿宋" w:cs="Times New Roman"/>
                <w:szCs w:val="21"/>
              </w:rPr>
              <w:t>:</w:t>
            </w:r>
            <w:r>
              <w:rPr>
                <w:rFonts w:ascii="Times New Roman" w:hAnsi="Times New Roman" w:eastAsia="仿宋" w:cs="Times New Roman"/>
                <w:szCs w:val="21"/>
              </w:rPr>
              <w:t xml:space="preserve"> Resource Tax Law and Environmental Protection Law</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8.1 Cognition of Resource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8.2 Calculation and Collection Management of Resource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8.3 Cognition of Environmental Protection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8.4 Calculation and Collection Management of Environmental Protection Tax</w:t>
            </w:r>
          </w:p>
        </w:tc>
        <w:tc>
          <w:tcPr>
            <w:tcW w:w="3920" w:type="dxa"/>
            <w:vAlign w:val="center"/>
          </w:tcPr>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By studying this chapter, one can determine which resources are subject to resource tax, calculate resource tax based on relevant business information, and determine the time, tax period, and tax location of resource tax payment obligations; It is possible to determine which resources should pay environmental protection tax, calculate environmental protection tax based on relevant business data, and determine the time, period, and location of environmental protection tax payment obligations.</w:t>
            </w:r>
          </w:p>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Course Ideological and Political Education: Through the study of this chapter, students will deeply realize the importance of resource protection and environmental protection, enhance their ability to combine theory with practice, and deeply appreciate the superiority of the engineering system under China's socialist system.</w:t>
            </w:r>
          </w:p>
        </w:tc>
        <w:tc>
          <w:tcPr>
            <w:tcW w:w="560" w:type="dxa"/>
            <w:vAlign w:val="center"/>
          </w:tcPr>
          <w:p>
            <w:pPr>
              <w:jc w:val="center"/>
              <w:rPr>
                <w:rFonts w:ascii="Times New Roman" w:hAnsi="Times New Roman" w:eastAsia="仿宋" w:cs="Times New Roman"/>
                <w:b/>
                <w:szCs w:val="21"/>
              </w:rPr>
            </w:pPr>
            <w:r>
              <w:rPr>
                <w:rFonts w:hint="eastAsia" w:ascii="Times New Roman" w:hAnsi="Times New Roman" w:eastAsia="仿宋" w:cs="Times New Roman"/>
                <w:b/>
                <w:szCs w:val="21"/>
              </w:rPr>
              <w:t>1</w:t>
            </w:r>
          </w:p>
        </w:tc>
        <w:tc>
          <w:tcPr>
            <w:tcW w:w="1387" w:type="dxa"/>
            <w:vAlign w:val="center"/>
          </w:tcPr>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remember</w:t>
            </w:r>
          </w:p>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understand</w:t>
            </w:r>
          </w:p>
          <w:p>
            <w:pPr>
              <w:jc w:val="left"/>
              <w:rPr>
                <w:rFonts w:ascii="Times New Roman" w:hAnsi="Times New Roman" w:eastAsia="仿宋" w:cs="Times New Roman"/>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atLeast"/>
          <w:tblHeader/>
        </w:trPr>
        <w:tc>
          <w:tcPr>
            <w:tcW w:w="1445" w:type="dxa"/>
            <w:vAlign w:val="center"/>
          </w:tcPr>
          <w:p>
            <w:pPr>
              <w:spacing w:line="360" w:lineRule="auto"/>
              <w:jc w:val="center"/>
              <w:rPr>
                <w:rFonts w:ascii="Times New Roman" w:hAnsi="Times New Roman" w:eastAsia="仿宋" w:cs="Times New Roman"/>
                <w:szCs w:val="21"/>
              </w:rPr>
            </w:pPr>
            <w:r>
              <w:rPr>
                <w:rFonts w:ascii="Times New Roman" w:hAnsi="Times New Roman" w:eastAsia="仿宋" w:cs="Times New Roman"/>
                <w:szCs w:val="21"/>
              </w:rPr>
              <w:t xml:space="preserve">Chapter 9 </w:t>
            </w:r>
            <w:r>
              <w:rPr>
                <w:rFonts w:hint="eastAsia" w:ascii="Times New Roman" w:hAnsi="Times New Roman" w:eastAsia="仿宋" w:cs="Times New Roman"/>
                <w:szCs w:val="21"/>
              </w:rPr>
              <w:t xml:space="preserve">: </w:t>
            </w:r>
            <w:r>
              <w:t xml:space="preserve"> </w:t>
            </w:r>
            <w:r>
              <w:rPr>
                <w:rFonts w:ascii="Times New Roman" w:hAnsi="Times New Roman" w:eastAsia="仿宋" w:cs="Times New Roman"/>
                <w:szCs w:val="21"/>
              </w:rPr>
              <w:t>Other taxes</w:t>
            </w:r>
          </w:p>
        </w:tc>
        <w:tc>
          <w:tcPr>
            <w:tcW w:w="2222" w:type="dxa"/>
            <w:vAlign w:val="center"/>
          </w:tcPr>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9.1 Land Value Added Tax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9.2 Urban Land Use Tax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9.3 Farmland Occupation Tax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9.4 Vehicle and Ship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9.5 Vehicle Purchase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9.6 Property Tax </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9.7 Stamp Tax</w:t>
            </w:r>
          </w:p>
          <w:p>
            <w:pPr>
              <w:spacing w:line="240" w:lineRule="atLeast"/>
              <w:jc w:val="left"/>
              <w:rPr>
                <w:rFonts w:ascii="Times New Roman" w:hAnsi="Times New Roman" w:eastAsia="仿宋" w:cs="Times New Roman"/>
                <w:szCs w:val="21"/>
              </w:rPr>
            </w:pPr>
            <w:r>
              <w:rPr>
                <w:rFonts w:ascii="Times New Roman" w:hAnsi="Times New Roman" w:eastAsia="仿宋" w:cs="Times New Roman"/>
                <w:szCs w:val="21"/>
              </w:rPr>
              <w:t xml:space="preserve">9.8 Contract Tax </w:t>
            </w: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Be able to calculate taxes based on relevant business information, and determine the time, period, and location of payment obligations.</w:t>
            </w:r>
          </w:p>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Course Ideological and Political Education: In this chapter, the basic connotation of the socialist core values of honesty and trustworthiness is implemented, enabling students to establish the spirit of contract, integrity, and reverence for the law.</w:t>
            </w:r>
          </w:p>
        </w:tc>
        <w:tc>
          <w:tcPr>
            <w:tcW w:w="56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3</w:t>
            </w:r>
          </w:p>
        </w:tc>
        <w:tc>
          <w:tcPr>
            <w:tcW w:w="1387" w:type="dxa"/>
            <w:vAlign w:val="center"/>
          </w:tcPr>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remember</w:t>
            </w:r>
          </w:p>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understand</w:t>
            </w:r>
          </w:p>
          <w:p>
            <w:pPr>
              <w:rPr>
                <w:rFonts w:ascii="Times New Roman" w:hAnsi="Times New Roman" w:eastAsia="仿宋" w:cs="Times New Roman"/>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tblHeader/>
        </w:trPr>
        <w:tc>
          <w:tcPr>
            <w:tcW w:w="1445" w:type="dxa"/>
            <w:vAlign w:val="center"/>
          </w:tcPr>
          <w:p>
            <w:pPr>
              <w:spacing w:line="360" w:lineRule="auto"/>
              <w:jc w:val="center"/>
              <w:rPr>
                <w:rFonts w:ascii="Times New Roman" w:hAnsi="Times New Roman" w:eastAsia="仿宋" w:cs="Times New Roman"/>
                <w:szCs w:val="21"/>
              </w:rPr>
            </w:pPr>
            <w:r>
              <w:rPr>
                <w:rFonts w:ascii="Times New Roman" w:hAnsi="Times New Roman" w:eastAsia="仿宋" w:cs="Times New Roman"/>
                <w:sz w:val="20"/>
                <w:szCs w:val="20"/>
              </w:rPr>
              <w:t xml:space="preserve">Chapter 10 </w:t>
            </w:r>
            <w:r>
              <w:rPr>
                <w:rFonts w:hint="eastAsia" w:ascii="Times New Roman" w:hAnsi="Times New Roman" w:eastAsia="仿宋" w:cs="Times New Roman"/>
                <w:sz w:val="20"/>
                <w:szCs w:val="20"/>
              </w:rPr>
              <w:t xml:space="preserve">: </w:t>
            </w:r>
            <w:r>
              <w:rPr>
                <w:rFonts w:ascii="Times New Roman" w:hAnsi="Times New Roman" w:eastAsia="仿宋" w:cs="Times New Roman"/>
                <w:sz w:val="20"/>
                <w:szCs w:val="20"/>
              </w:rPr>
              <w:t>Tax Management and Tax Administrative Legal System</w:t>
            </w:r>
          </w:p>
        </w:tc>
        <w:tc>
          <w:tcPr>
            <w:tcW w:w="2222" w:type="dxa"/>
            <w:vAlign w:val="center"/>
          </w:tcPr>
          <w:p>
            <w:pPr>
              <w:spacing w:line="360" w:lineRule="auto"/>
              <w:rPr>
                <w:rFonts w:ascii="Times New Roman" w:hAnsi="Times New Roman" w:eastAsia="仿宋" w:cs="Times New Roman"/>
                <w:szCs w:val="21"/>
              </w:rPr>
            </w:pPr>
            <w:r>
              <w:rPr>
                <w:rFonts w:ascii="Times New Roman" w:hAnsi="Times New Roman" w:eastAsia="仿宋" w:cs="Times New Roman"/>
                <w:szCs w:val="21"/>
              </w:rPr>
              <w:t>10.1 Tax Management System</w:t>
            </w:r>
          </w:p>
          <w:p>
            <w:pPr>
              <w:spacing w:line="360" w:lineRule="auto"/>
              <w:rPr>
                <w:rFonts w:ascii="Times New Roman" w:hAnsi="Times New Roman" w:eastAsia="仿宋" w:cs="Times New Roman"/>
                <w:szCs w:val="21"/>
              </w:rPr>
            </w:pPr>
            <w:r>
              <w:rPr>
                <w:rFonts w:ascii="Times New Roman" w:hAnsi="Times New Roman" w:eastAsia="仿宋" w:cs="Times New Roman"/>
                <w:szCs w:val="21"/>
              </w:rPr>
              <w:t>10.2</w:t>
            </w:r>
            <w:r>
              <w:rPr>
                <w:rFonts w:hint="eastAsia" w:ascii="Times New Roman" w:hAnsi="Times New Roman" w:eastAsia="仿宋" w:cs="Times New Roman"/>
                <w:szCs w:val="21"/>
              </w:rPr>
              <w:t xml:space="preserve"> </w:t>
            </w:r>
            <w:r>
              <w:rPr>
                <w:rFonts w:ascii="Times New Roman" w:hAnsi="Times New Roman" w:eastAsia="仿宋" w:cs="Times New Roman"/>
                <w:szCs w:val="21"/>
              </w:rPr>
              <w:t>Tax Collection System</w:t>
            </w:r>
          </w:p>
          <w:p>
            <w:pPr>
              <w:spacing w:line="360" w:lineRule="auto"/>
              <w:rPr>
                <w:rFonts w:ascii="Times New Roman" w:hAnsi="Times New Roman" w:eastAsia="仿宋" w:cs="Times New Roman"/>
                <w:szCs w:val="21"/>
              </w:rPr>
            </w:pPr>
            <w:r>
              <w:rPr>
                <w:rFonts w:ascii="Times New Roman" w:hAnsi="Times New Roman" w:eastAsia="仿宋" w:cs="Times New Roman"/>
                <w:szCs w:val="21"/>
              </w:rPr>
              <w:t>10.3 Tax Legal Liability</w:t>
            </w:r>
          </w:p>
          <w:p>
            <w:pPr>
              <w:spacing w:line="360" w:lineRule="auto"/>
              <w:rPr>
                <w:rFonts w:ascii="Times New Roman" w:hAnsi="Times New Roman" w:eastAsia="仿宋" w:cs="Times New Roman"/>
                <w:szCs w:val="21"/>
              </w:rPr>
            </w:pPr>
            <w:r>
              <w:rPr>
                <w:rFonts w:ascii="Times New Roman" w:hAnsi="Times New Roman" w:eastAsia="仿宋" w:cs="Times New Roman"/>
                <w:szCs w:val="21"/>
              </w:rPr>
              <w:t>10.4 Tax Review System</w:t>
            </w:r>
          </w:p>
          <w:p>
            <w:pPr>
              <w:spacing w:line="360" w:lineRule="auto"/>
              <w:rPr>
                <w:rFonts w:ascii="Times New Roman" w:hAnsi="Times New Roman" w:eastAsia="仿宋" w:cs="Times New Roman"/>
                <w:szCs w:val="21"/>
              </w:rPr>
            </w:pPr>
            <w:r>
              <w:rPr>
                <w:rFonts w:ascii="Times New Roman" w:hAnsi="Times New Roman" w:eastAsia="仿宋" w:cs="Times New Roman"/>
                <w:szCs w:val="21"/>
              </w:rPr>
              <w:t>10.5 Tax Litigation System</w:t>
            </w:r>
          </w:p>
        </w:tc>
        <w:tc>
          <w:tcPr>
            <w:tcW w:w="3920" w:type="dxa"/>
            <w:vAlign w:val="center"/>
          </w:tcPr>
          <w:p>
            <w:pPr>
              <w:rPr>
                <w:rFonts w:ascii="Times New Roman" w:hAnsi="Times New Roman" w:eastAsia="仿宋" w:cs="Times New Roman"/>
                <w:szCs w:val="21"/>
              </w:rPr>
            </w:pPr>
            <w:r>
              <w:rPr>
                <w:rFonts w:ascii="Times New Roman" w:hAnsi="Times New Roman" w:eastAsia="仿宋" w:cs="Times New Roman"/>
                <w:szCs w:val="21"/>
              </w:rPr>
              <w:t>Through the study of this chapter, students will deepen their understanding of tax management systems, collection systems, legal responsibilities, tax review systems, and tax litigation systems, and effectively analyze case or business data during tax calculations; It helps students grasp the overall picture of the entire tax collection and management system, clarify the positioning of the tax management system in the entire tax collection and management system, and introduce various specific responsibilities that should be borne by those who violate the tax collection and payment system, and clarify important systems for resolving tax disputes.</w:t>
            </w:r>
          </w:p>
          <w:p>
            <w:pPr>
              <w:rPr>
                <w:rFonts w:ascii="Times New Roman" w:hAnsi="Times New Roman" w:eastAsia="仿宋" w:cs="Times New Roman"/>
                <w:szCs w:val="21"/>
              </w:rPr>
            </w:pPr>
          </w:p>
          <w:p>
            <w:pPr>
              <w:rPr>
                <w:rFonts w:ascii="Times New Roman" w:hAnsi="Times New Roman" w:eastAsia="仿宋" w:cs="Times New Roman"/>
                <w:szCs w:val="21"/>
              </w:rPr>
            </w:pPr>
            <w:r>
              <w:rPr>
                <w:rFonts w:ascii="Times New Roman" w:hAnsi="Times New Roman" w:eastAsia="仿宋" w:cs="Times New Roman"/>
                <w:szCs w:val="21"/>
              </w:rPr>
              <w:t>Course Ideological and Political Education: Insert an introduction and study of relevant laws and regulations, students can act in accordance with relevant laws and abide by their original principles in the future.</w:t>
            </w:r>
          </w:p>
        </w:tc>
        <w:tc>
          <w:tcPr>
            <w:tcW w:w="560" w:type="dxa"/>
            <w:vAlign w:val="center"/>
          </w:tcPr>
          <w:p>
            <w:pPr>
              <w:jc w:val="center"/>
              <w:rPr>
                <w:rFonts w:ascii="Times New Roman" w:hAnsi="Times New Roman" w:eastAsia="仿宋" w:cs="Times New Roman"/>
                <w:b/>
                <w:szCs w:val="21"/>
              </w:rPr>
            </w:pPr>
            <w:r>
              <w:rPr>
                <w:rFonts w:ascii="Times New Roman" w:hAnsi="Times New Roman" w:eastAsia="仿宋" w:cs="Times New Roman"/>
                <w:b/>
                <w:szCs w:val="21"/>
              </w:rPr>
              <w:t>1</w:t>
            </w:r>
          </w:p>
        </w:tc>
        <w:tc>
          <w:tcPr>
            <w:tcW w:w="1387" w:type="dxa"/>
            <w:vAlign w:val="center"/>
          </w:tcPr>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understand</w:t>
            </w:r>
          </w:p>
          <w:p>
            <w:pPr>
              <w:rPr>
                <w:rFonts w:ascii="Times New Roman" w:hAnsi="Times New Roman" w:eastAsia="仿宋" w:cs="Times New Roman"/>
                <w:szCs w:val="21"/>
                <w:lang w:val="zh-CN"/>
              </w:rPr>
            </w:pPr>
            <w:r>
              <w:rPr>
                <w:rFonts w:ascii="Times New Roman" w:hAnsi="Times New Roman" w:eastAsia="仿宋" w:cs="Times New Roman"/>
                <w:szCs w:val="21"/>
                <w:lang w:val="zh-CN"/>
              </w:rPr>
              <w:sym w:font="Wingdings 2" w:char="F052"/>
            </w:r>
            <w:r>
              <w:rPr>
                <w:rFonts w:ascii="Times New Roman" w:hAnsi="Times New Roman" w:eastAsia="仿宋" w:cs="Times New Roman"/>
                <w:szCs w:val="21"/>
                <w:lang w:val="zh-CN"/>
              </w:rPr>
              <w:t>apply</w:t>
            </w:r>
          </w:p>
          <w:p>
            <w:pPr>
              <w:jc w:val="center"/>
              <w:rPr>
                <w:rFonts w:ascii="Times New Roman" w:hAnsi="Times New Roman" w:eastAsia="仿宋" w:cs="Times New Roman"/>
                <w:b/>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tblHeader/>
        </w:trPr>
        <w:tc>
          <w:tcPr>
            <w:tcW w:w="1445" w:type="dxa"/>
            <w:vAlign w:val="center"/>
          </w:tcPr>
          <w:p>
            <w:pPr>
              <w:jc w:val="center"/>
              <w:rPr>
                <w:rFonts w:ascii="Times New Roman" w:hAnsi="Times New Roman" w:eastAsia="仿宋" w:cs="Times New Roman"/>
                <w:szCs w:val="21"/>
              </w:rPr>
            </w:pPr>
          </w:p>
        </w:tc>
        <w:tc>
          <w:tcPr>
            <w:tcW w:w="2222" w:type="dxa"/>
            <w:vAlign w:val="center"/>
          </w:tcPr>
          <w:p>
            <w:pPr>
              <w:jc w:val="center"/>
              <w:rPr>
                <w:rFonts w:ascii="Times New Roman" w:hAnsi="Times New Roman" w:eastAsia="仿宋" w:cs="Times New Roman"/>
                <w:szCs w:val="21"/>
              </w:rPr>
            </w:pPr>
          </w:p>
        </w:tc>
        <w:tc>
          <w:tcPr>
            <w:tcW w:w="3920" w:type="dxa"/>
            <w:vAlign w:val="center"/>
          </w:tcPr>
          <w:p>
            <w:pPr>
              <w:jc w:val="center"/>
              <w:rPr>
                <w:rFonts w:ascii="Times New Roman" w:hAnsi="Times New Roman" w:eastAsia="仿宋" w:cs="Times New Roman"/>
                <w:szCs w:val="21"/>
              </w:rPr>
            </w:pPr>
            <w:r>
              <w:rPr>
                <w:rFonts w:hint="eastAsia" w:ascii="Times New Roman" w:hAnsi="Times New Roman" w:eastAsia="仿宋" w:cs="Times New Roman"/>
                <w:szCs w:val="21"/>
              </w:rPr>
              <w:t>T</w:t>
            </w:r>
            <w:r>
              <w:rPr>
                <w:rFonts w:ascii="Times New Roman" w:hAnsi="Times New Roman" w:eastAsia="仿宋" w:cs="Times New Roman"/>
                <w:szCs w:val="21"/>
              </w:rPr>
              <w:t>otal</w:t>
            </w:r>
          </w:p>
        </w:tc>
        <w:tc>
          <w:tcPr>
            <w:tcW w:w="560" w:type="dxa"/>
            <w:vAlign w:val="center"/>
          </w:tcPr>
          <w:p>
            <w:pPr>
              <w:jc w:val="center"/>
              <w:rPr>
                <w:rFonts w:ascii="Times New Roman" w:hAnsi="Times New Roman" w:eastAsia="仿宋" w:cs="Times New Roman"/>
                <w:szCs w:val="21"/>
              </w:rPr>
            </w:pPr>
            <w:r>
              <w:rPr>
                <w:rFonts w:ascii="Times New Roman" w:hAnsi="Times New Roman" w:eastAsia="仿宋" w:cs="Times New Roman"/>
                <w:b/>
                <w:szCs w:val="21"/>
              </w:rPr>
              <w:t>32</w:t>
            </w:r>
          </w:p>
        </w:tc>
        <w:tc>
          <w:tcPr>
            <w:tcW w:w="1387" w:type="dxa"/>
            <w:vAlign w:val="center"/>
          </w:tcPr>
          <w:p>
            <w:pPr>
              <w:jc w:val="center"/>
              <w:rPr>
                <w:rFonts w:ascii="Times New Roman" w:hAnsi="Times New Roman" w:eastAsia="仿宋" w:cs="Times New Roman"/>
                <w:szCs w:val="21"/>
              </w:rPr>
            </w:pPr>
          </w:p>
        </w:tc>
      </w:tr>
    </w:tbl>
    <w:p>
      <w:pPr>
        <w:rPr>
          <w:rFonts w:ascii="Times New Roman" w:hAnsi="Times New Roman" w:eastAsia="黑体" w:cs="Times New Roman"/>
          <w:b/>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This course mainly focuses on classroom teaching, using the means of combining PPT and blackboard writing, and following the principle of teachers 'intensive guidance and students' broad learning and more practice. In the process of explanation, pay attention to the key cases, guide students to think with enlightening questions, stimulate students 'interest in learning; the difficult content, in the form of students' questions and interaction between teachers and students, create a good classroom atmosphere, to enhance students 'confidence, cultivate students' ability to analyze and solve problems and express opinions. The content of quantitative analysis should be practiced and discussed in class according to the specific problems. To the requirements of the content, must examine the degree of practical training. After class, appropriate homework or exercises are required to deepen the understanding of basic concepts and strengthen the mastery of key and difficult contents.</w:t>
      </w:r>
    </w:p>
    <w:p>
      <w:pPr>
        <w:rPr>
          <w:rFonts w:ascii="Times New Roman" w:hAnsi="Times New Roman" w:eastAsia="仿宋" w:cs="Times New Roman"/>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pPr>
        <w:rPr>
          <w:rFonts w:ascii="Times New Roman" w:hAnsi="Times New Roman" w:eastAsia="黑体" w:cs="Times New Roman"/>
          <w:b/>
          <w:szCs w:val="21"/>
          <w:lang w:val="en-GB"/>
        </w:rPr>
      </w:pPr>
    </w:p>
    <w:p>
      <w:pPr>
        <w:spacing w:line="288" w:lineRule="auto"/>
        <w:ind w:firstLine="480" w:firstLineChars="200"/>
        <w:rPr>
          <w:rFonts w:hint="default" w:ascii="Times New Roman" w:hAnsi="Times New Roman" w:eastAsia="等线" w:cs="Times New Roman"/>
          <w:sz w:val="24"/>
          <w:lang w:val="en-US" w:eastAsia="zh-CN"/>
        </w:rPr>
      </w:pPr>
      <w:r>
        <w:rPr>
          <w:rFonts w:ascii="Times New Roman" w:hAnsi="Times New Roman" w:eastAsia="等线" w:cs="Times New Roman"/>
          <w:sz w:val="24"/>
        </w:rPr>
        <w:t xml:space="preserve">Whether to schedule the exam: </w:t>
      </w:r>
      <w:r>
        <w:rPr>
          <w:rFonts w:hint="eastAsia" w:ascii="Times New Roman" w:hAnsi="Times New Roman" w:eastAsia="等线" w:cs="Times New Roman"/>
          <w:sz w:val="24"/>
          <w:lang w:val="en-US" w:eastAsia="zh-CN"/>
        </w:rPr>
        <w:t>Yes</w:t>
      </w:r>
    </w:p>
    <w:p>
      <w:pPr>
        <w:spacing w:line="288" w:lineRule="auto"/>
        <w:ind w:firstLine="480" w:firstLineChars="200"/>
        <w:rPr>
          <w:rFonts w:hint="eastAsia" w:ascii="Times New Roman" w:hAnsi="Times New Roman" w:eastAsia="等线" w:cs="Times New Roman"/>
          <w:sz w:val="24"/>
          <w:lang w:val="en-US" w:eastAsia="zh-CN"/>
        </w:rPr>
      </w:pPr>
      <w:r>
        <w:rPr>
          <w:rFonts w:ascii="Times New Roman" w:hAnsi="Times New Roman" w:eastAsia="等线" w:cs="Times New Roman"/>
          <w:sz w:val="24"/>
        </w:rPr>
        <w:t>Assessment form:</w:t>
      </w:r>
      <w:r>
        <w:rPr>
          <w:rFonts w:hint="eastAsia" w:ascii="Times New Roman" w:hAnsi="Times New Roman" w:eastAsia="等线" w:cs="Times New Roman"/>
          <w:sz w:val="24"/>
          <w:lang w:val="en-US" w:eastAsia="zh-CN"/>
        </w:rPr>
        <w:t xml:space="preserve"> Open-book examination</w:t>
      </w:r>
    </w:p>
    <w:p>
      <w:pPr>
        <w:spacing w:line="288" w:lineRule="auto"/>
        <w:ind w:firstLine="480" w:firstLineChars="200"/>
        <w:rPr>
          <w:rFonts w:ascii="Times New Roman" w:hAnsi="Times New Roman" w:eastAsia="等线" w:cs="Times New Roman"/>
          <w:sz w:val="24"/>
        </w:rPr>
      </w:pPr>
      <w:r>
        <w:rPr>
          <w:rFonts w:ascii="Times New Roman" w:hAnsi="Times New Roman" w:eastAsia="等线" w:cs="Times New Roman"/>
          <w:sz w:val="24"/>
        </w:rPr>
        <w:t>Score evaluation method: 100 point system</w:t>
      </w:r>
    </w:p>
    <w:p>
      <w:pPr>
        <w:spacing w:line="288" w:lineRule="auto"/>
        <w:ind w:firstLine="480" w:firstLineChars="200"/>
        <w:rPr>
          <w:rFonts w:hint="eastAsia" w:ascii="Times New Roman" w:hAnsi="Times New Roman" w:eastAsia="等线" w:cs="Times New Roman"/>
          <w:sz w:val="24"/>
        </w:rPr>
      </w:pPr>
      <w:r>
        <w:rPr>
          <w:rFonts w:ascii="Times New Roman" w:hAnsi="Times New Roman" w:eastAsia="等线" w:cs="Times New Roman"/>
          <w:sz w:val="24"/>
        </w:rPr>
        <w:t>It consists of three parts: regular grades, experimental grades, and final homework grades:</w:t>
      </w:r>
    </w:p>
    <w:p>
      <w:pPr>
        <w:spacing w:line="288" w:lineRule="auto"/>
        <w:ind w:firstLine="480" w:firstLineChars="200"/>
        <w:rPr>
          <w:rFonts w:hint="eastAsia" w:ascii="Times New Roman" w:hAnsi="Times New Roman" w:eastAsia="等线" w:cs="Times New Roman"/>
          <w:sz w:val="24"/>
        </w:rPr>
      </w:pPr>
      <w:r>
        <w:rPr>
          <w:rFonts w:ascii="Times New Roman" w:hAnsi="Times New Roman" w:eastAsia="等线" w:cs="Times New Roman"/>
          <w:sz w:val="24"/>
        </w:rPr>
        <w:t xml:space="preserve">(1) The total score for daily performance is 100 points, accounting for </w:t>
      </w:r>
      <w:r>
        <w:rPr>
          <w:rFonts w:hint="eastAsia" w:ascii="Times New Roman" w:hAnsi="Times New Roman" w:eastAsia="等线" w:cs="Times New Roman"/>
          <w:sz w:val="24"/>
          <w:lang w:val="en-US" w:eastAsia="zh-CN"/>
        </w:rPr>
        <w:t>2</w:t>
      </w:r>
      <w:r>
        <w:rPr>
          <w:rFonts w:ascii="Times New Roman" w:hAnsi="Times New Roman" w:eastAsia="等线" w:cs="Times New Roman"/>
          <w:sz w:val="24"/>
        </w:rPr>
        <w:t xml:space="preserve">0%. Mainly composed of 10 points for attendance and </w:t>
      </w:r>
      <w:r>
        <w:rPr>
          <w:rFonts w:hint="eastAsia" w:ascii="Times New Roman" w:hAnsi="Times New Roman" w:eastAsia="等线" w:cs="Times New Roman"/>
          <w:sz w:val="24"/>
          <w:lang w:val="en-US" w:eastAsia="zh-CN"/>
        </w:rPr>
        <w:t>1</w:t>
      </w:r>
      <w:r>
        <w:rPr>
          <w:rFonts w:ascii="Times New Roman" w:hAnsi="Times New Roman" w:eastAsia="等线" w:cs="Times New Roman"/>
          <w:sz w:val="24"/>
        </w:rPr>
        <w:t>0 points for classroom assignments;</w:t>
      </w:r>
    </w:p>
    <w:p>
      <w:pPr>
        <w:spacing w:line="288" w:lineRule="auto"/>
        <w:ind w:firstLine="480" w:firstLineChars="200"/>
        <w:rPr>
          <w:rFonts w:hint="eastAsia" w:ascii="Times New Roman" w:hAnsi="Times New Roman" w:eastAsia="等线" w:cs="Times New Roman"/>
          <w:sz w:val="24"/>
        </w:rPr>
      </w:pPr>
      <w:r>
        <w:rPr>
          <w:rFonts w:ascii="Times New Roman" w:hAnsi="Times New Roman" w:eastAsia="等线" w:cs="Times New Roman"/>
          <w:sz w:val="24"/>
        </w:rPr>
        <w:t>(2) The total score of the experimental results is 100 points, accounting for 20%. Consisting of two experimental assignments.</w:t>
      </w:r>
    </w:p>
    <w:p>
      <w:pPr>
        <w:spacing w:line="288" w:lineRule="auto"/>
        <w:ind w:firstLine="480" w:firstLineChars="200"/>
        <w:rPr>
          <w:rFonts w:hint="default" w:ascii="Times New Roman" w:hAnsi="Times New Roman" w:eastAsia="等线" w:cs="Times New Roman"/>
          <w:sz w:val="24"/>
          <w:lang w:val="en-US" w:eastAsia="zh-CN"/>
        </w:rPr>
      </w:pPr>
      <w:r>
        <w:rPr>
          <w:rFonts w:ascii="Times New Roman" w:hAnsi="Times New Roman" w:eastAsia="等线" w:cs="Times New Roman"/>
          <w:sz w:val="24"/>
        </w:rPr>
        <w:t xml:space="preserve">(3) The total score for the final assignment is 100 points, accounting for </w:t>
      </w:r>
      <w:r>
        <w:rPr>
          <w:rFonts w:hint="eastAsia" w:ascii="Times New Roman" w:hAnsi="Times New Roman" w:eastAsia="等线" w:cs="Times New Roman"/>
          <w:sz w:val="24"/>
          <w:lang w:val="en-US" w:eastAsia="zh-CN"/>
        </w:rPr>
        <w:t>6</w:t>
      </w:r>
      <w:r>
        <w:rPr>
          <w:rFonts w:ascii="Times New Roman" w:hAnsi="Times New Roman" w:eastAsia="等线" w:cs="Times New Roman"/>
          <w:sz w:val="24"/>
        </w:rPr>
        <w:t xml:space="preserve">0%. Composed of a final </w:t>
      </w:r>
      <w:r>
        <w:rPr>
          <w:rFonts w:hint="eastAsia" w:ascii="Times New Roman" w:hAnsi="Times New Roman" w:eastAsia="等线" w:cs="Times New Roman"/>
          <w:sz w:val="24"/>
          <w:lang w:val="en-US" w:eastAsia="zh-CN"/>
        </w:rPr>
        <w:t>examination.</w:t>
      </w:r>
    </w:p>
    <w:p>
      <w:pPr>
        <w:spacing w:line="288" w:lineRule="auto"/>
        <w:ind w:firstLine="480" w:firstLineChars="200"/>
        <w:rPr>
          <w:rFonts w:ascii="Times New Roman" w:hAnsi="Times New Roman" w:eastAsia="等线" w:cs="Times New Roman"/>
          <w:sz w:val="24"/>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pPr>
        <w:ind w:firstLine="482" w:firstLineChars="200"/>
        <w:rPr>
          <w:rFonts w:ascii="Times New Roman" w:hAnsi="Times New Roman" w:eastAsia="仿宋" w:cs="Times New Roman"/>
          <w:b/>
          <w:sz w:val="24"/>
          <w:szCs w:val="24"/>
          <w:lang w:val="en-GB"/>
        </w:rPr>
      </w:pPr>
      <w:r>
        <w:rPr>
          <w:rFonts w:ascii="Times New Roman" w:hAnsi="Times New Roman" w:eastAsia="仿宋" w:cs="Times New Roman"/>
          <w:b/>
          <w:sz w:val="24"/>
          <w:szCs w:val="24"/>
          <w:lang w:val="en-GB"/>
        </w:rPr>
        <w:t>1. Textbooks</w:t>
      </w:r>
    </w:p>
    <w:p>
      <w:pPr>
        <w:ind w:firstLine="422" w:firstLineChars="200"/>
        <w:rPr>
          <w:rFonts w:ascii="Times New Roman" w:hAnsi="Times New Roman" w:eastAsia="仿宋" w:cs="Times New Roman"/>
          <w:b/>
          <w:szCs w:val="21"/>
          <w:lang w:val="en-GB"/>
        </w:rPr>
      </w:pPr>
    </w:p>
    <w:p>
      <w:pPr>
        <w:spacing w:line="288" w:lineRule="auto"/>
        <w:ind w:firstLine="480" w:firstLineChars="200"/>
        <w:rPr>
          <w:rFonts w:ascii="Times New Roman" w:hAnsi="Times New Roman" w:eastAsia="等线" w:cs="Times New Roman"/>
          <w:sz w:val="24"/>
          <w:lang w:val="en-GB"/>
        </w:rPr>
      </w:pPr>
      <w:r>
        <w:rPr>
          <w:rFonts w:ascii="Times New Roman" w:hAnsi="Times New Roman" w:eastAsia="等线" w:cs="Times New Roman"/>
          <w:sz w:val="24"/>
          <w:lang w:val="en-GB"/>
        </w:rPr>
        <w:t>Tax Law (Seventh Edition) (Applied Textbook for Ordinary Higher Education Institutions), Liang Wentao, 2023, China Ren</w:t>
      </w:r>
      <w:bookmarkStart w:id="2" w:name="_GoBack"/>
      <w:bookmarkEnd w:id="2"/>
      <w:r>
        <w:rPr>
          <w:rFonts w:ascii="Times New Roman" w:hAnsi="Times New Roman" w:eastAsia="等线" w:cs="Times New Roman"/>
          <w:sz w:val="24"/>
          <w:lang w:val="en-GB"/>
        </w:rPr>
        <w:t>min University Press.</w:t>
      </w:r>
    </w:p>
    <w:p>
      <w:pPr>
        <w:ind w:firstLine="422" w:firstLineChars="200"/>
        <w:rPr>
          <w:rFonts w:ascii="Times New Roman" w:hAnsi="Times New Roman" w:eastAsia="仿宋" w:cs="Times New Roman"/>
          <w:b/>
          <w:szCs w:val="21"/>
          <w:lang w:val="en-GB"/>
        </w:rPr>
      </w:pPr>
    </w:p>
    <w:p>
      <w:pPr>
        <w:ind w:firstLine="482" w:firstLineChars="200"/>
        <w:rPr>
          <w:rFonts w:ascii="Times New Roman" w:hAnsi="Times New Roman" w:eastAsia="仿宋" w:cs="Times New Roman"/>
          <w:b/>
          <w:sz w:val="24"/>
          <w:szCs w:val="24"/>
          <w:lang w:val="en-GB"/>
        </w:rPr>
      </w:pPr>
      <w:r>
        <w:rPr>
          <w:rFonts w:ascii="Times New Roman" w:hAnsi="Times New Roman" w:eastAsia="仿宋" w:cs="Times New Roman"/>
          <w:b/>
          <w:sz w:val="24"/>
          <w:szCs w:val="24"/>
          <w:lang w:val="en-GB"/>
        </w:rPr>
        <w:t>2. Reference materials</w:t>
      </w:r>
    </w:p>
    <w:p>
      <w:pPr>
        <w:spacing w:line="288" w:lineRule="auto"/>
        <w:ind w:firstLine="480" w:firstLineChars="200"/>
        <w:rPr>
          <w:rFonts w:ascii="Times New Roman" w:hAnsi="Times New Roman" w:eastAsia="等线" w:cs="Times New Roman"/>
          <w:sz w:val="24"/>
          <w:lang w:val="en-GB"/>
        </w:rPr>
      </w:pPr>
      <w:r>
        <w:rPr>
          <w:rFonts w:ascii="Times New Roman" w:hAnsi="Times New Roman" w:eastAsia="等线" w:cs="Times New Roman"/>
          <w:sz w:val="24"/>
          <w:lang w:val="en-GB"/>
        </w:rPr>
        <w:t>Principles of Tax Law (10th Edition) (National Planning Textbook for Undergraduate Education in the 12th Five Year Plan), Zhang Shouyi, 2021, Peking University Press.</w:t>
      </w:r>
    </w:p>
    <w:p>
      <w:pPr>
        <w:snapToGrid w:val="0"/>
        <w:spacing w:line="360" w:lineRule="auto"/>
        <w:jc w:val="center"/>
        <w:rPr>
          <w:rFonts w:ascii="Times New Roman" w:hAnsi="Times New Roman" w:eastAsia="仿宋" w:cs="Times New Roman"/>
          <w:sz w:val="32"/>
          <w:szCs w:val="32"/>
          <w:lang w:val="en-GB"/>
        </w:rPr>
      </w:pPr>
    </w:p>
    <w:p>
      <w:pPr>
        <w:ind w:firstLine="420" w:firstLineChars="200"/>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A04892"/>
    <w:multiLevelType w:val="singleLevel"/>
    <w:tmpl w:val="93A04892"/>
    <w:lvl w:ilvl="0" w:tentative="0">
      <w:start w:val="4"/>
      <w:numFmt w:val="chineseCounting"/>
      <w:suff w:val="nothing"/>
      <w:lvlText w:val="%1、"/>
      <w:lvlJc w:val="left"/>
      <w:rPr>
        <w:rFonts w:hint="eastAsia"/>
      </w:rPr>
    </w:lvl>
  </w:abstractNum>
  <w:abstractNum w:abstractNumId="1">
    <w:nsid w:val="C8AC0ADB"/>
    <w:multiLevelType w:val="singleLevel"/>
    <w:tmpl w:val="C8AC0ADB"/>
    <w:lvl w:ilvl="0" w:tentative="0">
      <w:start w:val="1"/>
      <w:numFmt w:val="decimal"/>
      <w:lvlText w:val="%1."/>
      <w:lvlJc w:val="left"/>
      <w:pPr>
        <w:tabs>
          <w:tab w:val="left" w:pos="312"/>
        </w:tabs>
      </w:pPr>
    </w:lvl>
  </w:abstractNum>
  <w:abstractNum w:abstractNumId="2">
    <w:nsid w:val="2DC5746C"/>
    <w:multiLevelType w:val="singleLevel"/>
    <w:tmpl w:val="2DC5746C"/>
    <w:lvl w:ilvl="0" w:tentative="0">
      <w:start w:val="1"/>
      <w:numFmt w:val="decimal"/>
      <w:suff w:val="space"/>
      <w:lvlText w:val="%1."/>
      <w:lvlJc w:val="left"/>
    </w:lvl>
  </w:abstractNum>
  <w:abstractNum w:abstractNumId="3">
    <w:nsid w:val="64731CD7"/>
    <w:multiLevelType w:val="singleLevel"/>
    <w:tmpl w:val="64731CD7"/>
    <w:lvl w:ilvl="0" w:tentative="0">
      <w:start w:val="1"/>
      <w:numFmt w:val="upperRoman"/>
      <w:suff w:val="space"/>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zMDM0YTM5MGQxMGY0YzVhNTNkZWRlYjczZWQ4MTYifQ=="/>
  </w:docVars>
  <w:rsids>
    <w:rsidRoot w:val="00BC67B7"/>
    <w:rsid w:val="000012F6"/>
    <w:rsid w:val="0002163E"/>
    <w:rsid w:val="000225C6"/>
    <w:rsid w:val="00024024"/>
    <w:rsid w:val="00063270"/>
    <w:rsid w:val="00086B91"/>
    <w:rsid w:val="00092589"/>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9745C"/>
    <w:rsid w:val="001C7304"/>
    <w:rsid w:val="001E1D14"/>
    <w:rsid w:val="001E7080"/>
    <w:rsid w:val="00211A14"/>
    <w:rsid w:val="00213E0A"/>
    <w:rsid w:val="00224CDE"/>
    <w:rsid w:val="00232D6E"/>
    <w:rsid w:val="002342D8"/>
    <w:rsid w:val="002376A3"/>
    <w:rsid w:val="0024262F"/>
    <w:rsid w:val="00255F6D"/>
    <w:rsid w:val="002626E5"/>
    <w:rsid w:val="00274952"/>
    <w:rsid w:val="0028273B"/>
    <w:rsid w:val="002A408B"/>
    <w:rsid w:val="002F257A"/>
    <w:rsid w:val="002F6101"/>
    <w:rsid w:val="002F7478"/>
    <w:rsid w:val="00301FA0"/>
    <w:rsid w:val="003066C2"/>
    <w:rsid w:val="00312ED9"/>
    <w:rsid w:val="00323C78"/>
    <w:rsid w:val="00347821"/>
    <w:rsid w:val="00367F49"/>
    <w:rsid w:val="00397C67"/>
    <w:rsid w:val="003A41E0"/>
    <w:rsid w:val="003B15CF"/>
    <w:rsid w:val="003B38A8"/>
    <w:rsid w:val="003C47B4"/>
    <w:rsid w:val="0043026A"/>
    <w:rsid w:val="004570C3"/>
    <w:rsid w:val="00464C96"/>
    <w:rsid w:val="004904BB"/>
    <w:rsid w:val="004A0FBE"/>
    <w:rsid w:val="004A4A83"/>
    <w:rsid w:val="004A514A"/>
    <w:rsid w:val="004C3A3A"/>
    <w:rsid w:val="004C4F8B"/>
    <w:rsid w:val="004C62F2"/>
    <w:rsid w:val="004E09C9"/>
    <w:rsid w:val="004E2539"/>
    <w:rsid w:val="00503321"/>
    <w:rsid w:val="005461F4"/>
    <w:rsid w:val="00571584"/>
    <w:rsid w:val="00577F32"/>
    <w:rsid w:val="00584464"/>
    <w:rsid w:val="005900D6"/>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1901"/>
    <w:rsid w:val="007430B6"/>
    <w:rsid w:val="007512F6"/>
    <w:rsid w:val="00753477"/>
    <w:rsid w:val="00760F8D"/>
    <w:rsid w:val="00784BB5"/>
    <w:rsid w:val="007937E3"/>
    <w:rsid w:val="007A25CB"/>
    <w:rsid w:val="007D1E51"/>
    <w:rsid w:val="007E37D9"/>
    <w:rsid w:val="007E7088"/>
    <w:rsid w:val="00807D2F"/>
    <w:rsid w:val="008156E7"/>
    <w:rsid w:val="00817338"/>
    <w:rsid w:val="00846B4E"/>
    <w:rsid w:val="008500B3"/>
    <w:rsid w:val="0088365E"/>
    <w:rsid w:val="00893534"/>
    <w:rsid w:val="008A41F6"/>
    <w:rsid w:val="008A4D6E"/>
    <w:rsid w:val="008B5CCB"/>
    <w:rsid w:val="008C3341"/>
    <w:rsid w:val="008F46EA"/>
    <w:rsid w:val="00902909"/>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67F0B"/>
    <w:rsid w:val="00B87A3F"/>
    <w:rsid w:val="00BC67B7"/>
    <w:rsid w:val="00BD7624"/>
    <w:rsid w:val="00C15464"/>
    <w:rsid w:val="00C25C32"/>
    <w:rsid w:val="00C42886"/>
    <w:rsid w:val="00C450FB"/>
    <w:rsid w:val="00C84427"/>
    <w:rsid w:val="00CE1C18"/>
    <w:rsid w:val="00D1344C"/>
    <w:rsid w:val="00D173E5"/>
    <w:rsid w:val="00D2634B"/>
    <w:rsid w:val="00D769CC"/>
    <w:rsid w:val="00D816BB"/>
    <w:rsid w:val="00D81961"/>
    <w:rsid w:val="00D8667E"/>
    <w:rsid w:val="00D933DF"/>
    <w:rsid w:val="00DA6167"/>
    <w:rsid w:val="00DF0653"/>
    <w:rsid w:val="00E10ABD"/>
    <w:rsid w:val="00E23736"/>
    <w:rsid w:val="00E53C11"/>
    <w:rsid w:val="00E6041B"/>
    <w:rsid w:val="00E816B4"/>
    <w:rsid w:val="00E97447"/>
    <w:rsid w:val="00EA1986"/>
    <w:rsid w:val="00EA231B"/>
    <w:rsid w:val="00EA66BF"/>
    <w:rsid w:val="00EB7E26"/>
    <w:rsid w:val="00F1749D"/>
    <w:rsid w:val="00F52F38"/>
    <w:rsid w:val="00F700EC"/>
    <w:rsid w:val="00F932CF"/>
    <w:rsid w:val="00FA70BB"/>
    <w:rsid w:val="00FE6015"/>
    <w:rsid w:val="01C63636"/>
    <w:rsid w:val="05137101"/>
    <w:rsid w:val="051F5C46"/>
    <w:rsid w:val="056A67D2"/>
    <w:rsid w:val="05832D5D"/>
    <w:rsid w:val="07121257"/>
    <w:rsid w:val="07571DAC"/>
    <w:rsid w:val="07785D23"/>
    <w:rsid w:val="077C1FE6"/>
    <w:rsid w:val="07A34FF1"/>
    <w:rsid w:val="0A094B34"/>
    <w:rsid w:val="0A484D3C"/>
    <w:rsid w:val="0ADB3713"/>
    <w:rsid w:val="0AED073F"/>
    <w:rsid w:val="0DA675E9"/>
    <w:rsid w:val="0EFD3A7A"/>
    <w:rsid w:val="0F6E05DA"/>
    <w:rsid w:val="1025513D"/>
    <w:rsid w:val="10BA777F"/>
    <w:rsid w:val="14D24A21"/>
    <w:rsid w:val="15267261"/>
    <w:rsid w:val="15740CBA"/>
    <w:rsid w:val="17D66D7C"/>
    <w:rsid w:val="1A2B7C18"/>
    <w:rsid w:val="1BAC02C4"/>
    <w:rsid w:val="1C010930"/>
    <w:rsid w:val="1E204142"/>
    <w:rsid w:val="1E94348E"/>
    <w:rsid w:val="1EFD2064"/>
    <w:rsid w:val="205E3130"/>
    <w:rsid w:val="22260642"/>
    <w:rsid w:val="222A659E"/>
    <w:rsid w:val="22DF1C79"/>
    <w:rsid w:val="244C054A"/>
    <w:rsid w:val="26562782"/>
    <w:rsid w:val="273926AF"/>
    <w:rsid w:val="28540281"/>
    <w:rsid w:val="28BE1BDB"/>
    <w:rsid w:val="29943495"/>
    <w:rsid w:val="2AB404BD"/>
    <w:rsid w:val="2B0B6C94"/>
    <w:rsid w:val="2B631DDE"/>
    <w:rsid w:val="2B7803BF"/>
    <w:rsid w:val="2CC26E52"/>
    <w:rsid w:val="2CC8218D"/>
    <w:rsid w:val="2D7C49E0"/>
    <w:rsid w:val="2F3B74D4"/>
    <w:rsid w:val="2F612455"/>
    <w:rsid w:val="3276317E"/>
    <w:rsid w:val="34764D10"/>
    <w:rsid w:val="37660EE7"/>
    <w:rsid w:val="38DC42FC"/>
    <w:rsid w:val="3938136A"/>
    <w:rsid w:val="3A683CF4"/>
    <w:rsid w:val="3B362460"/>
    <w:rsid w:val="3BEB0739"/>
    <w:rsid w:val="3C7474B8"/>
    <w:rsid w:val="3E7A1F34"/>
    <w:rsid w:val="3F3A7F96"/>
    <w:rsid w:val="404B7ECD"/>
    <w:rsid w:val="46D519EE"/>
    <w:rsid w:val="481E501E"/>
    <w:rsid w:val="48216922"/>
    <w:rsid w:val="498521CD"/>
    <w:rsid w:val="4AEE5CE8"/>
    <w:rsid w:val="4B663938"/>
    <w:rsid w:val="4B72281D"/>
    <w:rsid w:val="4C923BCF"/>
    <w:rsid w:val="4CB0409A"/>
    <w:rsid w:val="4CF51418"/>
    <w:rsid w:val="4E85483B"/>
    <w:rsid w:val="50F42524"/>
    <w:rsid w:val="526259D3"/>
    <w:rsid w:val="52E40D2E"/>
    <w:rsid w:val="52EA3436"/>
    <w:rsid w:val="56372D41"/>
    <w:rsid w:val="564E048E"/>
    <w:rsid w:val="573E59F9"/>
    <w:rsid w:val="57825F9E"/>
    <w:rsid w:val="57925AB5"/>
    <w:rsid w:val="5928116C"/>
    <w:rsid w:val="59FD132D"/>
    <w:rsid w:val="5B975BD7"/>
    <w:rsid w:val="5C076A71"/>
    <w:rsid w:val="5CAD5C72"/>
    <w:rsid w:val="5CC84E84"/>
    <w:rsid w:val="60151A18"/>
    <w:rsid w:val="64025D70"/>
    <w:rsid w:val="66BD1E34"/>
    <w:rsid w:val="67D16F6D"/>
    <w:rsid w:val="67FF779F"/>
    <w:rsid w:val="683C5CF5"/>
    <w:rsid w:val="68BA2AD4"/>
    <w:rsid w:val="68EB6672"/>
    <w:rsid w:val="6937185C"/>
    <w:rsid w:val="6B105217"/>
    <w:rsid w:val="6BC55BDA"/>
    <w:rsid w:val="6C193A6D"/>
    <w:rsid w:val="6C5806FF"/>
    <w:rsid w:val="6C6121CE"/>
    <w:rsid w:val="6F141C9E"/>
    <w:rsid w:val="6F6C3363"/>
    <w:rsid w:val="71A072F4"/>
    <w:rsid w:val="71EE3B85"/>
    <w:rsid w:val="7EFD1016"/>
    <w:rsid w:val="7F4A5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批注框文本 字符"/>
    <w:basedOn w:val="8"/>
    <w:link w:val="2"/>
    <w:semiHidden/>
    <w:qFormat/>
    <w:uiPriority w:val="99"/>
    <w:rPr>
      <w:sz w:val="18"/>
      <w:szCs w:val="18"/>
    </w:rPr>
  </w:style>
  <w:style w:type="paragraph" w:styleId="12">
    <w:name w:val="List Paragraph"/>
    <w:basedOn w:val="1"/>
    <w:qFormat/>
    <w:uiPriority w:val="34"/>
    <w:pPr>
      <w:ind w:firstLine="420" w:firstLineChars="200"/>
    </w:pPr>
  </w:style>
  <w:style w:type="table" w:customStyle="1" w:styleId="13">
    <w:name w:val="网格型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6288</Words>
  <Characters>17665</Characters>
  <Lines>145</Lines>
  <Paragraphs>40</Paragraphs>
  <TotalTime>335</TotalTime>
  <ScaleCrop>false</ScaleCrop>
  <LinksUpToDate>false</LinksUpToDate>
  <CharactersWithSpaces>19840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Tyche</cp:lastModifiedBy>
  <dcterms:modified xsi:type="dcterms:W3CDTF">2024-09-02T03:21:50Z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FC3494A9475C4E748CCCFDC426482256_13</vt:lpwstr>
  </property>
</Properties>
</file>