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7062C">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4854677A">
      <w:pPr>
        <w:spacing w:line="480" w:lineRule="auto"/>
        <w:rPr>
          <w:rFonts w:ascii="宋体" w:hAnsi="宋体"/>
          <w:color w:val="000000"/>
          <w:sz w:val="44"/>
          <w:szCs w:val="20"/>
        </w:rPr>
      </w:pPr>
    </w:p>
    <w:p w14:paraId="69129494">
      <w:pPr>
        <w:tabs>
          <w:tab w:val="left" w:pos="880"/>
        </w:tabs>
        <w:spacing w:line="480" w:lineRule="auto"/>
        <w:rPr>
          <w:rFonts w:ascii="宋体" w:hAnsi="宋体"/>
          <w:color w:val="000000"/>
          <w:sz w:val="44"/>
          <w:szCs w:val="20"/>
        </w:rPr>
      </w:pPr>
      <w:r>
        <w:rPr>
          <w:rFonts w:ascii="宋体" w:hAnsi="宋体"/>
          <w:color w:val="000000"/>
          <w:sz w:val="44"/>
          <w:szCs w:val="20"/>
        </w:rPr>
        <w:tab/>
      </w:r>
    </w:p>
    <w:p w14:paraId="08DAD9C5">
      <w:pPr>
        <w:spacing w:line="480" w:lineRule="auto"/>
        <w:rPr>
          <w:rFonts w:ascii="宋体" w:hAnsi="宋体"/>
          <w:color w:val="000000"/>
          <w:sz w:val="44"/>
          <w:szCs w:val="20"/>
        </w:rPr>
      </w:pPr>
    </w:p>
    <w:p w14:paraId="4EE1128A">
      <w:pPr>
        <w:spacing w:line="480" w:lineRule="auto"/>
        <w:jc w:val="center"/>
        <w:rPr>
          <w:rFonts w:eastAsia="黑体"/>
          <w:color w:val="000000"/>
          <w:sz w:val="44"/>
        </w:rPr>
      </w:pPr>
      <w:r>
        <w:rPr>
          <w:rFonts w:hint="eastAsia" w:eastAsia="黑体"/>
          <w:color w:val="000000"/>
          <w:sz w:val="44"/>
        </w:rPr>
        <w:t>《</w:t>
      </w:r>
      <w:r>
        <w:rPr>
          <w:rFonts w:hint="eastAsia" w:eastAsia="黑体"/>
          <w:sz w:val="44"/>
        </w:rPr>
        <w:t>公司金融</w:t>
      </w:r>
      <w:r>
        <w:rPr>
          <w:rFonts w:hint="eastAsia" w:eastAsia="黑体"/>
          <w:color w:val="000000"/>
          <w:sz w:val="44"/>
        </w:rPr>
        <w:t>》教学大纲</w:t>
      </w:r>
    </w:p>
    <w:p w14:paraId="2B9105E9">
      <w:pPr>
        <w:spacing w:line="480" w:lineRule="auto"/>
        <w:jc w:val="center"/>
        <w:rPr>
          <w:rFonts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2</w:t>
      </w:r>
      <w:r>
        <w:rPr>
          <w:rFonts w:hint="eastAsia" w:ascii="仿宋" w:hAnsi="仿宋" w:eastAsia="仿宋"/>
          <w:color w:val="000000"/>
          <w:sz w:val="28"/>
          <w:u w:val="single"/>
        </w:rPr>
        <w:t>版）</w:t>
      </w:r>
    </w:p>
    <w:p w14:paraId="759C83F3">
      <w:pPr>
        <w:spacing w:line="480" w:lineRule="auto"/>
        <w:rPr>
          <w:color w:val="000000"/>
          <w:sz w:val="32"/>
          <w:szCs w:val="20"/>
        </w:rPr>
      </w:pPr>
    </w:p>
    <w:p w14:paraId="107EE5FC">
      <w:pPr>
        <w:spacing w:line="480" w:lineRule="auto"/>
        <w:rPr>
          <w:color w:val="000000"/>
          <w:sz w:val="32"/>
          <w:szCs w:val="20"/>
        </w:rPr>
      </w:pPr>
    </w:p>
    <w:p w14:paraId="6F49ACD1">
      <w:pPr>
        <w:spacing w:line="480" w:lineRule="auto"/>
        <w:rPr>
          <w:color w:val="000000"/>
          <w:sz w:val="32"/>
          <w:szCs w:val="20"/>
        </w:rPr>
      </w:pPr>
    </w:p>
    <w:p w14:paraId="7877B792">
      <w:pPr>
        <w:spacing w:line="480" w:lineRule="auto"/>
        <w:rPr>
          <w:color w:val="000000"/>
          <w:sz w:val="32"/>
          <w:szCs w:val="20"/>
        </w:rPr>
      </w:pPr>
    </w:p>
    <w:p w14:paraId="23CA60BD">
      <w:pPr>
        <w:spacing w:line="480" w:lineRule="auto"/>
        <w:rPr>
          <w:color w:val="000000"/>
          <w:sz w:val="32"/>
          <w:szCs w:val="20"/>
        </w:rPr>
      </w:pPr>
    </w:p>
    <w:p w14:paraId="25EE0083">
      <w:pPr>
        <w:spacing w:line="480" w:lineRule="auto"/>
        <w:rPr>
          <w:color w:val="000000"/>
          <w:sz w:val="32"/>
          <w:szCs w:val="20"/>
        </w:rPr>
      </w:pPr>
    </w:p>
    <w:p w14:paraId="369670DD">
      <w:pPr>
        <w:spacing w:line="480" w:lineRule="auto"/>
        <w:rPr>
          <w:color w:val="000000"/>
          <w:sz w:val="32"/>
          <w:szCs w:val="20"/>
        </w:rPr>
      </w:pPr>
    </w:p>
    <w:p w14:paraId="4474AEDE">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0B01B67A">
        <w:tblPrEx>
          <w:tblCellMar>
            <w:top w:w="0" w:type="dxa"/>
            <w:left w:w="108" w:type="dxa"/>
            <w:bottom w:w="0" w:type="dxa"/>
            <w:right w:w="108" w:type="dxa"/>
          </w:tblCellMar>
        </w:tblPrEx>
        <w:trPr>
          <w:jc w:val="center"/>
        </w:trPr>
        <w:tc>
          <w:tcPr>
            <w:tcW w:w="2376" w:type="dxa"/>
            <w:shd w:val="clear" w:color="auto" w:fill="auto"/>
            <w:vAlign w:val="bottom"/>
          </w:tcPr>
          <w:p w14:paraId="4B6559A8">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0A2D682A">
            <w:pPr>
              <w:spacing w:line="480" w:lineRule="auto"/>
              <w:jc w:val="center"/>
              <w:rPr>
                <w:rFonts w:hint="default" w:eastAsia="宋体"/>
                <w:color w:val="000000"/>
                <w:sz w:val="28"/>
                <w:lang w:val="en-US" w:eastAsia="zh-CN"/>
              </w:rPr>
            </w:pPr>
            <w:r>
              <w:rPr>
                <w:rFonts w:hint="eastAsia"/>
                <w:color w:val="000000"/>
                <w:sz w:val="28"/>
              </w:rPr>
              <w:t>滑蕙嘉</w:t>
            </w:r>
            <w:r>
              <w:rPr>
                <w:rFonts w:hint="eastAsia"/>
                <w:color w:val="000000"/>
                <w:sz w:val="28"/>
                <w:lang w:eastAsia="zh-CN"/>
              </w:rPr>
              <w:t>、</w:t>
            </w:r>
            <w:r>
              <w:rPr>
                <w:rFonts w:hint="eastAsia"/>
                <w:color w:val="000000"/>
                <w:sz w:val="28"/>
                <w:lang w:val="en-US" w:eastAsia="zh-CN"/>
              </w:rPr>
              <w:t>杨小雪</w:t>
            </w:r>
          </w:p>
        </w:tc>
      </w:tr>
      <w:tr w14:paraId="41BD0146">
        <w:tblPrEx>
          <w:tblCellMar>
            <w:top w:w="0" w:type="dxa"/>
            <w:left w:w="108" w:type="dxa"/>
            <w:bottom w:w="0" w:type="dxa"/>
            <w:right w:w="108" w:type="dxa"/>
          </w:tblCellMar>
        </w:tblPrEx>
        <w:trPr>
          <w:jc w:val="center"/>
        </w:trPr>
        <w:tc>
          <w:tcPr>
            <w:tcW w:w="2376" w:type="dxa"/>
            <w:shd w:val="clear" w:color="auto" w:fill="auto"/>
            <w:vAlign w:val="bottom"/>
          </w:tcPr>
          <w:p w14:paraId="5BC22808">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4286A036">
            <w:pPr>
              <w:spacing w:line="480" w:lineRule="auto"/>
              <w:jc w:val="center"/>
              <w:rPr>
                <w:color w:val="000000"/>
                <w:sz w:val="28"/>
              </w:rPr>
            </w:pPr>
            <w:r>
              <w:rPr>
                <w:rFonts w:hint="eastAsia"/>
                <w:color w:val="000000"/>
                <w:sz w:val="28"/>
              </w:rPr>
              <w:t>冯晓琦</w:t>
            </w:r>
          </w:p>
        </w:tc>
      </w:tr>
    </w:tbl>
    <w:p w14:paraId="0AE6A31D">
      <w:pPr>
        <w:jc w:val="center"/>
        <w:rPr>
          <w:rFonts w:ascii="仿宋" w:hAnsi="仿宋" w:eastAsia="仿宋"/>
          <w:color w:val="000000"/>
          <w:sz w:val="28"/>
          <w:u w:val="single"/>
        </w:rPr>
      </w:pPr>
    </w:p>
    <w:p w14:paraId="4D0C4A5A">
      <w:pPr>
        <w:jc w:val="center"/>
        <w:rPr>
          <w:rFonts w:ascii="仿宋" w:hAnsi="仿宋" w:eastAsia="仿宋"/>
          <w:color w:val="000000"/>
          <w:sz w:val="28"/>
          <w:u w:val="single"/>
        </w:rPr>
      </w:pPr>
    </w:p>
    <w:p w14:paraId="6B8D4F16">
      <w:pPr>
        <w:jc w:val="center"/>
        <w:rPr>
          <w:rFonts w:eastAsia="黑体"/>
          <w:color w:val="000000"/>
          <w:sz w:val="28"/>
          <w:szCs w:val="28"/>
        </w:rPr>
      </w:pPr>
      <w:r>
        <w:rPr>
          <w:rFonts w:ascii="仿宋" w:hAnsi="仿宋" w:eastAsia="仿宋"/>
          <w:color w:val="000000"/>
          <w:sz w:val="28"/>
          <w:u w:val="single"/>
        </w:rPr>
        <w:t>20</w:t>
      </w:r>
      <w:r>
        <w:rPr>
          <w:rFonts w:hint="eastAsia" w:ascii="仿宋" w:hAnsi="仿宋" w:eastAsia="仿宋"/>
          <w:color w:val="000000"/>
          <w:sz w:val="28"/>
          <w:u w:val="single"/>
        </w:rPr>
        <w:t>24年6月制定</w:t>
      </w:r>
      <w:r>
        <w:rPr>
          <w:rFonts w:ascii="仿宋_GB2312" w:eastAsia="仿宋_GB2312"/>
          <w:b/>
          <w:bCs/>
          <w:color w:val="000000"/>
          <w:sz w:val="28"/>
          <w:szCs w:val="28"/>
        </w:rPr>
        <w:br w:type="page"/>
      </w:r>
      <w:bookmarkStart w:id="0" w:name="_Toc231228604"/>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7E44E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71FEA84">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0E74969C">
            <w:pPr>
              <w:jc w:val="center"/>
              <w:rPr>
                <w:rFonts w:ascii="仿宋" w:hAnsi="仿宋" w:eastAsia="仿宋"/>
                <w:color w:val="000000"/>
                <w:sz w:val="24"/>
              </w:rPr>
            </w:pPr>
            <w:r>
              <w:rPr>
                <w:rFonts w:ascii="仿宋" w:hAnsi="仿宋" w:eastAsia="仿宋"/>
                <w:kern w:val="0"/>
                <w:szCs w:val="21"/>
              </w:rPr>
              <w:t>160721T021</w:t>
            </w:r>
          </w:p>
        </w:tc>
        <w:tc>
          <w:tcPr>
            <w:tcW w:w="1446" w:type="dxa"/>
            <w:vAlign w:val="center"/>
          </w:tcPr>
          <w:p w14:paraId="29C28B2E">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27623981">
            <w:pPr>
              <w:jc w:val="center"/>
              <w:rPr>
                <w:rFonts w:ascii="仿宋" w:hAnsi="仿宋" w:eastAsia="仿宋"/>
                <w:color w:val="000000"/>
                <w:sz w:val="24"/>
              </w:rPr>
            </w:pPr>
            <w:r>
              <w:rPr>
                <w:rFonts w:hint="eastAsia" w:ascii="仿宋" w:hAnsi="仿宋" w:eastAsia="仿宋"/>
                <w:szCs w:val="21"/>
                <w:lang w:val="en-GB"/>
              </w:rPr>
              <w:t>工商管理学院/马克思主义学院</w:t>
            </w:r>
          </w:p>
        </w:tc>
      </w:tr>
      <w:tr w14:paraId="1881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3C0A37C">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004CAC7C">
            <w:pPr>
              <w:jc w:val="center"/>
              <w:rPr>
                <w:rFonts w:ascii="仿宋" w:hAnsi="仿宋" w:eastAsia="仿宋"/>
                <w:color w:val="000000"/>
                <w:sz w:val="24"/>
              </w:rPr>
            </w:pPr>
            <w:r>
              <w:rPr>
                <w:rFonts w:hint="eastAsia" w:ascii="仿宋" w:hAnsi="仿宋" w:eastAsia="仿宋"/>
                <w:kern w:val="0"/>
                <w:szCs w:val="21"/>
              </w:rPr>
              <w:t>公司金融</w:t>
            </w:r>
          </w:p>
        </w:tc>
      </w:tr>
      <w:tr w14:paraId="74F7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40CC97C">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399A713F">
            <w:pPr>
              <w:jc w:val="center"/>
              <w:rPr>
                <w:rFonts w:ascii="仿宋" w:hAnsi="仿宋" w:eastAsia="仿宋"/>
                <w:color w:val="000000"/>
                <w:sz w:val="24"/>
              </w:rPr>
            </w:pPr>
            <w:r>
              <w:rPr>
                <w:rFonts w:hint="eastAsia" w:ascii="仿宋" w:hAnsi="仿宋" w:eastAsia="仿宋"/>
                <w:kern w:val="0"/>
                <w:szCs w:val="21"/>
              </w:rPr>
              <w:t>CORPORATE FINANCE</w:t>
            </w:r>
          </w:p>
        </w:tc>
      </w:tr>
      <w:tr w14:paraId="791D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DD3C46D">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5023666F">
            <w:pPr>
              <w:jc w:val="left"/>
              <w:rPr>
                <w:rFonts w:ascii="仿宋" w:hAnsi="仿宋" w:eastAsia="仿宋"/>
                <w:color w:val="FF0000"/>
                <w:sz w:val="24"/>
              </w:rPr>
            </w:pPr>
            <w:r>
              <w:rPr>
                <w:rFonts w:hint="eastAsia" w:ascii="仿宋" w:hAnsi="仿宋" w:eastAsia="仿宋"/>
                <w:sz w:val="24"/>
              </w:rPr>
              <w:t>金融专业必修课</w:t>
            </w:r>
          </w:p>
        </w:tc>
      </w:tr>
      <w:tr w14:paraId="795F1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D97DB6F">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45CA34F9">
            <w:pPr>
              <w:jc w:val="center"/>
              <w:rPr>
                <w:rFonts w:ascii="仿宋" w:hAnsi="仿宋" w:eastAsia="仿宋"/>
                <w:color w:val="0070C0"/>
                <w:sz w:val="24"/>
              </w:rPr>
            </w:pPr>
            <w:r>
              <w:rPr>
                <w:rFonts w:hint="eastAsia" w:ascii="仿宋" w:hAnsi="仿宋" w:eastAsia="仿宋"/>
                <w:kern w:val="0"/>
                <w:szCs w:val="21"/>
                <w:lang w:val="en-GB"/>
              </w:rPr>
              <w:t>金融专业、经济专业</w:t>
            </w:r>
          </w:p>
        </w:tc>
      </w:tr>
      <w:tr w14:paraId="7A135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F8901B6">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56137E74">
            <w:pPr>
              <w:jc w:val="center"/>
              <w:rPr>
                <w:rFonts w:ascii="仿宋" w:hAnsi="仿宋" w:eastAsia="仿宋"/>
                <w:color w:val="000000"/>
                <w:sz w:val="24"/>
              </w:rPr>
            </w:pPr>
            <w:r>
              <w:rPr>
                <w:rFonts w:hint="eastAsia" w:ascii="仿宋" w:hAnsi="仿宋" w:eastAsia="仿宋"/>
                <w:color w:val="000000"/>
                <w:sz w:val="24"/>
              </w:rPr>
              <w:t>48</w:t>
            </w:r>
          </w:p>
        </w:tc>
        <w:tc>
          <w:tcPr>
            <w:tcW w:w="1693" w:type="dxa"/>
            <w:gridSpan w:val="2"/>
            <w:vAlign w:val="center"/>
          </w:tcPr>
          <w:p w14:paraId="44E71217">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6FADD00C">
            <w:pPr>
              <w:jc w:val="center"/>
              <w:rPr>
                <w:rFonts w:ascii="仿宋" w:hAnsi="仿宋" w:eastAsia="仿宋"/>
                <w:color w:val="000000"/>
                <w:sz w:val="24"/>
              </w:rPr>
            </w:pPr>
            <w:r>
              <w:rPr>
                <w:rFonts w:hint="eastAsia" w:ascii="仿宋" w:hAnsi="仿宋" w:eastAsia="仿宋"/>
                <w:color w:val="000000"/>
                <w:sz w:val="24"/>
              </w:rPr>
              <w:t>48</w:t>
            </w:r>
          </w:p>
        </w:tc>
      </w:tr>
      <w:tr w14:paraId="0876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334B919">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28ADCA07">
            <w:pPr>
              <w:jc w:val="center"/>
              <w:rPr>
                <w:rFonts w:ascii="仿宋" w:hAnsi="仿宋" w:eastAsia="仿宋"/>
                <w:color w:val="000000"/>
                <w:sz w:val="24"/>
              </w:rPr>
            </w:pPr>
            <w:r>
              <w:rPr>
                <w:rFonts w:hint="eastAsia" w:ascii="仿宋" w:hAnsi="仿宋" w:eastAsia="仿宋"/>
                <w:color w:val="000000"/>
                <w:sz w:val="24"/>
              </w:rPr>
              <w:t>48</w:t>
            </w:r>
          </w:p>
        </w:tc>
        <w:tc>
          <w:tcPr>
            <w:tcW w:w="1693" w:type="dxa"/>
            <w:gridSpan w:val="2"/>
            <w:vAlign w:val="center"/>
          </w:tcPr>
          <w:p w14:paraId="2E2C2F22">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7018F4DB">
            <w:pPr>
              <w:jc w:val="center"/>
              <w:rPr>
                <w:rFonts w:ascii="仿宋" w:hAnsi="仿宋" w:eastAsia="仿宋"/>
                <w:color w:val="000000"/>
                <w:sz w:val="24"/>
              </w:rPr>
            </w:pPr>
            <w:r>
              <w:rPr>
                <w:rFonts w:hint="eastAsia" w:ascii="仿宋" w:hAnsi="仿宋" w:eastAsia="仿宋"/>
                <w:color w:val="000000"/>
                <w:sz w:val="24"/>
              </w:rPr>
              <w:t>0</w:t>
            </w:r>
          </w:p>
        </w:tc>
      </w:tr>
      <w:tr w14:paraId="6145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EE7A12F">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571F515A">
            <w:pPr>
              <w:jc w:val="center"/>
              <w:rPr>
                <w:rFonts w:ascii="仿宋" w:hAnsi="仿宋" w:eastAsia="仿宋"/>
                <w:color w:val="000000"/>
                <w:sz w:val="24"/>
              </w:rPr>
            </w:pPr>
            <w:r>
              <w:rPr>
                <w:rFonts w:hint="eastAsia" w:ascii="仿宋" w:hAnsi="仿宋" w:eastAsia="仿宋"/>
                <w:color w:val="000000"/>
                <w:sz w:val="24"/>
              </w:rPr>
              <w:t>0</w:t>
            </w:r>
          </w:p>
        </w:tc>
        <w:tc>
          <w:tcPr>
            <w:tcW w:w="1693" w:type="dxa"/>
            <w:gridSpan w:val="2"/>
            <w:vAlign w:val="center"/>
          </w:tcPr>
          <w:p w14:paraId="6780DC42">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558EC5C3">
            <w:pPr>
              <w:jc w:val="center"/>
              <w:rPr>
                <w:rFonts w:ascii="仿宋" w:hAnsi="仿宋" w:eastAsia="仿宋"/>
                <w:color w:val="000000"/>
                <w:sz w:val="24"/>
              </w:rPr>
            </w:pPr>
            <w:r>
              <w:rPr>
                <w:rFonts w:hint="eastAsia" w:ascii="仿宋" w:hAnsi="仿宋" w:eastAsia="仿宋"/>
                <w:color w:val="000000"/>
                <w:sz w:val="24"/>
              </w:rPr>
              <w:t>0</w:t>
            </w:r>
          </w:p>
        </w:tc>
      </w:tr>
      <w:tr w14:paraId="4319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ABE7830">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0815B051">
            <w:pPr>
              <w:jc w:val="center"/>
              <w:rPr>
                <w:rFonts w:ascii="仿宋" w:hAnsi="仿宋" w:eastAsia="仿宋"/>
                <w:color w:val="000000"/>
                <w:sz w:val="24"/>
              </w:rPr>
            </w:pPr>
            <w:r>
              <w:rPr>
                <w:rFonts w:hint="eastAsia" w:ascii="仿宋" w:hAnsi="仿宋" w:eastAsia="仿宋"/>
                <w:color w:val="000000"/>
                <w:sz w:val="24"/>
              </w:rPr>
              <w:t>宏微观经济学、金融市场学、投资学</w:t>
            </w:r>
          </w:p>
        </w:tc>
      </w:tr>
    </w:tbl>
    <w:p w14:paraId="5132239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0B8C6746">
      <w:pPr>
        <w:snapToGrid w:val="0"/>
        <w:spacing w:line="360" w:lineRule="auto"/>
        <w:ind w:firstLine="480" w:firstLineChars="200"/>
        <w:rPr>
          <w:rFonts w:ascii="仿宋" w:hAnsi="仿宋" w:eastAsia="仿宋"/>
          <w:color w:val="0070C0"/>
          <w:sz w:val="24"/>
        </w:rPr>
      </w:pPr>
      <w:r>
        <w:rPr>
          <w:rFonts w:hint="eastAsia" w:ascii="仿宋" w:hAnsi="仿宋" w:eastAsia="仿宋"/>
          <w:sz w:val="24"/>
        </w:rPr>
        <w:t>公司金融作为金融学核心课程之一，是一门理论与实践紧密结合的必修课程，强调金融理论在公司层面的应用，探讨公司的投资决策、融资决策以及分配决策的内在逻辑和目标，掌握公司主体进行金融活动的基本框架和决策方法。主要涉及公司财务分析、股票债券估值、企业价值评估、资本结构和公司治理等领域，使用EXCEL和金融计算器等工具实现课程教学中涉及的计算与模型。本课程与金融学、投资学、财务报表分析、金融建模、金融衍生品和公司并购与重组等课程有着密切的内在联系，并对备考特许金融分析师考试（CFA）、注册会计师执业资格考试（CPA）等资格证书有一定的帮助。通过本课程的学习，领会公司金融的思维方式，扎实掌握相关基本理论和方法，能够利用分析工具，处理常规的公司金融决策问题，具备对现实公司金融行为和财务现象进行分析的能力。引导学生遵守宪法、法律法规和职业道德,培养正确的价值观与人生观。</w:t>
      </w:r>
    </w:p>
    <w:p w14:paraId="24628ED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740FBB74">
      <w:pPr>
        <w:snapToGrid w:val="0"/>
        <w:spacing w:line="360" w:lineRule="auto"/>
        <w:ind w:firstLine="480" w:firstLineChars="200"/>
        <w:rPr>
          <w:rFonts w:ascii="仿宋" w:hAnsi="仿宋" w:eastAsia="仿宋"/>
          <w:sz w:val="24"/>
        </w:rPr>
      </w:pPr>
    </w:p>
    <w:p w14:paraId="1A97450F">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384103ED">
      <w:pPr>
        <w:spacing w:line="360" w:lineRule="auto"/>
        <w:ind w:firstLine="482" w:firstLineChars="200"/>
        <w:rPr>
          <w:rFonts w:ascii="仿宋" w:hAnsi="仿宋" w:eastAsia="仿宋"/>
          <w:bCs/>
          <w:color w:val="0070C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r>
        <w:rPr>
          <w:rFonts w:hint="eastAsia" w:ascii="仿宋" w:hAnsi="仿宋" w:eastAsia="仿宋"/>
          <w:bCs/>
          <w:color w:val="000000"/>
          <w:sz w:val="24"/>
        </w:rPr>
        <w:t>能够从具体企业的财务管理出发，了解公司理财学的前沿问题，窥见企业的资本预算、风险管理、融资方式，以及核心管理层的价值取向、奋斗目标、实现路径等，帮助学生通过分析企业来树立个人正确的投资观、价值观、世界观和人生观。通过财务造假等案例讲解与课程报告的撰写，培养学生的合作能力，引导学生注重职业道德的养成与坚守。</w:t>
      </w:r>
    </w:p>
    <w:p w14:paraId="31406CC5">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w:t>
      </w:r>
    </w:p>
    <w:p w14:paraId="0F999AF6">
      <w:pPr>
        <w:spacing w:line="360" w:lineRule="auto"/>
        <w:ind w:firstLine="480" w:firstLineChars="200"/>
        <w:rPr>
          <w:rFonts w:ascii="仿宋" w:hAnsi="仿宋" w:eastAsia="仿宋"/>
          <w:bCs/>
          <w:color w:val="000000"/>
          <w:sz w:val="24"/>
        </w:rPr>
      </w:pPr>
      <w:r>
        <w:rPr>
          <w:rFonts w:hint="eastAsia" w:ascii="仿宋" w:hAnsi="仿宋" w:eastAsia="仿宋"/>
          <w:bCs/>
          <w:color w:val="000000"/>
          <w:sz w:val="24"/>
        </w:rPr>
        <w:t>通过课程学习，扎实掌握公司金融里的基本理论与方法，包括货币时间价值理论、资产定价模型、财务报表分析方法、股票债券估值方法、资本结构理论、股利政策理论等等。通过理论与方法的结合运用，形成公司金融的思考框架，具备一定的金融分析能力和决策管理能力。借助于本课程的学习，学生可以从投资、融资、营运能力等分析角度判断企业在未来复杂多变的环境中生存并发展的路径。</w:t>
      </w:r>
    </w:p>
    <w:p w14:paraId="12DA773B">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14:paraId="621CDE2F">
      <w:pPr>
        <w:snapToGrid w:val="0"/>
        <w:spacing w:line="360" w:lineRule="auto"/>
        <w:ind w:firstLine="480" w:firstLineChars="200"/>
        <w:rPr>
          <w:rFonts w:ascii="仿宋" w:hAnsi="仿宋" w:eastAsia="仿宋"/>
          <w:sz w:val="24"/>
        </w:rPr>
      </w:pPr>
      <w:r>
        <w:rPr>
          <w:rFonts w:hint="eastAsia" w:ascii="仿宋" w:hAnsi="仿宋" w:eastAsia="仿宋"/>
          <w:sz w:val="24"/>
        </w:rPr>
        <w:t>具备运用计算工具解决金融问题的实操能力，包括运用EXCEL进行投资、估值、财务分析与预测的能力；培养学生企业分析思维、激发学生兴趣，掌握观察和分析公司理财问题的正确方法和解决实际问题的能力，为进一步学习金融学其他专业课程打下坚实的基础，并且结合CPA\CFA考点，助力学生考取金融专业证书。</w:t>
      </w:r>
    </w:p>
    <w:p w14:paraId="0884A36B">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14:paraId="65C2BDEA">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637DFA63">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72FBA2D8">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3AA3347A">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2220F77A">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03212185">
        <w:tblPrEx>
          <w:tblCellMar>
            <w:top w:w="0" w:type="dxa"/>
            <w:left w:w="108" w:type="dxa"/>
            <w:bottom w:w="0" w:type="dxa"/>
            <w:right w:w="108" w:type="dxa"/>
          </w:tblCellMar>
        </w:tblPrEx>
        <w:trPr>
          <w:trHeight w:val="90" w:hRule="atLeast"/>
          <w:jc w:val="center"/>
        </w:trPr>
        <w:tc>
          <w:tcPr>
            <w:tcW w:w="1477" w:type="pct"/>
            <w:tcBorders>
              <w:top w:val="single" w:color="auto" w:sz="4" w:space="0"/>
              <w:left w:val="single" w:color="auto" w:sz="4" w:space="0"/>
              <w:bottom w:val="single" w:color="auto" w:sz="4" w:space="0"/>
              <w:right w:val="single" w:color="auto" w:sz="4" w:space="0"/>
            </w:tcBorders>
          </w:tcPr>
          <w:p w14:paraId="7AFC957E">
            <w:pPr>
              <w:spacing w:line="276" w:lineRule="auto"/>
              <w:rPr>
                <w:rFonts w:ascii="仿宋" w:hAnsi="仿宋" w:eastAsia="仿宋"/>
                <w:color w:val="0070C0"/>
                <w:kern w:val="0"/>
                <w:sz w:val="24"/>
              </w:rPr>
            </w:pPr>
            <w:r>
              <w:rPr>
                <w:rFonts w:hint="eastAsia" w:ascii="仿宋" w:hAnsi="仿宋" w:eastAsia="仿宋"/>
                <w:b/>
                <w:bCs/>
                <w:sz w:val="24"/>
              </w:rPr>
              <w:t>毕业要求1：</w:t>
            </w:r>
            <w:r>
              <w:rPr>
                <w:rFonts w:hint="eastAsia" w:ascii="仿宋" w:hAnsi="仿宋" w:eastAsia="仿宋"/>
                <w:sz w:val="24"/>
              </w:rPr>
              <w:t>对于金融专业，能够基于金融相关背景知识进行合理分析，运用金融专业知识解决管理、科技、法律、能源、人文等领域的社会相关问题。对于经济专业，构建多学科跨专业的知识结构，了解金融学、生态环境科学和计算机等方面的基础理论方法。</w:t>
            </w:r>
          </w:p>
        </w:tc>
        <w:tc>
          <w:tcPr>
            <w:tcW w:w="1413" w:type="pct"/>
            <w:tcBorders>
              <w:top w:val="single" w:color="auto" w:sz="4" w:space="0"/>
              <w:left w:val="nil"/>
              <w:bottom w:val="single" w:color="auto" w:sz="4" w:space="0"/>
              <w:right w:val="single" w:color="auto" w:sz="4" w:space="0"/>
            </w:tcBorders>
          </w:tcPr>
          <w:p w14:paraId="46FFFAA9">
            <w:pPr>
              <w:spacing w:line="276" w:lineRule="auto"/>
              <w:rPr>
                <w:rFonts w:ascii="仿宋" w:hAnsi="仿宋" w:eastAsia="仿宋"/>
                <w:sz w:val="24"/>
              </w:rPr>
            </w:pPr>
            <w:r>
              <w:rPr>
                <w:rFonts w:ascii="仿宋" w:hAnsi="仿宋" w:eastAsia="仿宋"/>
                <w:b/>
                <w:bCs/>
                <w:sz w:val="24"/>
              </w:rPr>
              <w:t>观测点1</w:t>
            </w:r>
            <w:r>
              <w:rPr>
                <w:rFonts w:hint="eastAsia" w:ascii="仿宋" w:hAnsi="仿宋" w:eastAsia="仿宋"/>
                <w:b/>
                <w:bCs/>
                <w:sz w:val="24"/>
              </w:rPr>
              <w:t>：</w:t>
            </w:r>
            <w:r>
              <w:rPr>
                <w:rFonts w:hint="eastAsia" w:ascii="仿宋" w:hAnsi="仿宋" w:eastAsia="仿宋"/>
                <w:sz w:val="24"/>
              </w:rPr>
              <w:t>能够将公司金融课程知识运用于个人投融资等实务中，同时能够运用公司金融知识解决企业投融资决策问题与企业估值问题；</w:t>
            </w:r>
          </w:p>
          <w:p w14:paraId="653FF0D8">
            <w:pPr>
              <w:spacing w:line="276" w:lineRule="auto"/>
              <w:rPr>
                <w:rFonts w:ascii="仿宋" w:hAnsi="仿宋" w:eastAsia="仿宋"/>
                <w:sz w:val="24"/>
              </w:rPr>
            </w:pPr>
          </w:p>
        </w:tc>
        <w:tc>
          <w:tcPr>
            <w:tcW w:w="1249" w:type="pct"/>
            <w:tcBorders>
              <w:top w:val="single" w:color="auto" w:sz="4" w:space="0"/>
              <w:left w:val="nil"/>
              <w:bottom w:val="single" w:color="auto" w:sz="4" w:space="0"/>
              <w:right w:val="single" w:color="auto" w:sz="4" w:space="0"/>
            </w:tcBorders>
            <w:vAlign w:val="center"/>
          </w:tcPr>
          <w:p w14:paraId="61078B4C">
            <w:pPr>
              <w:spacing w:line="276" w:lineRule="auto"/>
              <w:rPr>
                <w:rFonts w:ascii="仿宋" w:hAnsi="仿宋" w:eastAsia="仿宋"/>
                <w:color w:val="000000"/>
                <w:sz w:val="24"/>
              </w:rPr>
            </w:pPr>
            <w:r>
              <w:rPr>
                <w:rFonts w:hint="eastAsia" w:ascii="仿宋" w:hAnsi="仿宋" w:eastAsia="仿宋"/>
                <w:color w:val="000000"/>
                <w:kern w:val="0"/>
                <w:sz w:val="24"/>
              </w:rPr>
              <w:t>课程目标2</w:t>
            </w:r>
          </w:p>
        </w:tc>
        <w:tc>
          <w:tcPr>
            <w:tcW w:w="860" w:type="pct"/>
            <w:tcBorders>
              <w:top w:val="single" w:color="auto" w:sz="4" w:space="0"/>
              <w:left w:val="nil"/>
              <w:bottom w:val="single" w:color="auto" w:sz="4" w:space="0"/>
              <w:right w:val="single" w:color="auto" w:sz="4" w:space="0"/>
            </w:tcBorders>
            <w:vAlign w:val="center"/>
          </w:tcPr>
          <w:p w14:paraId="04415028">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H</w:t>
            </w:r>
          </w:p>
          <w:p w14:paraId="58ACD064">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M</w:t>
            </w:r>
          </w:p>
          <w:p w14:paraId="36234BD6">
            <w:pPr>
              <w:spacing w:line="276" w:lineRule="auto"/>
              <w:ind w:firstLine="240" w:firstLineChars="100"/>
              <w:rPr>
                <w:rFonts w:ascii="仿宋" w:hAnsi="仿宋" w:eastAsia="仿宋"/>
                <w:color w:val="000000"/>
                <w:sz w:val="24"/>
              </w:rPr>
            </w:pPr>
            <w:r>
              <w:rPr>
                <w:rFonts w:hint="eastAsia" w:ascii="仿宋" w:hAnsi="仿宋" w:eastAsia="仿宋"/>
                <w:color w:val="000000" w:themeColor="text1"/>
                <w:sz w:val="24"/>
                <w14:textFill>
                  <w14:solidFill>
                    <w14:schemeClr w14:val="tx1"/>
                  </w14:solidFill>
                </w14:textFill>
              </w:rPr>
              <w:t>□ L</w:t>
            </w:r>
          </w:p>
        </w:tc>
      </w:tr>
      <w:tr w14:paraId="11540853">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290F9773">
            <w:pPr>
              <w:spacing w:line="276" w:lineRule="auto"/>
              <w:rPr>
                <w:rFonts w:ascii="仿宋" w:hAnsi="仿宋" w:eastAsia="仿宋"/>
                <w:sz w:val="24"/>
              </w:rPr>
            </w:pPr>
            <w:r>
              <w:rPr>
                <w:rFonts w:hint="eastAsia" w:ascii="仿宋" w:hAnsi="仿宋" w:eastAsia="仿宋"/>
                <w:b/>
                <w:bCs/>
                <w:color w:val="000000"/>
                <w:kern w:val="0"/>
                <w:sz w:val="24"/>
              </w:rPr>
              <w:t>毕业要求2：</w:t>
            </w:r>
            <w:r>
              <w:rPr>
                <w:rFonts w:hint="eastAsia" w:ascii="仿宋" w:hAnsi="仿宋" w:eastAsia="仿宋"/>
                <w:sz w:val="24"/>
              </w:rPr>
              <w:t>具有人文社会科学素养和社会责任感，具有健康的体魄和心理素质，能够在金融实践中理解并遵守职业道德和规范，履行责任。</w:t>
            </w:r>
          </w:p>
          <w:p w14:paraId="5631F018">
            <w:pPr>
              <w:widowControl/>
              <w:spacing w:line="276" w:lineRule="auto"/>
              <w:jc w:val="center"/>
              <w:rPr>
                <w:rFonts w:ascii="仿宋" w:hAnsi="仿宋" w:eastAsia="仿宋"/>
                <w:b/>
                <w:bCs/>
                <w:color w:val="000000"/>
                <w:kern w:val="0"/>
                <w:sz w:val="24"/>
              </w:rPr>
            </w:pPr>
          </w:p>
        </w:tc>
        <w:tc>
          <w:tcPr>
            <w:tcW w:w="1413" w:type="pct"/>
            <w:tcBorders>
              <w:top w:val="single" w:color="auto" w:sz="4" w:space="0"/>
              <w:left w:val="nil"/>
              <w:bottom w:val="single" w:color="auto" w:sz="4" w:space="0"/>
              <w:right w:val="single" w:color="auto" w:sz="4" w:space="0"/>
            </w:tcBorders>
            <w:vAlign w:val="center"/>
          </w:tcPr>
          <w:p w14:paraId="54D4A6FA">
            <w:pPr>
              <w:spacing w:line="276" w:lineRule="auto"/>
              <w:rPr>
                <w:rFonts w:ascii="仿宋" w:hAnsi="仿宋" w:eastAsia="仿宋"/>
                <w:color w:val="000000"/>
                <w:sz w:val="24"/>
              </w:rPr>
            </w:pPr>
            <w:r>
              <w:rPr>
                <w:rFonts w:hint="eastAsia" w:ascii="仿宋" w:hAnsi="仿宋" w:eastAsia="仿宋"/>
                <w:b/>
                <w:bCs/>
                <w:color w:val="000000"/>
                <w:sz w:val="24"/>
              </w:rPr>
              <w:t>观测点1：</w:t>
            </w:r>
            <w:r>
              <w:rPr>
                <w:rFonts w:hint="eastAsia" w:ascii="仿宋" w:hAnsi="仿宋" w:eastAsia="仿宋"/>
                <w:color w:val="000000"/>
                <w:sz w:val="24"/>
              </w:rPr>
              <w:t>培养正确的世界观、人生观、</w:t>
            </w:r>
          </w:p>
          <w:p w14:paraId="7D16B1FD">
            <w:pPr>
              <w:spacing w:line="276" w:lineRule="auto"/>
              <w:rPr>
                <w:rFonts w:ascii="仿宋" w:hAnsi="仿宋" w:eastAsia="仿宋"/>
                <w:color w:val="000000"/>
                <w:sz w:val="24"/>
              </w:rPr>
            </w:pPr>
            <w:r>
              <w:rPr>
                <w:rFonts w:hint="eastAsia" w:ascii="仿宋" w:hAnsi="仿宋" w:eastAsia="仿宋"/>
                <w:color w:val="000000"/>
                <w:sz w:val="24"/>
              </w:rPr>
              <w:t>价值观，形成高尚的道德情操，梳理体现中华民族传统和时代精神的价值标准和行为规范。其中通过本课程学习引导学生注重职业操守，学习财务造假案例，了解造假造成的社会损失和不良后果；</w:t>
            </w:r>
          </w:p>
          <w:p w14:paraId="6AB729B3">
            <w:pPr>
              <w:spacing w:line="276" w:lineRule="auto"/>
              <w:rPr>
                <w:rFonts w:ascii="仿宋" w:hAnsi="仿宋" w:eastAsia="仿宋"/>
                <w:sz w:val="24"/>
              </w:rPr>
            </w:pPr>
            <w:r>
              <w:rPr>
                <w:rFonts w:ascii="仿宋" w:hAnsi="仿宋" w:eastAsia="仿宋"/>
                <w:b/>
                <w:bCs/>
                <w:sz w:val="24"/>
              </w:rPr>
              <w:t>观测点</w:t>
            </w:r>
            <w:r>
              <w:rPr>
                <w:rFonts w:hint="eastAsia" w:ascii="仿宋" w:hAnsi="仿宋" w:eastAsia="仿宋"/>
                <w:b/>
                <w:bCs/>
                <w:sz w:val="24"/>
              </w:rPr>
              <w:t>2：</w:t>
            </w:r>
            <w:r>
              <w:rPr>
                <w:rFonts w:hint="eastAsia" w:ascii="仿宋" w:hAnsi="仿宋" w:eastAsia="仿宋"/>
                <w:sz w:val="24"/>
              </w:rPr>
              <w:t>理解恪守信用、公平竞争和以</w:t>
            </w:r>
          </w:p>
          <w:p w14:paraId="0FC79C5C">
            <w:pPr>
              <w:spacing w:line="276" w:lineRule="auto"/>
              <w:rPr>
                <w:rFonts w:ascii="仿宋" w:hAnsi="仿宋" w:eastAsia="仿宋"/>
                <w:b/>
                <w:bCs/>
                <w:color w:val="000000"/>
                <w:sz w:val="24"/>
              </w:rPr>
            </w:pPr>
            <w:r>
              <w:rPr>
                <w:rFonts w:hint="eastAsia" w:ascii="仿宋" w:hAnsi="仿宋" w:eastAsia="仿宋"/>
                <w:sz w:val="24"/>
              </w:rPr>
              <w:t>义谋利的职业道德规范，并能够自觉遵守。</w:t>
            </w:r>
          </w:p>
        </w:tc>
        <w:tc>
          <w:tcPr>
            <w:tcW w:w="1249" w:type="pct"/>
            <w:tcBorders>
              <w:top w:val="single" w:color="auto" w:sz="4" w:space="0"/>
              <w:left w:val="nil"/>
              <w:bottom w:val="single" w:color="auto" w:sz="4" w:space="0"/>
              <w:right w:val="single" w:color="auto" w:sz="4" w:space="0"/>
            </w:tcBorders>
            <w:vAlign w:val="center"/>
          </w:tcPr>
          <w:p w14:paraId="77C63136">
            <w:pPr>
              <w:spacing w:line="276" w:lineRule="auto"/>
              <w:rPr>
                <w:rFonts w:ascii="仿宋" w:hAnsi="仿宋" w:eastAsia="仿宋"/>
                <w:color w:val="00000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tcPr>
          <w:p w14:paraId="65AB8655">
            <w:pPr>
              <w:spacing w:line="276" w:lineRule="auto"/>
              <w:rPr>
                <w:rFonts w:ascii="仿宋" w:hAnsi="仿宋" w:eastAsia="仿宋"/>
                <w:color w:val="000000"/>
                <w:sz w:val="24"/>
              </w:rPr>
            </w:pPr>
          </w:p>
          <w:p w14:paraId="101AE3E9">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H</w:t>
            </w:r>
          </w:p>
          <w:p w14:paraId="72A625FA">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M</w:t>
            </w:r>
          </w:p>
          <w:p w14:paraId="335FC9D4">
            <w:pPr>
              <w:spacing w:line="276" w:lineRule="auto"/>
              <w:ind w:firstLine="240" w:firstLineChars="100"/>
              <w:rPr>
                <w:rFonts w:ascii="仿宋" w:hAnsi="仿宋" w:eastAsia="仿宋"/>
                <w:color w:val="000000"/>
                <w:sz w:val="24"/>
              </w:rPr>
            </w:pPr>
            <w:r>
              <w:rPr>
                <w:rFonts w:hint="eastAsia" w:ascii="仿宋" w:hAnsi="仿宋" w:eastAsia="仿宋"/>
                <w:color w:val="000000" w:themeColor="text1"/>
                <w:sz w:val="24"/>
                <w14:textFill>
                  <w14:solidFill>
                    <w14:schemeClr w14:val="tx1"/>
                  </w14:solidFill>
                </w14:textFill>
              </w:rPr>
              <w:t>□ L</w:t>
            </w:r>
          </w:p>
          <w:p w14:paraId="68AB5E78">
            <w:pPr>
              <w:spacing w:line="276" w:lineRule="auto"/>
              <w:ind w:left="676"/>
              <w:rPr>
                <w:rFonts w:ascii="仿宋" w:hAnsi="仿宋" w:eastAsia="仿宋"/>
                <w:color w:val="000000"/>
                <w:sz w:val="24"/>
              </w:rPr>
            </w:pPr>
          </w:p>
        </w:tc>
      </w:tr>
      <w:tr w14:paraId="6C4F42A9">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5FD00CC0">
            <w:pPr>
              <w:widowControl/>
              <w:spacing w:line="276" w:lineRule="auto"/>
              <w:jc w:val="center"/>
              <w:rPr>
                <w:rFonts w:ascii="仿宋" w:hAnsi="仿宋" w:eastAsia="仿宋"/>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r>
              <w:rPr>
                <w:rFonts w:hint="eastAsia" w:ascii="仿宋" w:hAnsi="仿宋" w:eastAsia="仿宋"/>
                <w:color w:val="000000"/>
                <w:kern w:val="0"/>
                <w:sz w:val="24"/>
              </w:rPr>
              <w:t>能够就金融领域内的相关问题与业界同行及社会公众进行有效沟通和交流，包括理解和撰写研报、有效陈述观点、清晰反馈意见与建议；具备国际视野，能够进行跨文化背景的沟通和交流。</w:t>
            </w:r>
          </w:p>
        </w:tc>
        <w:tc>
          <w:tcPr>
            <w:tcW w:w="1413" w:type="pct"/>
            <w:tcBorders>
              <w:top w:val="single" w:color="auto" w:sz="4" w:space="0"/>
              <w:left w:val="nil"/>
              <w:bottom w:val="single" w:color="auto" w:sz="4" w:space="0"/>
              <w:right w:val="single" w:color="auto" w:sz="4" w:space="0"/>
            </w:tcBorders>
            <w:vAlign w:val="center"/>
          </w:tcPr>
          <w:p w14:paraId="4B860F38">
            <w:pPr>
              <w:spacing w:line="276" w:lineRule="auto"/>
              <w:rPr>
                <w:rFonts w:ascii="仿宋" w:hAnsi="仿宋" w:eastAsia="仿宋"/>
                <w:color w:val="000000"/>
                <w:sz w:val="24"/>
              </w:rPr>
            </w:pPr>
            <w:r>
              <w:rPr>
                <w:rFonts w:hint="eastAsia" w:ascii="仿宋" w:hAnsi="仿宋" w:eastAsia="仿宋"/>
                <w:b/>
                <w:bCs/>
                <w:color w:val="000000"/>
                <w:sz w:val="24"/>
              </w:rPr>
              <w:t>观测点1：</w:t>
            </w:r>
            <w:r>
              <w:rPr>
                <w:rFonts w:hint="eastAsia" w:ascii="仿宋" w:hAnsi="仿宋" w:eastAsia="仿宋"/>
                <w:color w:val="000000"/>
                <w:sz w:val="24"/>
              </w:rPr>
              <w:t>锻炼学生小组合作能力，使学生具备口头沟通和书面的方式沟通表达专业问题；</w:t>
            </w:r>
          </w:p>
          <w:p w14:paraId="7102BFA4">
            <w:pPr>
              <w:spacing w:line="276" w:lineRule="auto"/>
              <w:rPr>
                <w:rFonts w:ascii="仿宋" w:hAnsi="仿宋" w:eastAsia="仿宋"/>
                <w:b/>
                <w:bCs/>
                <w:color w:val="000000"/>
                <w:sz w:val="24"/>
              </w:rPr>
            </w:pPr>
            <w:r>
              <w:rPr>
                <w:rFonts w:hint="eastAsia" w:ascii="仿宋" w:hAnsi="仿宋" w:eastAsia="仿宋"/>
                <w:b/>
                <w:bCs/>
                <w:color w:val="000000"/>
                <w:sz w:val="24"/>
              </w:rPr>
              <w:t>观测点2</w:t>
            </w:r>
            <w:r>
              <w:rPr>
                <w:rFonts w:hint="eastAsia" w:ascii="仿宋" w:hAnsi="仿宋" w:eastAsia="仿宋"/>
                <w:color w:val="000000"/>
                <w:sz w:val="24"/>
              </w:rPr>
              <w:t>：具备一定研报撰写能力。</w:t>
            </w:r>
          </w:p>
        </w:tc>
        <w:tc>
          <w:tcPr>
            <w:tcW w:w="1249" w:type="pct"/>
            <w:tcBorders>
              <w:top w:val="single" w:color="auto" w:sz="4" w:space="0"/>
              <w:left w:val="nil"/>
              <w:bottom w:val="single" w:color="auto" w:sz="4" w:space="0"/>
              <w:right w:val="single" w:color="auto" w:sz="4" w:space="0"/>
            </w:tcBorders>
            <w:vAlign w:val="center"/>
          </w:tcPr>
          <w:p w14:paraId="117EF0CA">
            <w:pPr>
              <w:spacing w:line="276" w:lineRule="auto"/>
              <w:rPr>
                <w:rFonts w:ascii="仿宋" w:hAnsi="仿宋" w:eastAsia="仿宋"/>
                <w:color w:val="000000"/>
                <w:kern w:val="0"/>
                <w:sz w:val="24"/>
              </w:rPr>
            </w:pPr>
            <w:r>
              <w:rPr>
                <w:rFonts w:hint="eastAsia" w:ascii="仿宋" w:hAnsi="仿宋" w:eastAsia="仿宋"/>
                <w:color w:val="000000"/>
                <w:kern w:val="0"/>
                <w:sz w:val="24"/>
              </w:rPr>
              <w:t>课程目标2、3</w:t>
            </w:r>
          </w:p>
        </w:tc>
        <w:tc>
          <w:tcPr>
            <w:tcW w:w="860" w:type="pct"/>
            <w:tcBorders>
              <w:top w:val="single" w:color="auto" w:sz="4" w:space="0"/>
              <w:left w:val="nil"/>
              <w:bottom w:val="single" w:color="auto" w:sz="4" w:space="0"/>
              <w:right w:val="single" w:color="auto" w:sz="4" w:space="0"/>
            </w:tcBorders>
          </w:tcPr>
          <w:p w14:paraId="3F2AC28F">
            <w:pPr>
              <w:spacing w:line="276" w:lineRule="auto"/>
              <w:ind w:left="676"/>
              <w:rPr>
                <w:rFonts w:ascii="仿宋" w:hAnsi="仿宋" w:eastAsia="仿宋"/>
                <w:color w:val="000000"/>
                <w:sz w:val="24"/>
              </w:rPr>
            </w:pPr>
          </w:p>
          <w:p w14:paraId="73C1A1E4">
            <w:pPr>
              <w:spacing w:line="276" w:lineRule="auto"/>
              <w:ind w:left="676"/>
              <w:rPr>
                <w:rFonts w:ascii="仿宋" w:hAnsi="仿宋" w:eastAsia="仿宋"/>
                <w:color w:val="000000"/>
                <w:sz w:val="24"/>
              </w:rPr>
            </w:pPr>
          </w:p>
          <w:p w14:paraId="6E7D4EFF">
            <w:pPr>
              <w:spacing w:line="276" w:lineRule="auto"/>
              <w:ind w:left="676"/>
              <w:rPr>
                <w:rFonts w:ascii="仿宋" w:hAnsi="仿宋" w:eastAsia="仿宋"/>
                <w:color w:val="000000"/>
                <w:sz w:val="24"/>
              </w:rPr>
            </w:pPr>
          </w:p>
          <w:p w14:paraId="584C85DF">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H</w:t>
            </w:r>
          </w:p>
          <w:p w14:paraId="0AB891F5">
            <w:pPr>
              <w:spacing w:line="276" w:lineRule="auto"/>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M</w:t>
            </w:r>
          </w:p>
          <w:p w14:paraId="65C42497">
            <w:pPr>
              <w:spacing w:line="276" w:lineRule="auto"/>
              <w:ind w:firstLine="240" w:firstLineChars="100"/>
              <w:rPr>
                <w:rFonts w:ascii="仿宋" w:hAnsi="仿宋" w:eastAsia="仿宋"/>
                <w:color w:val="000000"/>
                <w:sz w:val="24"/>
              </w:rPr>
            </w:pPr>
            <w:r>
              <w:rPr>
                <w:rFonts w:hint="eastAsia" w:ascii="仿宋" w:hAnsi="仿宋" w:eastAsia="仿宋"/>
                <w:color w:val="000000" w:themeColor="text1"/>
                <w:sz w:val="24"/>
                <w14:textFill>
                  <w14:solidFill>
                    <w14:schemeClr w14:val="tx1"/>
                  </w14:solidFill>
                </w14:textFill>
              </w:rPr>
              <w:t>□ L</w:t>
            </w:r>
          </w:p>
          <w:p w14:paraId="0BB9A72E">
            <w:pPr>
              <w:spacing w:line="276" w:lineRule="auto"/>
              <w:ind w:left="676"/>
              <w:rPr>
                <w:rFonts w:ascii="仿宋" w:hAnsi="仿宋" w:eastAsia="仿宋"/>
                <w:color w:val="000000"/>
                <w:sz w:val="24"/>
              </w:rPr>
            </w:pPr>
          </w:p>
        </w:tc>
      </w:tr>
    </w:tbl>
    <w:p w14:paraId="37BD3B0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p w14:paraId="718DD866">
      <w:pPr>
        <w:snapToGrid w:val="0"/>
        <w:spacing w:line="300" w:lineRule="auto"/>
        <w:ind w:firstLine="480" w:firstLineChars="200"/>
        <w:rPr>
          <w:rFonts w:ascii="仿宋" w:hAnsi="仿宋" w:eastAsia="仿宋"/>
          <w:color w:val="0070C0"/>
          <w:sz w:val="24"/>
        </w:rPr>
      </w:pPr>
    </w:p>
    <w:tbl>
      <w:tblPr>
        <w:tblStyle w:val="8"/>
        <w:tblW w:w="44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
        <w:gridCol w:w="833"/>
        <w:gridCol w:w="1528"/>
        <w:gridCol w:w="452"/>
        <w:gridCol w:w="1833"/>
        <w:gridCol w:w="845"/>
        <w:gridCol w:w="845"/>
        <w:gridCol w:w="845"/>
      </w:tblGrid>
      <w:tr w14:paraId="6DF9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69B3B9F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5" w:type="pct"/>
            <w:shd w:val="clear" w:color="auto" w:fill="auto"/>
            <w:vAlign w:val="center"/>
          </w:tcPr>
          <w:p w14:paraId="2EF2FF5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1000" w:type="pct"/>
            <w:shd w:val="clear" w:color="auto" w:fill="auto"/>
            <w:vAlign w:val="center"/>
          </w:tcPr>
          <w:p w14:paraId="3B3AA40B">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296" w:type="pct"/>
            <w:vAlign w:val="center"/>
          </w:tcPr>
          <w:p w14:paraId="53B40200">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200" w:type="pct"/>
            <w:vAlign w:val="center"/>
          </w:tcPr>
          <w:p w14:paraId="3BBDA932">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7610ABEB">
            <w:pPr>
              <w:suppressAutoHyphens/>
              <w:spacing w:before="156" w:beforeLines="50" w:after="156" w:afterLines="50" w:line="276" w:lineRule="auto"/>
              <w:jc w:val="center"/>
              <w:rPr>
                <w:rFonts w:eastAsia="仿宋"/>
                <w:b/>
                <w:spacing w:val="-3"/>
                <w:sz w:val="24"/>
                <w:lang w:val="en-GB"/>
              </w:rPr>
            </w:pPr>
            <w:r>
              <w:rPr>
                <w:rFonts w:hint="eastAsia" w:eastAsia="仿宋"/>
                <w:b/>
                <w:spacing w:val="-3"/>
                <w:sz w:val="13"/>
                <w:szCs w:val="13"/>
                <w:lang w:val="en-GB"/>
              </w:rPr>
              <w:t>（重点、难点、课程思政元素等）</w:t>
            </w:r>
          </w:p>
        </w:tc>
        <w:tc>
          <w:tcPr>
            <w:tcW w:w="553" w:type="pct"/>
            <w:vAlign w:val="center"/>
          </w:tcPr>
          <w:p w14:paraId="78A03E85">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553" w:type="pct"/>
            <w:vAlign w:val="center"/>
          </w:tcPr>
          <w:p w14:paraId="368B60B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553" w:type="pct"/>
            <w:vAlign w:val="center"/>
          </w:tcPr>
          <w:p w14:paraId="1C0B0635">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3D535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27211E8F">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p>
        </w:tc>
        <w:tc>
          <w:tcPr>
            <w:tcW w:w="545" w:type="pct"/>
            <w:shd w:val="clear" w:color="auto" w:fill="auto"/>
            <w:vAlign w:val="center"/>
          </w:tcPr>
          <w:p w14:paraId="3C9E2925">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pacing w:val="-3"/>
                <w:szCs w:val="21"/>
                <w:lang w:val="en-GB"/>
              </w:rPr>
              <w:t>第一章 导论</w:t>
            </w:r>
          </w:p>
        </w:tc>
        <w:tc>
          <w:tcPr>
            <w:tcW w:w="1000" w:type="pct"/>
            <w:shd w:val="clear" w:color="auto" w:fill="auto"/>
            <w:vAlign w:val="center"/>
          </w:tcPr>
          <w:p w14:paraId="1A9D3813">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Cs w:val="21"/>
              </w:rPr>
              <w:t>1</w:t>
            </w:r>
            <w:r>
              <w:rPr>
                <w:rFonts w:hint="eastAsia" w:ascii="仿宋" w:hAnsi="仿宋" w:eastAsia="仿宋"/>
                <w:szCs w:val="21"/>
                <w:lang w:val="zh-CN"/>
              </w:rPr>
              <w:t>.1</w:t>
            </w:r>
            <w:r>
              <w:rPr>
                <w:rFonts w:hint="eastAsia" w:ascii="仿宋" w:hAnsi="仿宋" w:eastAsia="仿宋"/>
                <w:szCs w:val="21"/>
              </w:rPr>
              <w:t>公司金融课程主要框架</w:t>
            </w:r>
            <w:r>
              <w:rPr>
                <w:rFonts w:hint="eastAsia" w:ascii="仿宋" w:hAnsi="仿宋" w:eastAsia="仿宋"/>
                <w:szCs w:val="21"/>
                <w:lang w:val="zh-CN"/>
              </w:rPr>
              <w:t>1.2 企业组织形式1.3</w:t>
            </w:r>
            <w:r>
              <w:rPr>
                <w:rFonts w:hint="eastAsia" w:ascii="仿宋" w:hAnsi="仿宋" w:eastAsia="仿宋"/>
                <w:szCs w:val="21"/>
              </w:rPr>
              <w:t>公司财务活动</w:t>
            </w:r>
            <w:r>
              <w:rPr>
                <w:rFonts w:hint="eastAsia" w:ascii="仿宋" w:hAnsi="仿宋" w:eastAsia="仿宋"/>
                <w:szCs w:val="21"/>
                <w:lang w:val="zh-CN"/>
              </w:rPr>
              <w:t>1.4</w:t>
            </w:r>
            <w:r>
              <w:rPr>
                <w:rFonts w:hint="eastAsia" w:ascii="仿宋" w:hAnsi="仿宋" w:eastAsia="仿宋"/>
                <w:szCs w:val="21"/>
              </w:rPr>
              <w:t>公司金融目标及解释1.5公司金融中的相关利益者及代理、治理问题</w:t>
            </w:r>
          </w:p>
        </w:tc>
        <w:tc>
          <w:tcPr>
            <w:tcW w:w="296" w:type="pct"/>
            <w:vAlign w:val="center"/>
          </w:tcPr>
          <w:p w14:paraId="1C7CFD42">
            <w:pPr>
              <w:suppressAutoHyphens/>
              <w:spacing w:before="156" w:beforeLines="50" w:after="156" w:afterLines="50" w:line="276" w:lineRule="auto"/>
              <w:jc w:val="center"/>
              <w:rPr>
                <w:rFonts w:eastAsia="仿宋"/>
                <w:b/>
                <w:spacing w:val="-3"/>
                <w:sz w:val="24"/>
              </w:rPr>
            </w:pPr>
            <w:r>
              <w:rPr>
                <w:rFonts w:hint="eastAsia" w:eastAsia="仿宋"/>
                <w:b/>
                <w:spacing w:val="-3"/>
                <w:sz w:val="24"/>
              </w:rPr>
              <w:t>4</w:t>
            </w:r>
          </w:p>
        </w:tc>
        <w:tc>
          <w:tcPr>
            <w:tcW w:w="1200" w:type="pct"/>
            <w:vAlign w:val="center"/>
          </w:tcPr>
          <w:p w14:paraId="020C83FA">
            <w:pPr>
              <w:rPr>
                <w:rFonts w:ascii="仿宋" w:hAnsi="仿宋" w:eastAsia="仿宋"/>
                <w:szCs w:val="21"/>
              </w:rPr>
            </w:pPr>
            <w:r>
              <w:rPr>
                <w:rFonts w:hint="eastAsia" w:eastAsia="仿宋"/>
                <w:b/>
                <w:spacing w:val="-3"/>
                <w:sz w:val="24"/>
              </w:rPr>
              <w:t>1、</w:t>
            </w:r>
            <w:r>
              <w:rPr>
                <w:rFonts w:hint="eastAsia" w:ascii="仿宋" w:hAnsi="仿宋" w:eastAsia="仿宋"/>
                <w:szCs w:val="21"/>
              </w:rPr>
              <w:t>理解课程的研究对象、研究视角和公司金融在实务方面的运用。2、掌握三种组织形式的特点与优缺点3、掌握三种财务活动的分类及相互间的关系4、理解不同财务目标的优缺点以及本课程关注的财务目标。</w:t>
            </w:r>
          </w:p>
          <w:p w14:paraId="352FCDBC">
            <w:pPr>
              <w:suppressAutoHyphens/>
              <w:spacing w:before="156" w:beforeLines="50" w:after="156" w:afterLines="50" w:line="276" w:lineRule="auto"/>
              <w:jc w:val="center"/>
              <w:rPr>
                <w:rFonts w:eastAsia="仿宋"/>
                <w:b/>
                <w:spacing w:val="-3"/>
                <w:sz w:val="24"/>
              </w:rPr>
            </w:pPr>
            <w:r>
              <w:rPr>
                <w:rFonts w:hint="eastAsia" w:ascii="仿宋" w:hAnsi="仿宋" w:eastAsia="仿宋"/>
                <w:b/>
                <w:bCs/>
                <w:szCs w:val="21"/>
              </w:rPr>
              <w:t>思政元素：</w:t>
            </w:r>
            <w:r>
              <w:rPr>
                <w:rFonts w:hint="eastAsia" w:ascii="仿宋" w:hAnsi="仿宋" w:eastAsia="仿宋"/>
                <w:szCs w:val="21"/>
              </w:rPr>
              <w:t>当下短时的利益最大化与长远最优选择的权衡</w:t>
            </w:r>
          </w:p>
        </w:tc>
        <w:tc>
          <w:tcPr>
            <w:tcW w:w="553" w:type="pct"/>
          </w:tcPr>
          <w:p w14:paraId="05F47CD2">
            <w:pPr>
              <w:suppressAutoHyphens/>
              <w:spacing w:before="156" w:beforeLines="50" w:after="156" w:afterLines="50" w:line="276" w:lineRule="auto"/>
              <w:jc w:val="center"/>
              <w:rPr>
                <w:rFonts w:eastAsia="仿宋"/>
                <w:bCs/>
                <w:spacing w:val="-3"/>
                <w:sz w:val="24"/>
              </w:rPr>
            </w:pPr>
            <w:r>
              <w:rPr>
                <w:rFonts w:hint="eastAsia" w:eastAsia="仿宋"/>
                <w:bCs/>
                <w:spacing w:val="-3"/>
                <w:sz w:val="24"/>
              </w:rPr>
              <w:t>启发、案例、讲授法</w:t>
            </w:r>
          </w:p>
        </w:tc>
        <w:tc>
          <w:tcPr>
            <w:tcW w:w="553" w:type="pct"/>
            <w:vAlign w:val="center"/>
          </w:tcPr>
          <w:p w14:paraId="0F652E67">
            <w:pPr>
              <w:suppressAutoHyphens/>
              <w:spacing w:before="156" w:beforeLines="50" w:after="156" w:afterLines="50" w:line="276" w:lineRule="auto"/>
              <w:jc w:val="center"/>
              <w:rPr>
                <w:rFonts w:eastAsia="仿宋"/>
                <w:b/>
                <w:spacing w:val="-3"/>
                <w:sz w:val="24"/>
              </w:rPr>
            </w:pPr>
            <w:r>
              <w:rPr>
                <w:rFonts w:hint="eastAsia" w:eastAsia="仿宋"/>
                <w:bCs/>
                <w:spacing w:val="-3"/>
                <w:sz w:val="24"/>
              </w:rPr>
              <w:t>闭卷考试、习题作业</w:t>
            </w:r>
          </w:p>
        </w:tc>
        <w:tc>
          <w:tcPr>
            <w:tcW w:w="553" w:type="pct"/>
            <w:vAlign w:val="center"/>
          </w:tcPr>
          <w:p w14:paraId="37B1DC0B">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课程目标1、2、3</w:t>
            </w:r>
          </w:p>
        </w:tc>
      </w:tr>
      <w:tr w14:paraId="753AD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41014915">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2</w:t>
            </w:r>
          </w:p>
        </w:tc>
        <w:tc>
          <w:tcPr>
            <w:tcW w:w="833" w:type="dxa"/>
            <w:shd w:val="clear" w:color="auto" w:fill="auto"/>
            <w:vAlign w:val="center"/>
          </w:tcPr>
          <w:p w14:paraId="695D8896">
            <w:pPr>
              <w:rPr>
                <w:rFonts w:eastAsia="仿宋"/>
                <w:b/>
                <w:spacing w:val="-3"/>
                <w:sz w:val="24"/>
                <w:lang w:val="en-GB"/>
              </w:rPr>
            </w:pPr>
            <w:r>
              <w:rPr>
                <w:rFonts w:hint="eastAsia" w:ascii="仿宋" w:hAnsi="仿宋" w:eastAsia="仿宋"/>
                <w:szCs w:val="21"/>
              </w:rPr>
              <w:t>第二章 财务报表分析和财务预测</w:t>
            </w:r>
          </w:p>
        </w:tc>
        <w:tc>
          <w:tcPr>
            <w:tcW w:w="1000" w:type="pct"/>
            <w:shd w:val="clear" w:color="auto" w:fill="auto"/>
            <w:vAlign w:val="center"/>
          </w:tcPr>
          <w:p w14:paraId="444DDA27">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Cs w:val="21"/>
              </w:rPr>
              <w:t>1.1 基本概念1.2财务报表分析1.3财务报表预测</w:t>
            </w:r>
          </w:p>
        </w:tc>
        <w:tc>
          <w:tcPr>
            <w:tcW w:w="296" w:type="pct"/>
            <w:vAlign w:val="center"/>
          </w:tcPr>
          <w:p w14:paraId="79B6E713">
            <w:pPr>
              <w:suppressAutoHyphens/>
              <w:spacing w:before="156" w:beforeLines="50" w:after="156" w:afterLines="50" w:line="276" w:lineRule="auto"/>
              <w:jc w:val="center"/>
              <w:rPr>
                <w:rFonts w:eastAsia="仿宋"/>
                <w:b/>
                <w:spacing w:val="-3"/>
                <w:sz w:val="24"/>
              </w:rPr>
            </w:pPr>
            <w:r>
              <w:rPr>
                <w:rFonts w:hint="eastAsia" w:eastAsia="仿宋"/>
                <w:b/>
                <w:spacing w:val="-3"/>
                <w:sz w:val="24"/>
              </w:rPr>
              <w:t>6</w:t>
            </w:r>
          </w:p>
        </w:tc>
        <w:tc>
          <w:tcPr>
            <w:tcW w:w="1200" w:type="pct"/>
            <w:vAlign w:val="center"/>
          </w:tcPr>
          <w:p w14:paraId="78CBCD18">
            <w:pPr>
              <w:rPr>
                <w:rFonts w:ascii="仿宋" w:hAnsi="仿宋" w:eastAsia="仿宋"/>
                <w:szCs w:val="21"/>
              </w:rPr>
            </w:pPr>
            <w:r>
              <w:rPr>
                <w:rFonts w:hint="eastAsia" w:ascii="仿宋" w:hAnsi="仿宋" w:eastAsia="仿宋"/>
                <w:szCs w:val="21"/>
              </w:rPr>
              <w:t>1、复习回顾三张表的基础知识，理解公司金融框架中分析现金流与会计学中的区别2、掌握主要财务比率的计算，并能运用财务比率进行财务报表分析</w:t>
            </w:r>
          </w:p>
          <w:p w14:paraId="3D880209">
            <w:pPr>
              <w:suppressAutoHyphens/>
              <w:spacing w:before="156" w:beforeLines="50" w:after="156" w:afterLines="50" w:line="276" w:lineRule="auto"/>
              <w:jc w:val="center"/>
              <w:rPr>
                <w:rFonts w:eastAsia="仿宋"/>
                <w:b/>
                <w:spacing w:val="-3"/>
                <w:sz w:val="24"/>
              </w:rPr>
            </w:pPr>
            <w:r>
              <w:rPr>
                <w:rFonts w:hint="eastAsia" w:ascii="仿宋" w:hAnsi="仿宋" w:eastAsia="仿宋"/>
                <w:b/>
                <w:szCs w:val="21"/>
              </w:rPr>
              <w:t>思政元素</w:t>
            </w:r>
            <w:r>
              <w:rPr>
                <w:rFonts w:hint="eastAsia" w:ascii="仿宋" w:hAnsi="仿宋" w:eastAsia="仿宋"/>
                <w:szCs w:val="21"/>
              </w:rPr>
              <w:t>：公司财务造假案例-康美药业；诚信与社会责任。3、理解财务预测的基本思路，掌握增长率与资本需求的测算</w:t>
            </w:r>
          </w:p>
        </w:tc>
        <w:tc>
          <w:tcPr>
            <w:tcW w:w="553" w:type="pct"/>
          </w:tcPr>
          <w:p w14:paraId="25C2F7E6">
            <w:pPr>
              <w:suppressAutoHyphens/>
              <w:spacing w:before="156" w:beforeLines="50" w:after="156" w:afterLines="50" w:line="276" w:lineRule="auto"/>
              <w:jc w:val="center"/>
              <w:rPr>
                <w:rFonts w:eastAsia="仿宋"/>
                <w:bCs/>
                <w:spacing w:val="-3"/>
                <w:sz w:val="24"/>
              </w:rPr>
            </w:pPr>
            <w:r>
              <w:rPr>
                <w:rFonts w:hint="eastAsia" w:eastAsia="仿宋"/>
                <w:bCs/>
                <w:spacing w:val="-3"/>
                <w:sz w:val="24"/>
              </w:rPr>
              <w:t>启发、案例、讲授法、讨论法</w:t>
            </w:r>
          </w:p>
        </w:tc>
        <w:tc>
          <w:tcPr>
            <w:tcW w:w="553" w:type="pct"/>
            <w:vAlign w:val="center"/>
          </w:tcPr>
          <w:p w14:paraId="43AD0A39">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rPr>
              <w:t>闭卷考试、习题作业、小组报告、课堂展示</w:t>
            </w:r>
          </w:p>
        </w:tc>
        <w:tc>
          <w:tcPr>
            <w:tcW w:w="553" w:type="pct"/>
            <w:vAlign w:val="center"/>
          </w:tcPr>
          <w:p w14:paraId="606DF41D">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课程目标1、2、3</w:t>
            </w:r>
          </w:p>
        </w:tc>
      </w:tr>
      <w:tr w14:paraId="2C7B2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6DD74BB1">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3</w:t>
            </w:r>
          </w:p>
        </w:tc>
        <w:tc>
          <w:tcPr>
            <w:tcW w:w="833" w:type="dxa"/>
            <w:shd w:val="clear" w:color="auto" w:fill="auto"/>
            <w:vAlign w:val="center"/>
          </w:tcPr>
          <w:p w14:paraId="777FAA87">
            <w:pPr>
              <w:rPr>
                <w:rFonts w:eastAsia="仿宋"/>
                <w:b/>
                <w:spacing w:val="-3"/>
                <w:sz w:val="24"/>
                <w:lang w:val="en-GB"/>
              </w:rPr>
            </w:pPr>
            <w:r>
              <w:rPr>
                <w:rFonts w:hint="eastAsia" w:ascii="仿宋" w:hAnsi="仿宋" w:eastAsia="仿宋"/>
                <w:szCs w:val="21"/>
              </w:rPr>
              <w:t>第三章 价值评估基础</w:t>
            </w:r>
          </w:p>
        </w:tc>
        <w:tc>
          <w:tcPr>
            <w:tcW w:w="1000" w:type="pct"/>
            <w:shd w:val="clear" w:color="auto" w:fill="auto"/>
            <w:vAlign w:val="center"/>
          </w:tcPr>
          <w:p w14:paraId="77BDE62A">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Cs w:val="21"/>
              </w:rPr>
              <w:t>1.1货币时间价值1.2风险与报酬</w:t>
            </w:r>
          </w:p>
        </w:tc>
        <w:tc>
          <w:tcPr>
            <w:tcW w:w="296" w:type="pct"/>
            <w:vAlign w:val="center"/>
          </w:tcPr>
          <w:p w14:paraId="4B33D377">
            <w:pPr>
              <w:suppressAutoHyphens/>
              <w:spacing w:before="156" w:beforeLines="50" w:after="156" w:afterLines="50" w:line="276" w:lineRule="auto"/>
              <w:jc w:val="center"/>
              <w:rPr>
                <w:rFonts w:eastAsia="仿宋"/>
                <w:b/>
                <w:spacing w:val="-3"/>
                <w:sz w:val="24"/>
              </w:rPr>
            </w:pPr>
            <w:r>
              <w:rPr>
                <w:rFonts w:hint="eastAsia" w:eastAsia="仿宋"/>
                <w:b/>
                <w:spacing w:val="-3"/>
                <w:sz w:val="24"/>
              </w:rPr>
              <w:t>6</w:t>
            </w:r>
          </w:p>
        </w:tc>
        <w:tc>
          <w:tcPr>
            <w:tcW w:w="1200" w:type="pct"/>
            <w:vAlign w:val="center"/>
          </w:tcPr>
          <w:p w14:paraId="1E445FF6">
            <w:pPr>
              <w:rPr>
                <w:rFonts w:ascii="仿宋" w:hAnsi="仿宋" w:eastAsia="仿宋"/>
                <w:szCs w:val="21"/>
              </w:rPr>
            </w:pPr>
            <w:r>
              <w:rPr>
                <w:rFonts w:hint="eastAsia" w:ascii="仿宋" w:hAnsi="仿宋" w:eastAsia="仿宋"/>
                <w:szCs w:val="21"/>
              </w:rPr>
              <w:t>1、理解货币的时间价值，掌握年金的相关计算</w:t>
            </w:r>
          </w:p>
          <w:p w14:paraId="40223124">
            <w:pPr>
              <w:suppressAutoHyphens/>
              <w:spacing w:before="156" w:beforeLines="50" w:after="156" w:afterLines="50" w:line="276" w:lineRule="auto"/>
              <w:jc w:val="center"/>
              <w:rPr>
                <w:rFonts w:ascii="仿宋" w:hAnsi="仿宋" w:eastAsia="仿宋"/>
                <w:szCs w:val="21"/>
              </w:rPr>
            </w:pPr>
            <w:r>
              <w:rPr>
                <w:rFonts w:hint="eastAsia" w:ascii="仿宋" w:hAnsi="仿宋" w:eastAsia="仿宋"/>
                <w:b/>
                <w:bCs/>
                <w:szCs w:val="21"/>
              </w:rPr>
              <w:t>思政元素：</w:t>
            </w:r>
            <w:r>
              <w:rPr>
                <w:rFonts w:hint="eastAsia" w:ascii="仿宋" w:hAnsi="仿宋" w:eastAsia="仿宋"/>
                <w:szCs w:val="21"/>
              </w:rPr>
              <w:t>校园贷、高利贷的障眼法</w:t>
            </w:r>
          </w:p>
          <w:p w14:paraId="7AC40492">
            <w:pPr>
              <w:suppressAutoHyphens/>
              <w:spacing w:before="156" w:beforeLines="50" w:after="156" w:afterLines="50" w:line="276" w:lineRule="auto"/>
              <w:jc w:val="center"/>
              <w:rPr>
                <w:rFonts w:ascii="仿宋" w:hAnsi="仿宋" w:eastAsia="仿宋"/>
                <w:szCs w:val="21"/>
              </w:rPr>
            </w:pPr>
            <w:r>
              <w:rPr>
                <w:rFonts w:hint="eastAsia" w:ascii="仿宋" w:hAnsi="仿宋" w:eastAsia="仿宋"/>
                <w:szCs w:val="21"/>
              </w:rPr>
              <w:t>2、掌握收益与风险的度量方法</w:t>
            </w:r>
          </w:p>
        </w:tc>
        <w:tc>
          <w:tcPr>
            <w:tcW w:w="553" w:type="pct"/>
          </w:tcPr>
          <w:p w14:paraId="4CF054B7">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rPr>
              <w:t>讲授法、讨论法</w:t>
            </w:r>
          </w:p>
        </w:tc>
        <w:tc>
          <w:tcPr>
            <w:tcW w:w="553" w:type="pct"/>
            <w:vAlign w:val="center"/>
          </w:tcPr>
          <w:p w14:paraId="3AEEDE1A">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rPr>
              <w:t>闭卷考试、习题作业、小组报告、课堂展示</w:t>
            </w:r>
          </w:p>
        </w:tc>
        <w:tc>
          <w:tcPr>
            <w:tcW w:w="553" w:type="pct"/>
            <w:vAlign w:val="center"/>
          </w:tcPr>
          <w:p w14:paraId="78CB5B51">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课程目标2、3</w:t>
            </w:r>
          </w:p>
        </w:tc>
      </w:tr>
      <w:tr w14:paraId="3E919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0B2FF4CF">
            <w:pPr>
              <w:suppressAutoHyphens/>
              <w:spacing w:before="156" w:beforeLines="50" w:after="156" w:afterLines="50" w:line="276" w:lineRule="auto"/>
              <w:jc w:val="center"/>
              <w:rPr>
                <w:rFonts w:eastAsia="仿宋"/>
                <w:bCs/>
                <w:spacing w:val="-3"/>
                <w:sz w:val="24"/>
              </w:rPr>
            </w:pPr>
            <w:r>
              <w:rPr>
                <w:rFonts w:hint="eastAsia" w:eastAsia="仿宋"/>
                <w:bCs/>
                <w:spacing w:val="-3"/>
                <w:sz w:val="24"/>
              </w:rPr>
              <w:t>4</w:t>
            </w:r>
          </w:p>
        </w:tc>
        <w:tc>
          <w:tcPr>
            <w:tcW w:w="833" w:type="dxa"/>
            <w:shd w:val="clear" w:color="auto" w:fill="auto"/>
            <w:vAlign w:val="center"/>
          </w:tcPr>
          <w:p w14:paraId="49CF72EE">
            <w:pPr>
              <w:rPr>
                <w:rFonts w:eastAsia="仿宋"/>
                <w:b/>
                <w:spacing w:val="-3"/>
                <w:sz w:val="24"/>
                <w:lang w:val="en-GB"/>
              </w:rPr>
            </w:pPr>
            <w:r>
              <w:rPr>
                <w:rFonts w:hint="eastAsia" w:ascii="仿宋" w:hAnsi="仿宋" w:eastAsia="仿宋"/>
                <w:szCs w:val="21"/>
              </w:rPr>
              <w:t>第四章 资本预算</w:t>
            </w:r>
          </w:p>
        </w:tc>
        <w:tc>
          <w:tcPr>
            <w:tcW w:w="1000" w:type="pct"/>
            <w:shd w:val="clear" w:color="auto" w:fill="auto"/>
            <w:vAlign w:val="center"/>
          </w:tcPr>
          <w:p w14:paraId="3678E41C">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Cs w:val="21"/>
              </w:rPr>
              <w:t>1.1资本预算基础概念1.2投资项目的评价方法1.3投资项目现金流的估计</w:t>
            </w:r>
          </w:p>
        </w:tc>
        <w:tc>
          <w:tcPr>
            <w:tcW w:w="296" w:type="pct"/>
            <w:vAlign w:val="center"/>
          </w:tcPr>
          <w:p w14:paraId="56D3E33B">
            <w:pPr>
              <w:suppressAutoHyphens/>
              <w:spacing w:before="156" w:beforeLines="50" w:after="156" w:afterLines="50" w:line="276" w:lineRule="auto"/>
              <w:jc w:val="center"/>
              <w:rPr>
                <w:rFonts w:eastAsia="仿宋"/>
                <w:b/>
                <w:spacing w:val="-3"/>
                <w:sz w:val="24"/>
              </w:rPr>
            </w:pPr>
            <w:r>
              <w:rPr>
                <w:rFonts w:hint="eastAsia" w:eastAsia="仿宋"/>
                <w:b/>
                <w:spacing w:val="-3"/>
                <w:sz w:val="24"/>
              </w:rPr>
              <w:t>6</w:t>
            </w:r>
          </w:p>
        </w:tc>
        <w:tc>
          <w:tcPr>
            <w:tcW w:w="1200" w:type="pct"/>
            <w:vAlign w:val="center"/>
          </w:tcPr>
          <w:p w14:paraId="19C13F34">
            <w:pPr>
              <w:rPr>
                <w:rFonts w:ascii="仿宋" w:hAnsi="仿宋" w:eastAsia="仿宋"/>
                <w:szCs w:val="21"/>
              </w:rPr>
            </w:pPr>
            <w:r>
              <w:rPr>
                <w:rFonts w:hint="eastAsia" w:eastAsia="仿宋"/>
                <w:b/>
                <w:spacing w:val="-3"/>
                <w:sz w:val="24"/>
              </w:rPr>
              <w:t>1、</w:t>
            </w:r>
            <w:r>
              <w:rPr>
                <w:rFonts w:hint="eastAsia" w:ascii="仿宋" w:hAnsi="仿宋" w:eastAsia="仿宋"/>
                <w:szCs w:val="21"/>
              </w:rPr>
              <w:t>掌握资本预算概念与投资项目的分类</w:t>
            </w:r>
          </w:p>
          <w:p w14:paraId="25A26F88">
            <w:pPr>
              <w:suppressAutoHyphens/>
              <w:spacing w:before="156" w:beforeLines="50" w:after="156" w:afterLines="50" w:line="276" w:lineRule="auto"/>
              <w:jc w:val="center"/>
              <w:rPr>
                <w:rFonts w:eastAsia="仿宋"/>
                <w:b/>
                <w:spacing w:val="-3"/>
                <w:sz w:val="24"/>
              </w:rPr>
            </w:pPr>
            <w:r>
              <w:rPr>
                <w:rFonts w:hint="eastAsia" w:ascii="仿宋" w:hAnsi="仿宋" w:eastAsia="仿宋"/>
                <w:b/>
                <w:bCs/>
                <w:szCs w:val="21"/>
              </w:rPr>
              <w:t>思政元素：</w:t>
            </w:r>
            <w:r>
              <w:rPr>
                <w:rFonts w:hint="eastAsia" w:ascii="仿宋" w:hAnsi="仿宋" w:eastAsia="仿宋"/>
                <w:szCs w:val="21"/>
              </w:rPr>
              <w:t>沉没成本与珍惜时间，认真做出人生选择，学会科学规划2、掌握净现值法、内部收益率法与回收期法3、理解投资项目现金流的影响因素</w:t>
            </w:r>
          </w:p>
        </w:tc>
        <w:tc>
          <w:tcPr>
            <w:tcW w:w="553" w:type="pct"/>
          </w:tcPr>
          <w:p w14:paraId="639D6C60">
            <w:pPr>
              <w:suppressAutoHyphens/>
              <w:spacing w:before="156" w:beforeLines="50" w:after="156" w:afterLines="50" w:line="276" w:lineRule="auto"/>
              <w:jc w:val="center"/>
              <w:rPr>
                <w:rFonts w:eastAsia="仿宋"/>
                <w:bCs/>
                <w:spacing w:val="-3"/>
                <w:sz w:val="24"/>
              </w:rPr>
            </w:pPr>
            <w:r>
              <w:rPr>
                <w:rFonts w:hint="eastAsia" w:eastAsia="仿宋"/>
                <w:bCs/>
                <w:spacing w:val="-3"/>
                <w:sz w:val="24"/>
              </w:rPr>
              <w:t>讲授法、讨论法、案例</w:t>
            </w:r>
          </w:p>
        </w:tc>
        <w:tc>
          <w:tcPr>
            <w:tcW w:w="553" w:type="pct"/>
            <w:vAlign w:val="center"/>
          </w:tcPr>
          <w:p w14:paraId="29539304">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rPr>
              <w:t>闭卷考试、习题作业、小组报告、课堂展示</w:t>
            </w:r>
          </w:p>
        </w:tc>
        <w:tc>
          <w:tcPr>
            <w:tcW w:w="553" w:type="pct"/>
            <w:vAlign w:val="center"/>
          </w:tcPr>
          <w:p w14:paraId="063BC8C3">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课程目标2、3</w:t>
            </w:r>
          </w:p>
        </w:tc>
      </w:tr>
      <w:tr w14:paraId="16272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73948658">
            <w:pPr>
              <w:suppressAutoHyphens/>
              <w:spacing w:before="156" w:beforeLines="50" w:after="156" w:afterLines="50" w:line="276" w:lineRule="auto"/>
              <w:jc w:val="center"/>
              <w:rPr>
                <w:rFonts w:eastAsia="仿宋"/>
                <w:bCs/>
                <w:spacing w:val="-3"/>
                <w:sz w:val="24"/>
              </w:rPr>
            </w:pPr>
            <w:r>
              <w:rPr>
                <w:rFonts w:hint="eastAsia" w:eastAsia="仿宋"/>
                <w:bCs/>
                <w:spacing w:val="-3"/>
                <w:sz w:val="24"/>
              </w:rPr>
              <w:t>5</w:t>
            </w:r>
          </w:p>
        </w:tc>
        <w:tc>
          <w:tcPr>
            <w:tcW w:w="833" w:type="dxa"/>
            <w:shd w:val="clear" w:color="auto" w:fill="auto"/>
            <w:vAlign w:val="center"/>
          </w:tcPr>
          <w:p w14:paraId="23F2C79F">
            <w:pPr>
              <w:rPr>
                <w:rFonts w:eastAsia="仿宋"/>
                <w:b/>
                <w:spacing w:val="-3"/>
                <w:sz w:val="24"/>
                <w:lang w:val="en-GB"/>
              </w:rPr>
            </w:pPr>
            <w:r>
              <w:rPr>
                <w:rFonts w:hint="eastAsia" w:ascii="仿宋" w:hAnsi="仿宋" w:eastAsia="仿宋"/>
                <w:szCs w:val="21"/>
              </w:rPr>
              <w:t>第五章 债股价值评估第</w:t>
            </w:r>
          </w:p>
        </w:tc>
        <w:tc>
          <w:tcPr>
            <w:tcW w:w="1000" w:type="pct"/>
            <w:shd w:val="clear" w:color="auto" w:fill="auto"/>
            <w:vAlign w:val="center"/>
          </w:tcPr>
          <w:p w14:paraId="33E0D6BC">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Cs w:val="21"/>
              </w:rPr>
              <w:t>1.1债务资本成本1.2股票价值评估1.3混合筹资工具的价值评估</w:t>
            </w:r>
          </w:p>
        </w:tc>
        <w:tc>
          <w:tcPr>
            <w:tcW w:w="296" w:type="pct"/>
            <w:vAlign w:val="center"/>
          </w:tcPr>
          <w:p w14:paraId="539AB812">
            <w:pPr>
              <w:suppressAutoHyphens/>
              <w:spacing w:before="156" w:beforeLines="50" w:after="156" w:afterLines="50" w:line="276" w:lineRule="auto"/>
              <w:jc w:val="center"/>
              <w:rPr>
                <w:rFonts w:eastAsia="仿宋"/>
                <w:b/>
                <w:spacing w:val="-3"/>
                <w:sz w:val="24"/>
              </w:rPr>
            </w:pPr>
            <w:r>
              <w:rPr>
                <w:rFonts w:hint="eastAsia" w:eastAsia="仿宋"/>
                <w:b/>
                <w:spacing w:val="-3"/>
                <w:sz w:val="24"/>
              </w:rPr>
              <w:t>4</w:t>
            </w:r>
          </w:p>
        </w:tc>
        <w:tc>
          <w:tcPr>
            <w:tcW w:w="1200" w:type="pct"/>
            <w:vAlign w:val="center"/>
          </w:tcPr>
          <w:p w14:paraId="71947935">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Cs w:val="21"/>
              </w:rPr>
              <w:t>掌握债券价值、普通股、永续债、优先股的含义与估值模型</w:t>
            </w:r>
          </w:p>
        </w:tc>
        <w:tc>
          <w:tcPr>
            <w:tcW w:w="553" w:type="pct"/>
          </w:tcPr>
          <w:p w14:paraId="67FACAF5">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rPr>
              <w:t>讲授法、讨论法</w:t>
            </w:r>
          </w:p>
        </w:tc>
        <w:tc>
          <w:tcPr>
            <w:tcW w:w="553" w:type="pct"/>
            <w:vAlign w:val="center"/>
          </w:tcPr>
          <w:p w14:paraId="1B48F7A4">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rPr>
              <w:t>闭卷考试、习题作业</w:t>
            </w:r>
          </w:p>
        </w:tc>
        <w:tc>
          <w:tcPr>
            <w:tcW w:w="553" w:type="pct"/>
            <w:vAlign w:val="center"/>
          </w:tcPr>
          <w:p w14:paraId="595111DD">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课程目标2、3</w:t>
            </w:r>
          </w:p>
        </w:tc>
      </w:tr>
      <w:tr w14:paraId="30ED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776EC6CB">
            <w:pPr>
              <w:suppressAutoHyphens/>
              <w:spacing w:before="156" w:beforeLines="50" w:after="156" w:afterLines="50" w:line="276" w:lineRule="auto"/>
              <w:jc w:val="center"/>
              <w:rPr>
                <w:rFonts w:eastAsia="仿宋"/>
                <w:bCs/>
                <w:spacing w:val="-3"/>
                <w:sz w:val="24"/>
              </w:rPr>
            </w:pPr>
            <w:r>
              <w:rPr>
                <w:rFonts w:hint="eastAsia" w:eastAsia="仿宋"/>
                <w:bCs/>
                <w:spacing w:val="-3"/>
                <w:sz w:val="24"/>
              </w:rPr>
              <w:t>6</w:t>
            </w:r>
          </w:p>
        </w:tc>
        <w:tc>
          <w:tcPr>
            <w:tcW w:w="833" w:type="dxa"/>
            <w:shd w:val="clear" w:color="auto" w:fill="auto"/>
            <w:vAlign w:val="center"/>
          </w:tcPr>
          <w:p w14:paraId="6FCD50A8">
            <w:pPr>
              <w:rPr>
                <w:rFonts w:eastAsia="仿宋"/>
                <w:b/>
                <w:spacing w:val="-3"/>
                <w:sz w:val="24"/>
                <w:lang w:val="en-GB"/>
              </w:rPr>
            </w:pPr>
            <w:r>
              <w:rPr>
                <w:rFonts w:hint="eastAsia" w:ascii="仿宋" w:hAnsi="仿宋" w:eastAsia="仿宋"/>
                <w:szCs w:val="21"/>
              </w:rPr>
              <w:t>第六章 资本成本</w:t>
            </w:r>
          </w:p>
        </w:tc>
        <w:tc>
          <w:tcPr>
            <w:tcW w:w="1000" w:type="pct"/>
            <w:shd w:val="clear" w:color="auto" w:fill="auto"/>
            <w:vAlign w:val="center"/>
          </w:tcPr>
          <w:p w14:paraId="329C2110">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Cs w:val="21"/>
              </w:rPr>
              <w:t>1.1债务资本成本1.2普通股资本成本1.3混合筹资、加权平均资本成本</w:t>
            </w:r>
          </w:p>
        </w:tc>
        <w:tc>
          <w:tcPr>
            <w:tcW w:w="296" w:type="pct"/>
            <w:vAlign w:val="center"/>
          </w:tcPr>
          <w:p w14:paraId="2AAD292C">
            <w:pPr>
              <w:suppressAutoHyphens/>
              <w:spacing w:before="156" w:beforeLines="50" w:after="156" w:afterLines="50" w:line="276" w:lineRule="auto"/>
              <w:jc w:val="center"/>
              <w:rPr>
                <w:rFonts w:eastAsia="仿宋"/>
                <w:b/>
                <w:spacing w:val="-3"/>
                <w:sz w:val="24"/>
              </w:rPr>
            </w:pPr>
            <w:r>
              <w:rPr>
                <w:rFonts w:hint="eastAsia" w:eastAsia="仿宋"/>
                <w:b/>
                <w:spacing w:val="-3"/>
                <w:sz w:val="24"/>
              </w:rPr>
              <w:t>4</w:t>
            </w:r>
          </w:p>
        </w:tc>
        <w:tc>
          <w:tcPr>
            <w:tcW w:w="1200" w:type="pct"/>
            <w:vAlign w:val="center"/>
          </w:tcPr>
          <w:p w14:paraId="501145F7">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Cs w:val="21"/>
              </w:rPr>
              <w:t>掌握债务资本成本、普通股资本成本、混合筹资、加权平均资本成本计算方法</w:t>
            </w:r>
          </w:p>
        </w:tc>
        <w:tc>
          <w:tcPr>
            <w:tcW w:w="553" w:type="pct"/>
          </w:tcPr>
          <w:p w14:paraId="41B5EB6C">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rPr>
              <w:t>讲授法、</w:t>
            </w:r>
          </w:p>
        </w:tc>
        <w:tc>
          <w:tcPr>
            <w:tcW w:w="553" w:type="pct"/>
            <w:vAlign w:val="center"/>
          </w:tcPr>
          <w:p w14:paraId="7B156E24">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rPr>
              <w:t>闭卷考试、习题作业</w:t>
            </w:r>
          </w:p>
        </w:tc>
        <w:tc>
          <w:tcPr>
            <w:tcW w:w="553" w:type="pct"/>
            <w:vAlign w:val="center"/>
          </w:tcPr>
          <w:p w14:paraId="002F481A">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课程目标2、3</w:t>
            </w:r>
          </w:p>
        </w:tc>
      </w:tr>
      <w:tr w14:paraId="5904E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2DB85C45">
            <w:pPr>
              <w:suppressAutoHyphens/>
              <w:spacing w:before="156" w:beforeLines="50" w:after="156" w:afterLines="50" w:line="276" w:lineRule="auto"/>
              <w:jc w:val="center"/>
              <w:rPr>
                <w:rFonts w:eastAsia="仿宋"/>
                <w:bCs/>
                <w:spacing w:val="-3"/>
                <w:sz w:val="24"/>
              </w:rPr>
            </w:pPr>
            <w:r>
              <w:rPr>
                <w:rFonts w:hint="eastAsia" w:eastAsia="仿宋"/>
                <w:bCs/>
                <w:spacing w:val="-3"/>
                <w:sz w:val="24"/>
              </w:rPr>
              <w:t>7</w:t>
            </w:r>
          </w:p>
        </w:tc>
        <w:tc>
          <w:tcPr>
            <w:tcW w:w="545" w:type="pct"/>
            <w:shd w:val="clear" w:color="auto" w:fill="auto"/>
            <w:vAlign w:val="center"/>
          </w:tcPr>
          <w:p w14:paraId="14B88861">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pacing w:val="-3"/>
                <w:szCs w:val="21"/>
                <w:lang w:val="en-GB"/>
              </w:rPr>
              <w:t>第七章 企业价值评估</w:t>
            </w:r>
          </w:p>
        </w:tc>
        <w:tc>
          <w:tcPr>
            <w:tcW w:w="1000" w:type="pct"/>
            <w:shd w:val="clear" w:color="auto" w:fill="auto"/>
            <w:vAlign w:val="center"/>
          </w:tcPr>
          <w:p w14:paraId="0654A564">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Cs w:val="21"/>
              </w:rPr>
              <w:t>1.1 基本概念1.2 企业价值评估的方法</w:t>
            </w:r>
          </w:p>
        </w:tc>
        <w:tc>
          <w:tcPr>
            <w:tcW w:w="296" w:type="pct"/>
            <w:vAlign w:val="center"/>
          </w:tcPr>
          <w:p w14:paraId="7859B0FC">
            <w:pPr>
              <w:suppressAutoHyphens/>
              <w:spacing w:before="156" w:beforeLines="50" w:after="156" w:afterLines="50" w:line="276" w:lineRule="auto"/>
              <w:jc w:val="center"/>
              <w:rPr>
                <w:rFonts w:eastAsia="仿宋"/>
                <w:b/>
                <w:spacing w:val="-3"/>
                <w:sz w:val="24"/>
              </w:rPr>
            </w:pPr>
            <w:r>
              <w:rPr>
                <w:rFonts w:hint="eastAsia" w:eastAsia="仿宋"/>
                <w:b/>
                <w:spacing w:val="-3"/>
                <w:sz w:val="24"/>
              </w:rPr>
              <w:t>2</w:t>
            </w:r>
          </w:p>
        </w:tc>
        <w:tc>
          <w:tcPr>
            <w:tcW w:w="1200" w:type="pct"/>
            <w:vAlign w:val="center"/>
          </w:tcPr>
          <w:p w14:paraId="23E7B493">
            <w:pPr>
              <w:rPr>
                <w:rFonts w:ascii="仿宋" w:hAnsi="仿宋" w:eastAsia="仿宋"/>
                <w:szCs w:val="21"/>
              </w:rPr>
            </w:pPr>
            <w:r>
              <w:rPr>
                <w:rFonts w:hint="eastAsia" w:ascii="仿宋" w:hAnsi="仿宋" w:eastAsia="仿宋"/>
                <w:szCs w:val="21"/>
              </w:rPr>
              <w:t>掌握现金流量折现模型与相对价值评估模型</w:t>
            </w:r>
          </w:p>
          <w:p w14:paraId="0B073D27">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b/>
                <w:szCs w:val="21"/>
              </w:rPr>
              <w:t>思政元素</w:t>
            </w:r>
            <w:r>
              <w:rPr>
                <w:rFonts w:hint="eastAsia" w:ascii="仿宋" w:hAnsi="仿宋" w:eastAsia="仿宋"/>
                <w:szCs w:val="21"/>
              </w:rPr>
              <w:t>：股价操纵、内部交易等不正当行为对金融市场稳定性的危害；金融从业者的职业规范与道德要求。</w:t>
            </w:r>
          </w:p>
        </w:tc>
        <w:tc>
          <w:tcPr>
            <w:tcW w:w="553" w:type="pct"/>
          </w:tcPr>
          <w:p w14:paraId="2FC1BB2A">
            <w:pPr>
              <w:suppressAutoHyphens/>
              <w:spacing w:before="156" w:beforeLines="50" w:after="156" w:afterLines="50" w:line="276" w:lineRule="auto"/>
              <w:jc w:val="center"/>
              <w:rPr>
                <w:rFonts w:eastAsia="仿宋"/>
                <w:b/>
                <w:spacing w:val="-3"/>
                <w:sz w:val="24"/>
              </w:rPr>
            </w:pPr>
            <w:r>
              <w:rPr>
                <w:rFonts w:hint="eastAsia" w:eastAsia="仿宋"/>
                <w:bCs/>
                <w:spacing w:val="-3"/>
                <w:sz w:val="24"/>
              </w:rPr>
              <w:t>讲授法、课堂报告、小组合作</w:t>
            </w:r>
          </w:p>
        </w:tc>
        <w:tc>
          <w:tcPr>
            <w:tcW w:w="553" w:type="pct"/>
            <w:vAlign w:val="center"/>
          </w:tcPr>
          <w:p w14:paraId="3636045D">
            <w:pPr>
              <w:suppressAutoHyphens/>
              <w:spacing w:before="156" w:beforeLines="50" w:after="156" w:afterLines="50" w:line="276" w:lineRule="auto"/>
              <w:jc w:val="center"/>
              <w:rPr>
                <w:rFonts w:eastAsia="仿宋"/>
                <w:b/>
                <w:spacing w:val="-3"/>
                <w:sz w:val="24"/>
              </w:rPr>
            </w:pPr>
            <w:r>
              <w:rPr>
                <w:rFonts w:hint="eastAsia" w:eastAsia="仿宋"/>
                <w:bCs/>
                <w:spacing w:val="-3"/>
                <w:sz w:val="24"/>
              </w:rPr>
              <w:t>小组报告、课堂展示</w:t>
            </w:r>
          </w:p>
        </w:tc>
        <w:tc>
          <w:tcPr>
            <w:tcW w:w="553" w:type="pct"/>
            <w:vAlign w:val="center"/>
          </w:tcPr>
          <w:p w14:paraId="51522FE9">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课程目标1、2、3</w:t>
            </w:r>
          </w:p>
        </w:tc>
      </w:tr>
      <w:tr w14:paraId="7140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2CF05D82">
            <w:pPr>
              <w:suppressAutoHyphens/>
              <w:spacing w:before="156" w:beforeLines="50" w:after="156" w:afterLines="50" w:line="276" w:lineRule="auto"/>
              <w:jc w:val="center"/>
              <w:rPr>
                <w:rFonts w:eastAsia="仿宋"/>
                <w:bCs/>
                <w:spacing w:val="-3"/>
                <w:sz w:val="24"/>
              </w:rPr>
            </w:pPr>
            <w:r>
              <w:rPr>
                <w:rFonts w:hint="eastAsia" w:eastAsia="仿宋"/>
                <w:bCs/>
                <w:spacing w:val="-3"/>
                <w:sz w:val="24"/>
              </w:rPr>
              <w:t>8</w:t>
            </w:r>
          </w:p>
        </w:tc>
        <w:tc>
          <w:tcPr>
            <w:tcW w:w="833" w:type="dxa"/>
            <w:shd w:val="clear" w:color="auto" w:fill="auto"/>
            <w:vAlign w:val="center"/>
          </w:tcPr>
          <w:p w14:paraId="1C401A9F">
            <w:pPr>
              <w:rPr>
                <w:rFonts w:eastAsia="仿宋"/>
                <w:b/>
                <w:spacing w:val="-3"/>
                <w:sz w:val="24"/>
                <w:lang w:val="en-GB"/>
              </w:rPr>
            </w:pPr>
            <w:r>
              <w:rPr>
                <w:rFonts w:hint="eastAsia" w:ascii="仿宋" w:hAnsi="仿宋" w:eastAsia="仿宋"/>
                <w:szCs w:val="21"/>
              </w:rPr>
              <w:t>第八章 企业资本结构</w:t>
            </w:r>
          </w:p>
        </w:tc>
        <w:tc>
          <w:tcPr>
            <w:tcW w:w="1000" w:type="pct"/>
            <w:shd w:val="clear" w:color="auto" w:fill="auto"/>
            <w:vAlign w:val="center"/>
          </w:tcPr>
          <w:p w14:paraId="624A09CB">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Cs w:val="21"/>
              </w:rPr>
              <w:t>1.1基本概念1.2资本结构理论</w:t>
            </w:r>
          </w:p>
        </w:tc>
        <w:tc>
          <w:tcPr>
            <w:tcW w:w="296" w:type="pct"/>
            <w:vAlign w:val="center"/>
          </w:tcPr>
          <w:p w14:paraId="4D66AE40">
            <w:pPr>
              <w:suppressAutoHyphens/>
              <w:spacing w:before="156" w:beforeLines="50" w:after="156" w:afterLines="50" w:line="276" w:lineRule="auto"/>
              <w:jc w:val="center"/>
              <w:rPr>
                <w:rFonts w:eastAsia="仿宋"/>
                <w:b/>
                <w:spacing w:val="-3"/>
                <w:sz w:val="24"/>
              </w:rPr>
            </w:pPr>
            <w:r>
              <w:rPr>
                <w:rFonts w:hint="eastAsia" w:eastAsia="仿宋"/>
                <w:b/>
                <w:spacing w:val="-3"/>
                <w:sz w:val="24"/>
              </w:rPr>
              <w:t>6</w:t>
            </w:r>
          </w:p>
        </w:tc>
        <w:tc>
          <w:tcPr>
            <w:tcW w:w="1200" w:type="pct"/>
            <w:vAlign w:val="center"/>
          </w:tcPr>
          <w:p w14:paraId="7737B09A">
            <w:pPr>
              <w:rPr>
                <w:rFonts w:ascii="仿宋" w:hAnsi="仿宋" w:eastAsia="仿宋"/>
                <w:szCs w:val="21"/>
              </w:rPr>
            </w:pPr>
            <w:r>
              <w:rPr>
                <w:rFonts w:hint="eastAsia" w:ascii="仿宋" w:hAnsi="仿宋" w:eastAsia="仿宋"/>
                <w:szCs w:val="21"/>
              </w:rPr>
              <w:t>1、理解资本结构与企业价值最大化之间的关系2、理解MM理论和其他理论</w:t>
            </w:r>
          </w:p>
          <w:p w14:paraId="2E7EFE9B">
            <w:pPr>
              <w:suppressAutoHyphens/>
              <w:spacing w:before="156" w:beforeLines="50" w:after="156" w:afterLines="50" w:line="276" w:lineRule="auto"/>
              <w:jc w:val="center"/>
              <w:rPr>
                <w:rFonts w:eastAsia="仿宋"/>
                <w:b/>
                <w:spacing w:val="-3"/>
                <w:sz w:val="24"/>
              </w:rPr>
            </w:pPr>
            <w:r>
              <w:rPr>
                <w:rFonts w:hint="eastAsia" w:ascii="仿宋" w:hAnsi="仿宋" w:eastAsia="仿宋"/>
                <w:b/>
                <w:bCs/>
                <w:szCs w:val="21"/>
              </w:rPr>
              <w:t>思政元素：</w:t>
            </w:r>
            <w:r>
              <w:rPr>
                <w:rFonts w:hint="eastAsia" w:ascii="仿宋" w:hAnsi="仿宋" w:eastAsia="仿宋"/>
                <w:szCs w:val="21"/>
              </w:rPr>
              <w:t>企业欺骗投资者的假信号的恶劣危害</w:t>
            </w:r>
          </w:p>
        </w:tc>
        <w:tc>
          <w:tcPr>
            <w:tcW w:w="553" w:type="pct"/>
          </w:tcPr>
          <w:p w14:paraId="58FA411F">
            <w:pPr>
              <w:suppressAutoHyphens/>
              <w:spacing w:before="156" w:beforeLines="50" w:after="156" w:afterLines="50" w:line="276" w:lineRule="auto"/>
              <w:jc w:val="center"/>
              <w:rPr>
                <w:rFonts w:eastAsia="仿宋"/>
                <w:b/>
                <w:spacing w:val="-3"/>
                <w:sz w:val="24"/>
              </w:rPr>
            </w:pPr>
            <w:r>
              <w:rPr>
                <w:rFonts w:hint="eastAsia" w:eastAsia="仿宋"/>
                <w:bCs/>
                <w:spacing w:val="-3"/>
                <w:sz w:val="24"/>
              </w:rPr>
              <w:t>讲授法、</w:t>
            </w:r>
          </w:p>
        </w:tc>
        <w:tc>
          <w:tcPr>
            <w:tcW w:w="553" w:type="pct"/>
            <w:vAlign w:val="center"/>
          </w:tcPr>
          <w:p w14:paraId="13A120AD">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rPr>
              <w:t>闭卷考试</w:t>
            </w:r>
          </w:p>
        </w:tc>
        <w:tc>
          <w:tcPr>
            <w:tcW w:w="553" w:type="pct"/>
            <w:vAlign w:val="center"/>
          </w:tcPr>
          <w:p w14:paraId="276F3B3B">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课程目标2、3</w:t>
            </w:r>
          </w:p>
        </w:tc>
      </w:tr>
      <w:tr w14:paraId="0B077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40E4347A">
            <w:pPr>
              <w:suppressAutoHyphens/>
              <w:spacing w:before="156" w:beforeLines="50" w:after="156" w:afterLines="50" w:line="276" w:lineRule="auto"/>
              <w:jc w:val="center"/>
              <w:rPr>
                <w:rFonts w:eastAsia="仿宋"/>
                <w:bCs/>
                <w:spacing w:val="-3"/>
                <w:sz w:val="24"/>
              </w:rPr>
            </w:pPr>
            <w:r>
              <w:rPr>
                <w:rFonts w:hint="eastAsia" w:eastAsia="仿宋"/>
                <w:bCs/>
                <w:spacing w:val="-3"/>
                <w:sz w:val="24"/>
              </w:rPr>
              <w:t>9</w:t>
            </w:r>
          </w:p>
        </w:tc>
        <w:tc>
          <w:tcPr>
            <w:tcW w:w="833" w:type="dxa"/>
            <w:shd w:val="clear" w:color="auto" w:fill="auto"/>
            <w:vAlign w:val="center"/>
          </w:tcPr>
          <w:p w14:paraId="0DBE0783">
            <w:pPr>
              <w:rPr>
                <w:rFonts w:eastAsia="仿宋"/>
                <w:b/>
                <w:spacing w:val="-3"/>
                <w:sz w:val="24"/>
                <w:lang w:val="en-GB"/>
              </w:rPr>
            </w:pPr>
            <w:r>
              <w:rPr>
                <w:rFonts w:hint="eastAsia" w:ascii="仿宋" w:hAnsi="仿宋" w:eastAsia="仿宋"/>
                <w:szCs w:val="21"/>
              </w:rPr>
              <w:t>第九章 股利政策</w:t>
            </w:r>
          </w:p>
        </w:tc>
        <w:tc>
          <w:tcPr>
            <w:tcW w:w="1000" w:type="pct"/>
            <w:shd w:val="clear" w:color="auto" w:fill="auto"/>
            <w:vAlign w:val="center"/>
          </w:tcPr>
          <w:p w14:paraId="4E32E23D">
            <w:pPr>
              <w:suppressAutoHyphens/>
              <w:spacing w:before="156" w:beforeLines="50" w:after="156" w:afterLines="50" w:line="276" w:lineRule="auto"/>
              <w:jc w:val="center"/>
              <w:rPr>
                <w:rFonts w:eastAsia="仿宋"/>
                <w:b/>
                <w:spacing w:val="-3"/>
                <w:sz w:val="24"/>
              </w:rPr>
            </w:pPr>
            <w:r>
              <w:rPr>
                <w:rFonts w:hint="eastAsia" w:ascii="仿宋" w:hAnsi="仿宋" w:eastAsia="仿宋"/>
                <w:szCs w:val="21"/>
              </w:rPr>
              <w:t>1.1基本概念1.2股利相关理论1.3股利政策无关论</w:t>
            </w:r>
          </w:p>
        </w:tc>
        <w:tc>
          <w:tcPr>
            <w:tcW w:w="296" w:type="pct"/>
            <w:vAlign w:val="center"/>
          </w:tcPr>
          <w:p w14:paraId="111E1A1A">
            <w:pPr>
              <w:suppressAutoHyphens/>
              <w:spacing w:before="156" w:beforeLines="50" w:after="156" w:afterLines="50" w:line="276" w:lineRule="auto"/>
              <w:jc w:val="center"/>
              <w:rPr>
                <w:rFonts w:eastAsia="仿宋"/>
                <w:b/>
                <w:spacing w:val="-3"/>
                <w:sz w:val="24"/>
              </w:rPr>
            </w:pPr>
            <w:r>
              <w:rPr>
                <w:rFonts w:hint="eastAsia" w:eastAsia="仿宋"/>
                <w:b/>
                <w:spacing w:val="-3"/>
                <w:sz w:val="24"/>
              </w:rPr>
              <w:t>6</w:t>
            </w:r>
          </w:p>
        </w:tc>
        <w:tc>
          <w:tcPr>
            <w:tcW w:w="1200" w:type="pct"/>
            <w:vAlign w:val="center"/>
          </w:tcPr>
          <w:p w14:paraId="4ADC060D">
            <w:pPr>
              <w:suppressAutoHyphens/>
              <w:spacing w:before="156" w:beforeLines="50" w:after="156" w:afterLines="50" w:line="276" w:lineRule="auto"/>
              <w:jc w:val="center"/>
              <w:rPr>
                <w:rFonts w:eastAsia="仿宋"/>
                <w:b/>
                <w:spacing w:val="-3"/>
                <w:sz w:val="24"/>
              </w:rPr>
            </w:pPr>
            <w:r>
              <w:rPr>
                <w:rFonts w:hint="eastAsia" w:ascii="仿宋" w:hAnsi="仿宋" w:eastAsia="仿宋"/>
                <w:szCs w:val="21"/>
              </w:rPr>
              <w:t>1、了解股利的形式、支付方式2、了解股利政策相关论和无关论</w:t>
            </w:r>
          </w:p>
        </w:tc>
        <w:tc>
          <w:tcPr>
            <w:tcW w:w="553" w:type="pct"/>
          </w:tcPr>
          <w:p w14:paraId="75E0F9CF">
            <w:pPr>
              <w:suppressAutoHyphens/>
              <w:spacing w:before="156" w:beforeLines="50" w:after="156" w:afterLines="50" w:line="276" w:lineRule="auto"/>
              <w:jc w:val="center"/>
              <w:rPr>
                <w:rFonts w:eastAsia="仿宋"/>
                <w:b/>
                <w:spacing w:val="-3"/>
                <w:sz w:val="24"/>
              </w:rPr>
            </w:pPr>
            <w:r>
              <w:rPr>
                <w:rFonts w:hint="eastAsia" w:eastAsia="仿宋"/>
                <w:bCs/>
                <w:spacing w:val="-3"/>
                <w:sz w:val="24"/>
              </w:rPr>
              <w:t>讲授法、案例</w:t>
            </w:r>
          </w:p>
        </w:tc>
        <w:tc>
          <w:tcPr>
            <w:tcW w:w="553" w:type="pct"/>
            <w:vAlign w:val="center"/>
          </w:tcPr>
          <w:p w14:paraId="52DC7947">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rPr>
              <w:t>闭卷考试</w:t>
            </w:r>
          </w:p>
        </w:tc>
        <w:tc>
          <w:tcPr>
            <w:tcW w:w="553" w:type="pct"/>
            <w:vAlign w:val="center"/>
          </w:tcPr>
          <w:p w14:paraId="6F257507">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课程目标2、3</w:t>
            </w:r>
          </w:p>
        </w:tc>
      </w:tr>
    </w:tbl>
    <w:p w14:paraId="398864B9">
      <w:pPr>
        <w:spacing w:after="156" w:afterLines="50" w:line="400" w:lineRule="exact"/>
        <w:rPr>
          <w:rFonts w:eastAsia="仿宋"/>
          <w:color w:val="000000"/>
          <w:sz w:val="24"/>
        </w:rPr>
      </w:pPr>
    </w:p>
    <w:p w14:paraId="408CCEF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74EDD28B">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62B30A64">
      <w:pPr>
        <w:snapToGrid w:val="0"/>
        <w:spacing w:line="360" w:lineRule="auto"/>
        <w:ind w:firstLine="482"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themeColor="text1"/>
          <w:sz w:val="24"/>
          <w14:textFill>
            <w14:solidFill>
              <w14:schemeClr w14:val="tx1"/>
            </w14:solidFill>
          </w14:textFill>
        </w:rPr>
        <w:t>百分制</w:t>
      </w:r>
    </w:p>
    <w:p w14:paraId="09A28DC0">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过程成绩50</w:t>
      </w:r>
      <w:r>
        <w:rPr>
          <w:rFonts w:eastAsia="仿宋"/>
          <w:sz w:val="24"/>
        </w:rPr>
        <w:t>%</w:t>
      </w:r>
      <w:r>
        <w:rPr>
          <w:rFonts w:hint="eastAsia" w:eastAsia="仿宋"/>
          <w:sz w:val="24"/>
        </w:rPr>
        <w:t>，实验成绩0</w:t>
      </w:r>
      <w:r>
        <w:rPr>
          <w:rFonts w:eastAsia="仿宋"/>
          <w:sz w:val="24"/>
        </w:rPr>
        <w:t>%</w:t>
      </w:r>
      <w:r>
        <w:rPr>
          <w:rFonts w:hint="eastAsia" w:eastAsia="仿宋"/>
          <w:sz w:val="24"/>
        </w:rPr>
        <w:t>，结课考核成绩50</w:t>
      </w:r>
      <w:r>
        <w:rPr>
          <w:rFonts w:eastAsia="仿宋"/>
          <w:sz w:val="24"/>
        </w:rPr>
        <w:t>%</w:t>
      </w:r>
    </w:p>
    <w:p w14:paraId="3C24B60C">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761"/>
        <w:gridCol w:w="712"/>
        <w:gridCol w:w="2880"/>
        <w:gridCol w:w="1488"/>
      </w:tblGrid>
      <w:tr w14:paraId="4802E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5" w:type="dxa"/>
            <w:gridSpan w:val="2"/>
            <w:shd w:val="clear" w:color="auto" w:fill="auto"/>
            <w:vAlign w:val="center"/>
          </w:tcPr>
          <w:p w14:paraId="6768C62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712" w:type="dxa"/>
          </w:tcPr>
          <w:p w14:paraId="398666D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2880" w:type="dxa"/>
          </w:tcPr>
          <w:p w14:paraId="7424011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1488" w:type="dxa"/>
          </w:tcPr>
          <w:p w14:paraId="244A0DD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1D80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vMerge w:val="restart"/>
            <w:shd w:val="clear" w:color="auto" w:fill="auto"/>
            <w:vAlign w:val="center"/>
          </w:tcPr>
          <w:p w14:paraId="3181978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761" w:type="dxa"/>
            <w:shd w:val="clear" w:color="auto" w:fill="auto"/>
            <w:vAlign w:val="center"/>
          </w:tcPr>
          <w:p w14:paraId="539EF90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712" w:type="dxa"/>
          </w:tcPr>
          <w:p w14:paraId="14C4330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2880" w:type="dxa"/>
          </w:tcPr>
          <w:p w14:paraId="45E535FB">
            <w:pPr>
              <w:snapToGrid w:val="0"/>
              <w:spacing w:line="360" w:lineRule="auto"/>
              <w:jc w:val="center"/>
              <w:rPr>
                <w:rFonts w:ascii="仿宋" w:hAnsi="仿宋" w:eastAsia="仿宋"/>
                <w:b/>
                <w:color w:val="000000"/>
                <w:sz w:val="24"/>
              </w:rPr>
            </w:pPr>
            <w:r>
              <w:rPr>
                <w:rFonts w:hint="eastAsia" w:ascii="仿宋" w:hAnsi="仿宋" w:eastAsia="仿宋"/>
                <w:bCs/>
                <w:color w:val="000000"/>
                <w:sz w:val="24"/>
              </w:rPr>
              <w:t>计算题4道，简答题2道/20分、10分、10分、10分、25分、25分</w:t>
            </w:r>
          </w:p>
        </w:tc>
        <w:tc>
          <w:tcPr>
            <w:tcW w:w="1488" w:type="dxa"/>
          </w:tcPr>
          <w:p w14:paraId="0554B3C1">
            <w:pPr>
              <w:snapToGrid w:val="0"/>
              <w:spacing w:line="360" w:lineRule="auto"/>
              <w:jc w:val="center"/>
              <w:rPr>
                <w:rFonts w:ascii="仿宋" w:hAnsi="仿宋" w:eastAsia="仿宋"/>
                <w:b/>
                <w:color w:val="000000"/>
                <w:sz w:val="24"/>
              </w:rPr>
            </w:pPr>
            <w:r>
              <w:rPr>
                <w:rFonts w:hint="eastAsia" w:ascii="仿宋" w:hAnsi="仿宋" w:eastAsia="仿宋"/>
                <w:color w:val="000000"/>
                <w:kern w:val="0"/>
                <w:sz w:val="24"/>
              </w:rPr>
              <w:t>课程目标2、3</w:t>
            </w:r>
          </w:p>
        </w:tc>
      </w:tr>
      <w:tr w14:paraId="36D92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vMerge w:val="continue"/>
            <w:shd w:val="clear" w:color="auto" w:fill="auto"/>
            <w:vAlign w:val="center"/>
          </w:tcPr>
          <w:p w14:paraId="6E01E3D1">
            <w:pPr>
              <w:snapToGrid w:val="0"/>
              <w:spacing w:line="360" w:lineRule="auto"/>
              <w:jc w:val="center"/>
              <w:rPr>
                <w:rFonts w:ascii="仿宋" w:hAnsi="仿宋" w:eastAsia="仿宋"/>
                <w:b/>
                <w:color w:val="000000"/>
                <w:sz w:val="24"/>
              </w:rPr>
            </w:pPr>
          </w:p>
        </w:tc>
        <w:tc>
          <w:tcPr>
            <w:tcW w:w="761" w:type="dxa"/>
            <w:shd w:val="clear" w:color="auto" w:fill="auto"/>
            <w:vAlign w:val="center"/>
          </w:tcPr>
          <w:p w14:paraId="598DA82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课堂论文</w:t>
            </w:r>
          </w:p>
        </w:tc>
        <w:tc>
          <w:tcPr>
            <w:tcW w:w="712" w:type="dxa"/>
          </w:tcPr>
          <w:p w14:paraId="2A7901A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15</w:t>
            </w:r>
          </w:p>
        </w:tc>
        <w:tc>
          <w:tcPr>
            <w:tcW w:w="2880" w:type="dxa"/>
          </w:tcPr>
          <w:p w14:paraId="7F40B4C2">
            <w:pPr>
              <w:pStyle w:val="20"/>
              <w:spacing w:line="360" w:lineRule="auto"/>
              <w:ind w:firstLine="0" w:firstLineChars="0"/>
              <w:rPr>
                <w:rFonts w:ascii="宋体" w:hAnsi="宋体"/>
                <w:bCs/>
                <w:szCs w:val="21"/>
              </w:rPr>
            </w:pPr>
            <w:r>
              <w:rPr>
                <w:rFonts w:hint="eastAsia" w:ascii="宋体" w:hAnsi="宋体"/>
                <w:bCs/>
                <w:szCs w:val="21"/>
              </w:rPr>
              <w:t>（百分制，换算为占总成绩15%）1、在选题范围内，小组讨论后选择相应选题，需对选题进行具体和细化，需与行为金融学所学内容相结合（10分）</w:t>
            </w:r>
          </w:p>
          <w:p w14:paraId="706381EA">
            <w:pPr>
              <w:pStyle w:val="20"/>
              <w:spacing w:line="360" w:lineRule="auto"/>
              <w:ind w:firstLine="0" w:firstLineChars="0"/>
              <w:rPr>
                <w:rFonts w:ascii="宋体" w:hAnsi="宋体"/>
                <w:bCs/>
                <w:szCs w:val="21"/>
              </w:rPr>
            </w:pPr>
            <w:r>
              <w:rPr>
                <w:rFonts w:hint="eastAsia" w:ascii="宋体" w:hAnsi="宋体"/>
                <w:bCs/>
                <w:szCs w:val="21"/>
              </w:rPr>
              <w:t>2、在截止日之前提交论文纸质版（10分），逾期补交（扣5分）</w:t>
            </w:r>
          </w:p>
          <w:p w14:paraId="347BEF8F">
            <w:pPr>
              <w:snapToGrid w:val="0"/>
              <w:spacing w:line="360" w:lineRule="auto"/>
              <w:jc w:val="left"/>
              <w:rPr>
                <w:rFonts w:ascii="宋体" w:hAnsi="宋体"/>
                <w:bCs/>
                <w:szCs w:val="21"/>
              </w:rPr>
            </w:pPr>
            <w:r>
              <w:rPr>
                <w:rFonts w:hint="eastAsia" w:ascii="宋体" w:hAnsi="宋体"/>
                <w:bCs/>
                <w:szCs w:val="21"/>
              </w:rPr>
              <w:t>3、论文封面、格式需按照要求完成，内容与选题结合紧密，字数不得少于3000字，需标注小组内组员分工情况（20分）</w:t>
            </w:r>
          </w:p>
          <w:p w14:paraId="11A21D0A">
            <w:pPr>
              <w:snapToGrid w:val="0"/>
              <w:spacing w:line="360" w:lineRule="auto"/>
              <w:jc w:val="center"/>
              <w:rPr>
                <w:rFonts w:ascii="仿宋" w:hAnsi="仿宋" w:eastAsia="仿宋"/>
                <w:b/>
                <w:color w:val="000000"/>
                <w:sz w:val="24"/>
              </w:rPr>
            </w:pPr>
            <w:r>
              <w:rPr>
                <w:rFonts w:hint="eastAsia" w:ascii="宋体" w:hAnsi="宋体"/>
                <w:bCs/>
                <w:szCs w:val="21"/>
              </w:rPr>
              <w:t>4、论文结构完整明了，思路清晰，语言描述合理，内容充实，能够对所选题目进行充分研究，并得出相应结论（40分）</w:t>
            </w:r>
          </w:p>
        </w:tc>
        <w:tc>
          <w:tcPr>
            <w:tcW w:w="1488" w:type="dxa"/>
          </w:tcPr>
          <w:p w14:paraId="1340C52E">
            <w:pPr>
              <w:snapToGrid w:val="0"/>
              <w:spacing w:line="360" w:lineRule="auto"/>
              <w:jc w:val="center"/>
              <w:rPr>
                <w:rFonts w:ascii="仿宋" w:hAnsi="仿宋" w:eastAsia="仿宋"/>
                <w:b/>
                <w:color w:val="000000"/>
                <w:sz w:val="24"/>
              </w:rPr>
            </w:pPr>
            <w:r>
              <w:rPr>
                <w:rFonts w:hint="eastAsia" w:ascii="仿宋" w:hAnsi="仿宋" w:eastAsia="仿宋"/>
                <w:color w:val="000000"/>
                <w:kern w:val="0"/>
                <w:sz w:val="24"/>
              </w:rPr>
              <w:t>课程目标1、2、3</w:t>
            </w:r>
          </w:p>
        </w:tc>
      </w:tr>
      <w:tr w14:paraId="6CB4F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64" w:type="dxa"/>
            <w:vMerge w:val="continue"/>
            <w:shd w:val="clear" w:color="auto" w:fill="auto"/>
            <w:vAlign w:val="center"/>
          </w:tcPr>
          <w:p w14:paraId="42B4F7A1">
            <w:pPr>
              <w:snapToGrid w:val="0"/>
              <w:spacing w:line="360" w:lineRule="auto"/>
              <w:jc w:val="center"/>
              <w:rPr>
                <w:rFonts w:ascii="仿宋" w:hAnsi="仿宋" w:eastAsia="仿宋"/>
                <w:b/>
                <w:color w:val="000000"/>
                <w:sz w:val="24"/>
              </w:rPr>
            </w:pPr>
          </w:p>
        </w:tc>
        <w:tc>
          <w:tcPr>
            <w:tcW w:w="761" w:type="dxa"/>
            <w:shd w:val="clear" w:color="auto" w:fill="auto"/>
            <w:vAlign w:val="center"/>
          </w:tcPr>
          <w:p w14:paraId="338CB0AF">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课堂</w:t>
            </w:r>
            <w:r>
              <w:rPr>
                <w:rFonts w:hint="eastAsia" w:ascii="仿宋" w:hAnsi="仿宋" w:eastAsia="仿宋"/>
                <w:b/>
                <w:color w:val="000000"/>
                <w:sz w:val="24"/>
                <w:lang w:val="en-US" w:eastAsia="zh-CN"/>
              </w:rPr>
              <w:t>表现</w:t>
            </w:r>
          </w:p>
        </w:tc>
        <w:tc>
          <w:tcPr>
            <w:tcW w:w="712" w:type="dxa"/>
          </w:tcPr>
          <w:p w14:paraId="3762F135">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5</w:t>
            </w:r>
          </w:p>
        </w:tc>
        <w:tc>
          <w:tcPr>
            <w:tcW w:w="2880" w:type="dxa"/>
          </w:tcPr>
          <w:p w14:paraId="69CC4A9B">
            <w:pPr>
              <w:snapToGrid w:val="0"/>
              <w:spacing w:line="360" w:lineRule="auto"/>
              <w:jc w:val="center"/>
              <w:rPr>
                <w:rFonts w:hint="default" w:ascii="仿宋" w:hAnsi="仿宋" w:eastAsia="仿宋"/>
                <w:bCs/>
                <w:color w:val="000000"/>
                <w:sz w:val="24"/>
                <w:lang w:val="en-US" w:eastAsia="zh-CN"/>
              </w:rPr>
            </w:pPr>
            <w:r>
              <w:rPr>
                <w:rFonts w:hint="eastAsia" w:ascii="仿宋" w:hAnsi="仿宋" w:eastAsia="仿宋"/>
                <w:bCs/>
                <w:color w:val="000000"/>
                <w:sz w:val="24"/>
                <w:lang w:val="en-US" w:eastAsia="zh-CN"/>
              </w:rPr>
              <w:t>积极回答问题、表现活跃</w:t>
            </w:r>
          </w:p>
        </w:tc>
        <w:tc>
          <w:tcPr>
            <w:tcW w:w="1488" w:type="dxa"/>
          </w:tcPr>
          <w:p w14:paraId="5D56F9AB">
            <w:pPr>
              <w:snapToGrid w:val="0"/>
              <w:spacing w:line="360" w:lineRule="auto"/>
              <w:jc w:val="center"/>
              <w:rPr>
                <w:rFonts w:ascii="仿宋" w:hAnsi="仿宋" w:eastAsia="仿宋"/>
                <w:b/>
                <w:color w:val="000000"/>
                <w:sz w:val="24"/>
              </w:rPr>
            </w:pPr>
            <w:r>
              <w:rPr>
                <w:rFonts w:hint="eastAsia" w:ascii="仿宋" w:hAnsi="仿宋" w:eastAsia="仿宋"/>
                <w:color w:val="000000"/>
                <w:kern w:val="0"/>
                <w:sz w:val="24"/>
              </w:rPr>
              <w:t>课程目标1、2、3</w:t>
            </w:r>
          </w:p>
        </w:tc>
      </w:tr>
      <w:tr w14:paraId="64A1E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64" w:type="dxa"/>
            <w:vMerge w:val="continue"/>
            <w:shd w:val="clear" w:color="auto" w:fill="auto"/>
            <w:vAlign w:val="center"/>
          </w:tcPr>
          <w:p w14:paraId="1FE59077">
            <w:pPr>
              <w:snapToGrid w:val="0"/>
              <w:spacing w:line="360" w:lineRule="auto"/>
              <w:jc w:val="center"/>
            </w:pPr>
          </w:p>
        </w:tc>
        <w:tc>
          <w:tcPr>
            <w:tcW w:w="761" w:type="dxa"/>
            <w:shd w:val="clear" w:color="auto" w:fill="auto"/>
            <w:vAlign w:val="center"/>
          </w:tcPr>
          <w:p w14:paraId="5F8BC08A">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随堂测试</w:t>
            </w:r>
          </w:p>
        </w:tc>
        <w:tc>
          <w:tcPr>
            <w:tcW w:w="712" w:type="dxa"/>
          </w:tcPr>
          <w:p w14:paraId="3810FA9A">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2880" w:type="dxa"/>
          </w:tcPr>
          <w:p w14:paraId="26F1B5B5">
            <w:pPr>
              <w:snapToGrid w:val="0"/>
              <w:spacing w:line="360" w:lineRule="auto"/>
              <w:jc w:val="left"/>
              <w:rPr>
                <w:rFonts w:hint="eastAsia" w:ascii="宋体" w:hAnsi="宋体"/>
                <w:bCs/>
                <w:szCs w:val="21"/>
                <w:lang w:val="en-US" w:eastAsia="zh-CN"/>
              </w:rPr>
            </w:pPr>
            <w:r>
              <w:rPr>
                <w:rFonts w:hint="eastAsia" w:ascii="宋体" w:hAnsi="宋体"/>
                <w:bCs/>
                <w:szCs w:val="21"/>
                <w:lang w:val="en-US" w:eastAsia="zh-CN"/>
              </w:rPr>
              <w:t>随机随堂测试，按</w:t>
            </w:r>
          </w:p>
          <w:p w14:paraId="2AC68A73">
            <w:pPr>
              <w:snapToGrid w:val="0"/>
              <w:spacing w:line="360" w:lineRule="auto"/>
              <w:jc w:val="left"/>
              <w:rPr>
                <w:rFonts w:hint="default" w:ascii="仿宋" w:hAnsi="仿宋" w:eastAsia="仿宋"/>
                <w:b/>
                <w:color w:val="000000"/>
                <w:sz w:val="24"/>
                <w:lang w:val="en-US" w:eastAsia="zh-CN"/>
              </w:rPr>
            </w:pPr>
            <w:r>
              <w:rPr>
                <w:rFonts w:hint="eastAsia" w:ascii="宋体" w:hAnsi="宋体"/>
                <w:bCs/>
                <w:szCs w:val="21"/>
                <w:lang w:val="en-US" w:eastAsia="zh-CN"/>
              </w:rPr>
              <w:t>A（100/95/90）、B(85/80/75)、C(70/65/60)、D(55/50/45)等级评分。</w:t>
            </w:r>
          </w:p>
        </w:tc>
        <w:tc>
          <w:tcPr>
            <w:tcW w:w="1488" w:type="dxa"/>
          </w:tcPr>
          <w:p w14:paraId="5F8E9FEA">
            <w:pPr>
              <w:snapToGrid w:val="0"/>
              <w:spacing w:line="360" w:lineRule="auto"/>
              <w:jc w:val="center"/>
              <w:rPr>
                <w:rFonts w:hint="eastAsia" w:ascii="仿宋" w:hAnsi="仿宋" w:eastAsia="仿宋"/>
                <w:b/>
                <w:color w:val="000000"/>
                <w:sz w:val="24"/>
              </w:rPr>
            </w:pPr>
          </w:p>
        </w:tc>
      </w:tr>
      <w:tr w14:paraId="4C3A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vMerge w:val="continue"/>
            <w:shd w:val="clear" w:color="auto" w:fill="auto"/>
            <w:vAlign w:val="center"/>
          </w:tcPr>
          <w:p w14:paraId="761D4F91">
            <w:pPr>
              <w:snapToGrid w:val="0"/>
              <w:spacing w:line="360" w:lineRule="auto"/>
              <w:jc w:val="center"/>
              <w:rPr>
                <w:rFonts w:ascii="仿宋" w:hAnsi="仿宋" w:eastAsia="仿宋"/>
                <w:b/>
                <w:color w:val="000000"/>
                <w:sz w:val="24"/>
              </w:rPr>
            </w:pPr>
          </w:p>
        </w:tc>
        <w:tc>
          <w:tcPr>
            <w:tcW w:w="761" w:type="dxa"/>
            <w:shd w:val="clear" w:color="auto" w:fill="auto"/>
            <w:vAlign w:val="center"/>
          </w:tcPr>
          <w:p w14:paraId="5D8273DF">
            <w:pPr>
              <w:snapToGrid w:val="0"/>
              <w:spacing w:line="360" w:lineRule="auto"/>
              <w:rPr>
                <w:rFonts w:ascii="仿宋" w:hAnsi="仿宋" w:eastAsia="仿宋"/>
                <w:b/>
                <w:color w:val="000000"/>
                <w:sz w:val="24"/>
              </w:rPr>
            </w:pPr>
            <w:r>
              <w:rPr>
                <w:rFonts w:hint="eastAsia" w:ascii="仿宋" w:hAnsi="仿宋" w:eastAsia="仿宋"/>
                <w:b/>
                <w:color w:val="000000"/>
                <w:sz w:val="24"/>
              </w:rPr>
              <w:t>考勤</w:t>
            </w:r>
          </w:p>
        </w:tc>
        <w:tc>
          <w:tcPr>
            <w:tcW w:w="712" w:type="dxa"/>
          </w:tcPr>
          <w:p w14:paraId="70A4182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2880" w:type="dxa"/>
          </w:tcPr>
          <w:p w14:paraId="623EE6A8">
            <w:pPr>
              <w:snapToGrid w:val="0"/>
              <w:spacing w:line="360" w:lineRule="auto"/>
              <w:jc w:val="center"/>
              <w:rPr>
                <w:rFonts w:ascii="仿宋" w:hAnsi="仿宋" w:eastAsia="仿宋"/>
                <w:bCs/>
                <w:color w:val="000000"/>
                <w:sz w:val="24"/>
              </w:rPr>
            </w:pPr>
            <w:r>
              <w:rPr>
                <w:rFonts w:hint="eastAsia" w:ascii="仿宋" w:hAnsi="仿宋" w:eastAsia="仿宋"/>
                <w:bCs/>
                <w:color w:val="000000"/>
                <w:sz w:val="24"/>
              </w:rPr>
              <w:t>点名10次，每次1分</w:t>
            </w:r>
          </w:p>
        </w:tc>
        <w:tc>
          <w:tcPr>
            <w:tcW w:w="1488" w:type="dxa"/>
          </w:tcPr>
          <w:p w14:paraId="2223A342">
            <w:pPr>
              <w:snapToGrid w:val="0"/>
              <w:spacing w:line="360" w:lineRule="auto"/>
              <w:jc w:val="center"/>
              <w:rPr>
                <w:rFonts w:ascii="仿宋" w:hAnsi="仿宋" w:eastAsia="仿宋"/>
                <w:b/>
                <w:color w:val="000000"/>
                <w:sz w:val="24"/>
              </w:rPr>
            </w:pPr>
            <w:r>
              <w:rPr>
                <w:rFonts w:hint="eastAsia" w:ascii="仿宋" w:hAnsi="仿宋" w:eastAsia="仿宋"/>
                <w:color w:val="000000"/>
                <w:kern w:val="0"/>
                <w:sz w:val="24"/>
              </w:rPr>
              <w:t>课程目标1</w:t>
            </w:r>
          </w:p>
        </w:tc>
      </w:tr>
      <w:tr w14:paraId="02544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shd w:val="clear" w:color="auto" w:fill="auto"/>
            <w:vAlign w:val="center"/>
          </w:tcPr>
          <w:p w14:paraId="0ADD7DF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6E3682E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闭卷笔试</w:t>
            </w:r>
          </w:p>
        </w:tc>
        <w:tc>
          <w:tcPr>
            <w:tcW w:w="712" w:type="dxa"/>
          </w:tcPr>
          <w:p w14:paraId="3C48189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50</w:t>
            </w:r>
          </w:p>
        </w:tc>
        <w:tc>
          <w:tcPr>
            <w:tcW w:w="2880" w:type="dxa"/>
          </w:tcPr>
          <w:p w14:paraId="34E4B991">
            <w:pPr>
              <w:snapToGrid w:val="0"/>
              <w:spacing w:line="360" w:lineRule="auto"/>
              <w:jc w:val="left"/>
              <w:rPr>
                <w:rFonts w:ascii="仿宋" w:hAnsi="仿宋" w:eastAsia="仿宋"/>
                <w:bCs/>
                <w:color w:val="0070C0"/>
                <w:sz w:val="24"/>
              </w:rPr>
            </w:pPr>
            <w:r>
              <w:rPr>
                <w:rFonts w:hint="eastAsia" w:ascii="仿宋" w:hAnsi="仿宋" w:eastAsia="仿宋"/>
                <w:bCs/>
                <w:sz w:val="24"/>
              </w:rPr>
              <w:t>单选题（20分）、判断题（10分）、计算题（30分）、简答题（40分）</w:t>
            </w:r>
          </w:p>
        </w:tc>
        <w:tc>
          <w:tcPr>
            <w:tcW w:w="1488" w:type="dxa"/>
          </w:tcPr>
          <w:p w14:paraId="45AFBF8D">
            <w:pPr>
              <w:snapToGrid w:val="0"/>
              <w:spacing w:line="360" w:lineRule="auto"/>
              <w:jc w:val="center"/>
              <w:rPr>
                <w:rFonts w:ascii="仿宋" w:hAnsi="仿宋" w:eastAsia="仿宋"/>
                <w:b/>
                <w:color w:val="000000"/>
                <w:sz w:val="24"/>
              </w:rPr>
            </w:pPr>
            <w:r>
              <w:rPr>
                <w:rFonts w:hint="eastAsia" w:ascii="仿宋" w:hAnsi="仿宋" w:eastAsia="仿宋"/>
                <w:color w:val="000000"/>
                <w:kern w:val="0"/>
                <w:sz w:val="24"/>
              </w:rPr>
              <w:t>课程目标2、3</w:t>
            </w:r>
          </w:p>
        </w:tc>
      </w:tr>
    </w:tbl>
    <w:p w14:paraId="7DA1893D">
      <w:pPr>
        <w:snapToGrid w:val="0"/>
        <w:spacing w:line="360" w:lineRule="auto"/>
        <w:ind w:firstLine="482" w:firstLineChars="200"/>
        <w:rPr>
          <w:rFonts w:ascii="仿宋" w:hAnsi="仿宋" w:eastAsia="仿宋"/>
          <w:b/>
          <w:color w:val="000000"/>
          <w:sz w:val="24"/>
        </w:rPr>
      </w:pPr>
    </w:p>
    <w:p w14:paraId="7787360E">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418"/>
        <w:gridCol w:w="1417"/>
        <w:gridCol w:w="1418"/>
        <w:gridCol w:w="1134"/>
        <w:gridCol w:w="850"/>
      </w:tblGrid>
      <w:tr w14:paraId="5B20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985" w:type="dxa"/>
            <w:gridSpan w:val="2"/>
            <w:vMerge w:val="restart"/>
            <w:shd w:val="clear" w:color="auto" w:fill="auto"/>
            <w:vAlign w:val="center"/>
          </w:tcPr>
          <w:p w14:paraId="1931A03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1417" w:type="dxa"/>
            <w:vMerge w:val="restart"/>
            <w:vAlign w:val="center"/>
          </w:tcPr>
          <w:p w14:paraId="1FDC226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3402" w:type="dxa"/>
            <w:gridSpan w:val="3"/>
            <w:shd w:val="clear" w:color="auto" w:fill="auto"/>
          </w:tcPr>
          <w:p w14:paraId="07DE42E0">
            <w:pPr>
              <w:widowControl/>
              <w:jc w:val="center"/>
            </w:pPr>
            <w:r>
              <w:rPr>
                <w:rFonts w:hint="eastAsia" w:ascii="仿宋" w:hAnsi="仿宋" w:eastAsia="仿宋"/>
                <w:b/>
                <w:color w:val="000000"/>
                <w:sz w:val="24"/>
              </w:rPr>
              <w:t>各考核项目对应课程目标的分值</w:t>
            </w:r>
          </w:p>
        </w:tc>
      </w:tr>
      <w:tr w14:paraId="22500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gridSpan w:val="2"/>
            <w:vMerge w:val="continue"/>
            <w:shd w:val="clear" w:color="auto" w:fill="auto"/>
            <w:vAlign w:val="center"/>
          </w:tcPr>
          <w:p w14:paraId="7BF61E06">
            <w:pPr>
              <w:snapToGrid w:val="0"/>
              <w:spacing w:line="360" w:lineRule="auto"/>
              <w:jc w:val="center"/>
              <w:rPr>
                <w:rFonts w:ascii="仿宋" w:hAnsi="仿宋" w:eastAsia="仿宋"/>
                <w:b/>
                <w:color w:val="000000"/>
                <w:sz w:val="24"/>
              </w:rPr>
            </w:pPr>
          </w:p>
        </w:tc>
        <w:tc>
          <w:tcPr>
            <w:tcW w:w="1417" w:type="dxa"/>
            <w:vMerge w:val="continue"/>
          </w:tcPr>
          <w:p w14:paraId="2BEAC8B6">
            <w:pPr>
              <w:snapToGrid w:val="0"/>
              <w:spacing w:line="360" w:lineRule="auto"/>
              <w:jc w:val="center"/>
              <w:rPr>
                <w:rFonts w:ascii="仿宋" w:hAnsi="仿宋" w:eastAsia="仿宋"/>
                <w:b/>
                <w:color w:val="000000"/>
                <w:sz w:val="24"/>
              </w:rPr>
            </w:pPr>
          </w:p>
        </w:tc>
        <w:tc>
          <w:tcPr>
            <w:tcW w:w="1418" w:type="dxa"/>
            <w:shd w:val="clear" w:color="auto" w:fill="auto"/>
            <w:vAlign w:val="center"/>
          </w:tcPr>
          <w:p w14:paraId="6922C3C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1134" w:type="dxa"/>
          </w:tcPr>
          <w:p w14:paraId="75BCDAE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850" w:type="dxa"/>
          </w:tcPr>
          <w:p w14:paraId="6927435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1DEE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restart"/>
            <w:shd w:val="clear" w:color="auto" w:fill="auto"/>
            <w:vAlign w:val="center"/>
          </w:tcPr>
          <w:p w14:paraId="7220E3E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1418" w:type="dxa"/>
            <w:shd w:val="clear" w:color="auto" w:fill="auto"/>
            <w:vAlign w:val="center"/>
          </w:tcPr>
          <w:p w14:paraId="72D4C5F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1417" w:type="dxa"/>
          </w:tcPr>
          <w:p w14:paraId="67BAE6C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1418" w:type="dxa"/>
            <w:shd w:val="clear" w:color="auto" w:fill="auto"/>
            <w:vAlign w:val="center"/>
          </w:tcPr>
          <w:p w14:paraId="08351321">
            <w:pPr>
              <w:snapToGrid w:val="0"/>
              <w:spacing w:line="360" w:lineRule="auto"/>
              <w:jc w:val="center"/>
              <w:rPr>
                <w:rFonts w:ascii="仿宋" w:hAnsi="仿宋" w:eastAsia="仿宋"/>
                <w:b/>
                <w:color w:val="000000"/>
                <w:sz w:val="24"/>
              </w:rPr>
            </w:pPr>
          </w:p>
        </w:tc>
        <w:tc>
          <w:tcPr>
            <w:tcW w:w="1134" w:type="dxa"/>
          </w:tcPr>
          <w:p w14:paraId="772B857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850" w:type="dxa"/>
          </w:tcPr>
          <w:p w14:paraId="5BAD2EEE">
            <w:pPr>
              <w:snapToGrid w:val="0"/>
              <w:spacing w:line="360" w:lineRule="auto"/>
              <w:jc w:val="center"/>
              <w:rPr>
                <w:rFonts w:ascii="仿宋" w:hAnsi="仿宋" w:eastAsia="仿宋"/>
                <w:b/>
                <w:color w:val="000000"/>
                <w:sz w:val="24"/>
              </w:rPr>
            </w:pPr>
          </w:p>
        </w:tc>
      </w:tr>
      <w:tr w14:paraId="5F5B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shd w:val="clear" w:color="auto" w:fill="auto"/>
            <w:vAlign w:val="center"/>
          </w:tcPr>
          <w:p w14:paraId="5722AEF0">
            <w:pPr>
              <w:snapToGrid w:val="0"/>
              <w:spacing w:line="360" w:lineRule="auto"/>
              <w:jc w:val="center"/>
              <w:rPr>
                <w:rFonts w:ascii="仿宋" w:hAnsi="仿宋" w:eastAsia="仿宋"/>
                <w:b/>
                <w:color w:val="000000"/>
                <w:sz w:val="24"/>
              </w:rPr>
            </w:pPr>
          </w:p>
        </w:tc>
        <w:tc>
          <w:tcPr>
            <w:tcW w:w="1418" w:type="dxa"/>
            <w:shd w:val="clear" w:color="auto" w:fill="auto"/>
            <w:vAlign w:val="center"/>
          </w:tcPr>
          <w:p w14:paraId="689E096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课堂论文</w:t>
            </w:r>
          </w:p>
        </w:tc>
        <w:tc>
          <w:tcPr>
            <w:tcW w:w="1417" w:type="dxa"/>
          </w:tcPr>
          <w:p w14:paraId="11DC651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15</w:t>
            </w:r>
          </w:p>
        </w:tc>
        <w:tc>
          <w:tcPr>
            <w:tcW w:w="1418" w:type="dxa"/>
            <w:shd w:val="clear" w:color="auto" w:fill="auto"/>
            <w:vAlign w:val="center"/>
          </w:tcPr>
          <w:p w14:paraId="4F1E78DF">
            <w:pPr>
              <w:snapToGrid w:val="0"/>
              <w:spacing w:line="360" w:lineRule="auto"/>
              <w:jc w:val="center"/>
              <w:rPr>
                <w:rFonts w:ascii="仿宋" w:hAnsi="仿宋" w:eastAsia="仿宋"/>
                <w:b/>
                <w:color w:val="000000"/>
                <w:sz w:val="24"/>
              </w:rPr>
            </w:pPr>
          </w:p>
        </w:tc>
        <w:tc>
          <w:tcPr>
            <w:tcW w:w="1134" w:type="dxa"/>
          </w:tcPr>
          <w:p w14:paraId="5F0FDD39">
            <w:pPr>
              <w:snapToGrid w:val="0"/>
              <w:spacing w:line="360" w:lineRule="auto"/>
              <w:jc w:val="center"/>
              <w:rPr>
                <w:rFonts w:ascii="仿宋" w:hAnsi="仿宋" w:eastAsia="仿宋"/>
                <w:b/>
                <w:color w:val="000000"/>
                <w:sz w:val="24"/>
              </w:rPr>
            </w:pPr>
          </w:p>
        </w:tc>
        <w:tc>
          <w:tcPr>
            <w:tcW w:w="850" w:type="dxa"/>
          </w:tcPr>
          <w:p w14:paraId="7EA6C83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15</w:t>
            </w:r>
          </w:p>
        </w:tc>
      </w:tr>
      <w:tr w14:paraId="58511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567" w:type="dxa"/>
            <w:vMerge w:val="continue"/>
            <w:shd w:val="clear" w:color="auto" w:fill="auto"/>
            <w:vAlign w:val="center"/>
          </w:tcPr>
          <w:p w14:paraId="66326D05">
            <w:pPr>
              <w:snapToGrid w:val="0"/>
              <w:spacing w:line="360" w:lineRule="auto"/>
              <w:jc w:val="center"/>
              <w:rPr>
                <w:rFonts w:ascii="仿宋" w:hAnsi="仿宋" w:eastAsia="仿宋"/>
                <w:b/>
                <w:color w:val="000000"/>
                <w:sz w:val="24"/>
              </w:rPr>
            </w:pPr>
          </w:p>
        </w:tc>
        <w:tc>
          <w:tcPr>
            <w:tcW w:w="1418" w:type="dxa"/>
            <w:shd w:val="clear" w:color="auto" w:fill="auto"/>
            <w:vAlign w:val="center"/>
          </w:tcPr>
          <w:p w14:paraId="378D4743">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课堂</w:t>
            </w:r>
            <w:r>
              <w:rPr>
                <w:rFonts w:hint="eastAsia" w:ascii="仿宋" w:hAnsi="仿宋" w:eastAsia="仿宋"/>
                <w:b/>
                <w:color w:val="000000"/>
                <w:sz w:val="24"/>
                <w:lang w:val="en-US" w:eastAsia="zh-CN"/>
              </w:rPr>
              <w:t>表现</w:t>
            </w:r>
          </w:p>
        </w:tc>
        <w:tc>
          <w:tcPr>
            <w:tcW w:w="1417" w:type="dxa"/>
          </w:tcPr>
          <w:p w14:paraId="41F3A52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5</w:t>
            </w:r>
          </w:p>
        </w:tc>
        <w:tc>
          <w:tcPr>
            <w:tcW w:w="1418" w:type="dxa"/>
            <w:shd w:val="clear" w:color="auto" w:fill="auto"/>
            <w:vAlign w:val="center"/>
          </w:tcPr>
          <w:p w14:paraId="3B131AB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3</w:t>
            </w:r>
          </w:p>
        </w:tc>
        <w:tc>
          <w:tcPr>
            <w:tcW w:w="1134" w:type="dxa"/>
          </w:tcPr>
          <w:p w14:paraId="66F4A0A4">
            <w:pPr>
              <w:snapToGrid w:val="0"/>
              <w:spacing w:line="360" w:lineRule="auto"/>
              <w:jc w:val="center"/>
              <w:rPr>
                <w:rFonts w:ascii="仿宋" w:hAnsi="仿宋" w:eastAsia="仿宋"/>
                <w:b/>
                <w:color w:val="000000"/>
                <w:sz w:val="24"/>
              </w:rPr>
            </w:pPr>
          </w:p>
        </w:tc>
        <w:tc>
          <w:tcPr>
            <w:tcW w:w="850" w:type="dxa"/>
          </w:tcPr>
          <w:p w14:paraId="51C39C5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p>
        </w:tc>
      </w:tr>
      <w:tr w14:paraId="231C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567" w:type="dxa"/>
            <w:vMerge w:val="continue"/>
            <w:shd w:val="clear" w:color="auto" w:fill="auto"/>
            <w:vAlign w:val="center"/>
          </w:tcPr>
          <w:p w14:paraId="7A5C3F9D">
            <w:pPr>
              <w:snapToGrid w:val="0"/>
              <w:spacing w:line="360" w:lineRule="auto"/>
              <w:jc w:val="center"/>
            </w:pPr>
          </w:p>
        </w:tc>
        <w:tc>
          <w:tcPr>
            <w:tcW w:w="1418" w:type="dxa"/>
            <w:shd w:val="clear" w:color="auto" w:fill="auto"/>
            <w:vAlign w:val="center"/>
          </w:tcPr>
          <w:p w14:paraId="5A109EC0">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随堂测试</w:t>
            </w:r>
          </w:p>
        </w:tc>
        <w:tc>
          <w:tcPr>
            <w:tcW w:w="1417" w:type="dxa"/>
          </w:tcPr>
          <w:p w14:paraId="61BAF300">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1418" w:type="dxa"/>
            <w:shd w:val="clear" w:color="auto" w:fill="auto"/>
            <w:vAlign w:val="center"/>
          </w:tcPr>
          <w:p w14:paraId="56D65EAC">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2</w:t>
            </w:r>
          </w:p>
        </w:tc>
        <w:tc>
          <w:tcPr>
            <w:tcW w:w="1134" w:type="dxa"/>
          </w:tcPr>
          <w:p w14:paraId="7B97A9A2">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6</w:t>
            </w:r>
          </w:p>
        </w:tc>
        <w:tc>
          <w:tcPr>
            <w:tcW w:w="850" w:type="dxa"/>
          </w:tcPr>
          <w:p w14:paraId="6119D4F4">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2</w:t>
            </w:r>
          </w:p>
        </w:tc>
      </w:tr>
      <w:tr w14:paraId="68C29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shd w:val="clear" w:color="auto" w:fill="auto"/>
            <w:vAlign w:val="center"/>
          </w:tcPr>
          <w:p w14:paraId="3A57E521">
            <w:pPr>
              <w:snapToGrid w:val="0"/>
              <w:spacing w:line="360" w:lineRule="auto"/>
              <w:jc w:val="center"/>
              <w:rPr>
                <w:rFonts w:ascii="仿宋" w:hAnsi="仿宋" w:eastAsia="仿宋"/>
                <w:b/>
                <w:color w:val="000000"/>
                <w:sz w:val="24"/>
              </w:rPr>
            </w:pPr>
          </w:p>
        </w:tc>
        <w:tc>
          <w:tcPr>
            <w:tcW w:w="1418" w:type="dxa"/>
            <w:shd w:val="clear" w:color="auto" w:fill="auto"/>
            <w:vAlign w:val="center"/>
          </w:tcPr>
          <w:p w14:paraId="58FDEF0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1417" w:type="dxa"/>
          </w:tcPr>
          <w:p w14:paraId="20C83A7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1418" w:type="dxa"/>
            <w:shd w:val="clear" w:color="auto" w:fill="auto"/>
            <w:vAlign w:val="center"/>
          </w:tcPr>
          <w:p w14:paraId="3C78777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1134" w:type="dxa"/>
          </w:tcPr>
          <w:p w14:paraId="748B266E">
            <w:pPr>
              <w:snapToGrid w:val="0"/>
              <w:spacing w:line="360" w:lineRule="auto"/>
              <w:jc w:val="center"/>
              <w:rPr>
                <w:rFonts w:ascii="仿宋" w:hAnsi="仿宋" w:eastAsia="仿宋"/>
                <w:b/>
                <w:color w:val="000000"/>
                <w:sz w:val="24"/>
              </w:rPr>
            </w:pPr>
          </w:p>
        </w:tc>
        <w:tc>
          <w:tcPr>
            <w:tcW w:w="850" w:type="dxa"/>
          </w:tcPr>
          <w:p w14:paraId="194E37E2">
            <w:pPr>
              <w:snapToGrid w:val="0"/>
              <w:spacing w:line="360" w:lineRule="auto"/>
              <w:jc w:val="center"/>
              <w:rPr>
                <w:rFonts w:ascii="仿宋" w:hAnsi="仿宋" w:eastAsia="仿宋"/>
                <w:b/>
                <w:color w:val="000000"/>
                <w:sz w:val="24"/>
              </w:rPr>
            </w:pPr>
          </w:p>
        </w:tc>
      </w:tr>
      <w:tr w14:paraId="57F97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shd w:val="clear" w:color="auto" w:fill="auto"/>
            <w:vAlign w:val="center"/>
          </w:tcPr>
          <w:p w14:paraId="0D49BC6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1418" w:type="dxa"/>
            <w:shd w:val="clear" w:color="auto" w:fill="auto"/>
            <w:vAlign w:val="center"/>
          </w:tcPr>
          <w:p w14:paraId="60CD76D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1417" w:type="dxa"/>
          </w:tcPr>
          <w:p w14:paraId="4554CB2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50</w:t>
            </w:r>
          </w:p>
        </w:tc>
        <w:tc>
          <w:tcPr>
            <w:tcW w:w="1418" w:type="dxa"/>
            <w:shd w:val="clear" w:color="auto" w:fill="auto"/>
            <w:vAlign w:val="center"/>
          </w:tcPr>
          <w:p w14:paraId="61028815">
            <w:pPr>
              <w:snapToGrid w:val="0"/>
              <w:spacing w:line="360" w:lineRule="auto"/>
              <w:jc w:val="center"/>
              <w:rPr>
                <w:rFonts w:ascii="仿宋" w:hAnsi="仿宋" w:eastAsia="仿宋"/>
                <w:b/>
                <w:color w:val="000000"/>
                <w:sz w:val="24"/>
              </w:rPr>
            </w:pPr>
          </w:p>
        </w:tc>
        <w:tc>
          <w:tcPr>
            <w:tcW w:w="1134" w:type="dxa"/>
          </w:tcPr>
          <w:p w14:paraId="392B839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50</w:t>
            </w:r>
          </w:p>
        </w:tc>
        <w:tc>
          <w:tcPr>
            <w:tcW w:w="850" w:type="dxa"/>
          </w:tcPr>
          <w:p w14:paraId="556327C4">
            <w:pPr>
              <w:snapToGrid w:val="0"/>
              <w:spacing w:line="360" w:lineRule="auto"/>
              <w:jc w:val="center"/>
              <w:rPr>
                <w:rFonts w:ascii="仿宋" w:hAnsi="仿宋" w:eastAsia="仿宋"/>
                <w:b/>
                <w:color w:val="000000"/>
                <w:sz w:val="24"/>
              </w:rPr>
            </w:pPr>
          </w:p>
        </w:tc>
      </w:tr>
      <w:tr w14:paraId="5764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gridSpan w:val="3"/>
            <w:shd w:val="clear" w:color="auto" w:fill="auto"/>
            <w:vAlign w:val="center"/>
          </w:tcPr>
          <w:p w14:paraId="198D7CFC">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课程目标分值合计100</w:t>
            </w:r>
          </w:p>
        </w:tc>
        <w:tc>
          <w:tcPr>
            <w:tcW w:w="1418" w:type="dxa"/>
            <w:shd w:val="clear" w:color="auto" w:fill="auto"/>
            <w:vAlign w:val="center"/>
          </w:tcPr>
          <w:p w14:paraId="64008B0A">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1134" w:type="dxa"/>
          </w:tcPr>
          <w:p w14:paraId="03E2E105">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66</w:t>
            </w:r>
            <w:bookmarkStart w:id="2" w:name="_GoBack"/>
            <w:bookmarkEnd w:id="2"/>
          </w:p>
        </w:tc>
        <w:tc>
          <w:tcPr>
            <w:tcW w:w="850" w:type="dxa"/>
          </w:tcPr>
          <w:p w14:paraId="31DF1CE3">
            <w:pPr>
              <w:snapToGrid w:val="0"/>
              <w:spacing w:line="360" w:lineRule="auto"/>
              <w:ind w:left="-103" w:leftChars="-49" w:firstLine="103" w:firstLineChars="43"/>
              <w:jc w:val="center"/>
              <w:rPr>
                <w:rFonts w:hint="default" w:ascii="仿宋" w:hAnsi="仿宋" w:eastAsia="仿宋"/>
                <w:sz w:val="24"/>
                <w:lang w:val="en-US" w:eastAsia="zh-CN"/>
              </w:rPr>
            </w:pPr>
            <w:r>
              <w:rPr>
                <w:rFonts w:hint="eastAsia" w:ascii="仿宋" w:hAnsi="仿宋" w:eastAsia="仿宋"/>
                <w:sz w:val="24"/>
                <w:lang w:val="en-US" w:eastAsia="zh-CN"/>
              </w:rPr>
              <w:t>19</w:t>
            </w:r>
          </w:p>
        </w:tc>
      </w:tr>
    </w:tbl>
    <w:p w14:paraId="3270B514">
      <w:pPr>
        <w:snapToGrid w:val="0"/>
        <w:spacing w:line="360" w:lineRule="auto"/>
        <w:rPr>
          <w:rFonts w:ascii="仿宋" w:hAnsi="仿宋" w:eastAsia="仿宋"/>
          <w:b/>
          <w:color w:val="000000"/>
          <w:sz w:val="24"/>
        </w:rPr>
      </w:pPr>
    </w:p>
    <w:p w14:paraId="39D96621">
      <w:pPr>
        <w:numPr>
          <w:ilvl w:val="0"/>
          <w:numId w:val="1"/>
        </w:num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lang w:val="en-US" w:eastAsia="zh-CN"/>
        </w:rPr>
      </w:pPr>
      <w:r>
        <w:rPr>
          <w:rFonts w:hint="eastAsia" w:eastAsia="黑体"/>
          <w:color w:val="000000"/>
          <w:sz w:val="28"/>
          <w:szCs w:val="28"/>
        </w:rPr>
        <w:t>安全教育</w:t>
      </w:r>
    </w:p>
    <w:p w14:paraId="5AF1C5F2">
      <w:pPr>
        <w:tabs>
          <w:tab w:val="left" w:pos="-5670"/>
          <w:tab w:val="left" w:pos="-5245"/>
          <w:tab w:val="left" w:pos="1134"/>
        </w:tabs>
        <w:spacing w:line="360" w:lineRule="auto"/>
        <w:ind w:firstLine="480"/>
        <w:rPr>
          <w:rFonts w:hint="default" w:ascii="仿宋" w:hAnsi="仿宋" w:eastAsia="仿宋"/>
          <w:color w:val="000000"/>
          <w:sz w:val="24"/>
          <w:lang w:val="en-US" w:eastAsia="zh-CN"/>
        </w:rPr>
      </w:pPr>
      <w:r>
        <w:rPr>
          <w:rFonts w:hint="eastAsia" w:ascii="仿宋" w:hAnsi="仿宋" w:eastAsia="仿宋"/>
          <w:color w:val="000000"/>
          <w:sz w:val="24"/>
          <w:lang w:val="en-US" w:eastAsia="zh-CN"/>
        </w:rPr>
        <w:t>无</w:t>
      </w:r>
    </w:p>
    <w:p w14:paraId="261F045C">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0EF70DAC">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36D44791">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08CA557A">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553DEDF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43DE922A">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结合注册会计师考试、特许金融分析师教材进行扩展学习，参加考证、考研的学生应当加大课外习题训练。</w:t>
      </w:r>
    </w:p>
    <w:bookmarkEnd w:id="1"/>
    <w:p w14:paraId="4C9A3E02">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5449AA04">
      <w:pPr>
        <w:spacing w:line="360" w:lineRule="auto"/>
        <w:ind w:firstLine="482" w:firstLineChars="200"/>
        <w:rPr>
          <w:rFonts w:eastAsia="仿宋"/>
          <w:b/>
          <w:color w:val="000000"/>
          <w:sz w:val="24"/>
        </w:rPr>
      </w:pPr>
      <w:r>
        <w:rPr>
          <w:rFonts w:eastAsia="仿宋"/>
          <w:b/>
          <w:color w:val="000000"/>
          <w:sz w:val="24"/>
        </w:rPr>
        <w:t>1．教材</w:t>
      </w:r>
    </w:p>
    <w:tbl>
      <w:tblPr>
        <w:tblStyle w:val="8"/>
        <w:tblW w:w="8642" w:type="dxa"/>
        <w:tblInd w:w="0" w:type="dxa"/>
        <w:tblLayout w:type="autofit"/>
        <w:tblCellMar>
          <w:top w:w="0" w:type="dxa"/>
          <w:left w:w="108" w:type="dxa"/>
          <w:bottom w:w="0" w:type="dxa"/>
          <w:right w:w="108" w:type="dxa"/>
        </w:tblCellMar>
      </w:tblPr>
      <w:tblGrid>
        <w:gridCol w:w="761"/>
        <w:gridCol w:w="1386"/>
        <w:gridCol w:w="1724"/>
        <w:gridCol w:w="1012"/>
        <w:gridCol w:w="1095"/>
        <w:gridCol w:w="1581"/>
        <w:gridCol w:w="1083"/>
      </w:tblGrid>
      <w:tr w14:paraId="6B0FFE5C">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0C4CBF">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E90770">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F3B8A">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2BED8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44506C">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CE2D2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71CFE">
            <w:pPr>
              <w:widowControl/>
              <w:jc w:val="center"/>
              <w:textAlignment w:val="center"/>
              <w:rPr>
                <w:rFonts w:ascii="宋体" w:hAnsi="宋体" w:cs="宋体"/>
                <w:b/>
                <w:bCs/>
                <w:color w:val="000000"/>
                <w:sz w:val="20"/>
                <w:szCs w:val="20"/>
              </w:rPr>
            </w:pPr>
            <w:r>
              <w:rPr>
                <w:rStyle w:val="24"/>
                <w:rFonts w:hint="default"/>
                <w:lang w:bidi="ar"/>
              </w:rPr>
              <w:t>教材级别</w:t>
            </w:r>
          </w:p>
        </w:tc>
      </w:tr>
      <w:tr w14:paraId="5C3EA71B">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9DF134">
            <w:pPr>
              <w:widowControl/>
              <w:jc w:val="center"/>
              <w:textAlignment w:val="center"/>
              <w:rPr>
                <w:rFonts w:ascii="宋体" w:hAnsi="宋体" w:cs="宋体"/>
                <w:color w:val="000000"/>
                <w:sz w:val="20"/>
                <w:szCs w:val="20"/>
              </w:rPr>
            </w:pPr>
            <w:r>
              <w:rPr>
                <w:rFonts w:hint="eastAsia"/>
                <w:szCs w:val="21"/>
              </w:rPr>
              <w:t>公司理财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3B336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2019年12月第11版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2EE1C2">
            <w:pPr>
              <w:widowControl/>
              <w:jc w:val="center"/>
              <w:textAlignment w:val="center"/>
              <w:rPr>
                <w:rFonts w:ascii="宋体" w:hAnsi="宋体" w:cs="宋体"/>
                <w:color w:val="000000"/>
                <w:sz w:val="20"/>
                <w:szCs w:val="20"/>
              </w:rPr>
            </w:pPr>
            <w:r>
              <w:rPr>
                <w:rFonts w:hint="eastAsia" w:ascii="仿宋" w:hAnsi="仿宋" w:eastAsia="仿宋"/>
                <w:bCs/>
                <w:szCs w:val="21"/>
              </w:rPr>
              <w:t xml:space="preserve"> 2019年第1版第9次印刷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97C14B">
            <w:pPr>
              <w:widowControl/>
              <w:jc w:val="center"/>
              <w:textAlignment w:val="center"/>
              <w:rPr>
                <w:rFonts w:ascii="宋体" w:hAnsi="宋体" w:cs="宋体"/>
                <w:color w:val="000000"/>
                <w:sz w:val="20"/>
                <w:szCs w:val="20"/>
              </w:rPr>
            </w:pPr>
            <w:r>
              <w:rPr>
                <w:rFonts w:hint="eastAsia" w:ascii="仿宋" w:hAnsi="仿宋" w:eastAsia="仿宋"/>
                <w:bCs/>
                <w:szCs w:val="21"/>
              </w:rPr>
              <w:t>斯蒂芬A.罗斯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DF30CB">
            <w:pPr>
              <w:widowControl/>
              <w:jc w:val="center"/>
              <w:textAlignment w:val="center"/>
              <w:rPr>
                <w:rFonts w:ascii="宋体" w:hAnsi="宋体" w:cs="宋体"/>
                <w:color w:val="000000"/>
                <w:sz w:val="20"/>
                <w:szCs w:val="20"/>
              </w:rPr>
            </w:pPr>
            <w:r>
              <w:rPr>
                <w:rFonts w:hint="eastAsia" w:ascii="仿宋" w:hAnsi="仿宋" w:eastAsia="仿宋"/>
                <w:bCs/>
                <w:szCs w:val="21"/>
              </w:rPr>
              <w:t>机械工业出版社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5F875A">
            <w:pPr>
              <w:widowControl/>
              <w:jc w:val="center"/>
              <w:textAlignment w:val="center"/>
              <w:rPr>
                <w:rFonts w:ascii="宋体" w:hAnsi="宋体" w:cs="宋体"/>
                <w:color w:val="000000"/>
                <w:sz w:val="20"/>
                <w:szCs w:val="20"/>
              </w:rPr>
            </w:pPr>
            <w:r>
              <w:rPr>
                <w:rFonts w:hint="eastAsia" w:ascii="仿宋" w:hAnsi="仿宋" w:eastAsia="仿宋"/>
                <w:bCs/>
                <w:szCs w:val="21"/>
              </w:rPr>
              <w:t>9787111574156</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87CF6">
            <w:pPr>
              <w:widowControl/>
              <w:jc w:val="center"/>
              <w:textAlignment w:val="center"/>
              <w:rPr>
                <w:rFonts w:ascii="宋体" w:hAnsi="宋体" w:cs="宋体"/>
                <w:color w:val="000000"/>
                <w:sz w:val="20"/>
                <w:szCs w:val="20"/>
              </w:rPr>
            </w:pPr>
          </w:p>
        </w:tc>
      </w:tr>
    </w:tbl>
    <w:p w14:paraId="6A9DAA6C">
      <w:pPr>
        <w:spacing w:line="360" w:lineRule="auto"/>
        <w:ind w:firstLine="482" w:firstLineChars="200"/>
        <w:rPr>
          <w:rFonts w:eastAsia="仿宋"/>
          <w:b/>
          <w:color w:val="000000"/>
          <w:sz w:val="24"/>
        </w:rPr>
      </w:pPr>
    </w:p>
    <w:p w14:paraId="3D9FD57D">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8642" w:type="dxa"/>
        <w:tblInd w:w="0" w:type="dxa"/>
        <w:tblLayout w:type="autofit"/>
        <w:tblCellMar>
          <w:top w:w="0" w:type="dxa"/>
          <w:left w:w="108" w:type="dxa"/>
          <w:bottom w:w="0" w:type="dxa"/>
          <w:right w:w="108" w:type="dxa"/>
        </w:tblCellMar>
      </w:tblPr>
      <w:tblGrid>
        <w:gridCol w:w="417"/>
        <w:gridCol w:w="927"/>
        <w:gridCol w:w="931"/>
        <w:gridCol w:w="1023"/>
        <w:gridCol w:w="973"/>
        <w:gridCol w:w="603"/>
        <w:gridCol w:w="1581"/>
        <w:gridCol w:w="2187"/>
      </w:tblGrid>
      <w:tr w14:paraId="0CB7990B">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CDF799">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A08497">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0B9727">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B2AE94">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E01D8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D9EC54">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4C5184">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30A9">
            <w:pPr>
              <w:widowControl/>
              <w:jc w:val="center"/>
              <w:textAlignment w:val="center"/>
              <w:rPr>
                <w:rFonts w:ascii="宋体" w:hAnsi="宋体" w:cs="宋体"/>
                <w:b/>
                <w:bCs/>
                <w:color w:val="000000"/>
                <w:sz w:val="20"/>
                <w:szCs w:val="20"/>
              </w:rPr>
            </w:pPr>
            <w:r>
              <w:rPr>
                <w:rStyle w:val="24"/>
                <w:rFonts w:hint="default"/>
                <w:lang w:bidi="ar"/>
              </w:rPr>
              <w:t>教材级别</w:t>
            </w:r>
          </w:p>
        </w:tc>
      </w:tr>
      <w:tr w14:paraId="16B5C082">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76DFB5">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1231B">
            <w:pPr>
              <w:widowControl/>
              <w:jc w:val="center"/>
              <w:textAlignment w:val="center"/>
              <w:rPr>
                <w:rFonts w:ascii="宋体" w:hAnsi="宋体" w:cs="宋体"/>
                <w:color w:val="000000"/>
                <w:sz w:val="20"/>
                <w:szCs w:val="20"/>
              </w:rPr>
            </w:pPr>
            <w:r>
              <w:rPr>
                <w:rFonts w:hint="eastAsia" w:ascii="仿宋" w:hAnsi="仿宋" w:eastAsia="仿宋"/>
                <w:bCs/>
                <w:szCs w:val="21"/>
              </w:rPr>
              <w:t>公司金融</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CA27E">
            <w:pPr>
              <w:widowControl/>
              <w:jc w:val="center"/>
              <w:textAlignment w:val="center"/>
              <w:rPr>
                <w:rFonts w:ascii="宋体" w:hAnsi="宋体" w:cs="宋体"/>
                <w:color w:val="000000"/>
                <w:sz w:val="20"/>
                <w:szCs w:val="20"/>
              </w:rPr>
            </w:pPr>
            <w:r>
              <w:rPr>
                <w:rFonts w:hint="eastAsia" w:ascii="仿宋" w:hAnsi="仿宋" w:eastAsia="仿宋"/>
                <w:bCs/>
                <w:szCs w:val="21"/>
              </w:rPr>
              <w:t>2018年04月</w:t>
            </w:r>
            <w:r>
              <w:rPr>
                <w:rFonts w:hint="eastAsia" w:ascii="宋体" w:hAnsi="宋体" w:cs="宋体"/>
                <w:color w:val="000000"/>
                <w:kern w:val="0"/>
                <w:sz w:val="20"/>
                <w:szCs w:val="20"/>
                <w:lang w:bidi="ar"/>
              </w:rPr>
              <w:t>第4版</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293E3">
            <w:pPr>
              <w:widowControl/>
              <w:jc w:val="center"/>
              <w:textAlignment w:val="center"/>
              <w:rPr>
                <w:rFonts w:ascii="宋体" w:hAnsi="宋体" w:cs="宋体"/>
                <w:color w:val="000000"/>
                <w:sz w:val="20"/>
                <w:szCs w:val="20"/>
              </w:rPr>
            </w:pPr>
            <w:r>
              <w:rPr>
                <w:rFonts w:hint="eastAsia" w:ascii="仿宋" w:hAnsi="仿宋" w:eastAsia="仿宋"/>
                <w:bCs/>
                <w:szCs w:val="21"/>
              </w:rPr>
              <w:t>2018年04月</w:t>
            </w:r>
            <w:r>
              <w:rPr>
                <w:rFonts w:hint="eastAsia" w:ascii="宋体" w:hAnsi="宋体" w:cs="宋体"/>
                <w:color w:val="000000"/>
                <w:kern w:val="0"/>
                <w:sz w:val="20"/>
                <w:szCs w:val="20"/>
                <w:lang w:bidi="ar"/>
              </w:rPr>
              <w:t>第1次印刷</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05CAF">
            <w:pPr>
              <w:widowControl/>
              <w:jc w:val="center"/>
              <w:textAlignment w:val="center"/>
              <w:rPr>
                <w:rFonts w:ascii="宋体" w:hAnsi="宋体" w:cs="宋体"/>
                <w:color w:val="000000"/>
                <w:sz w:val="20"/>
                <w:szCs w:val="20"/>
              </w:rPr>
            </w:pPr>
            <w:r>
              <w:rPr>
                <w:rFonts w:hint="eastAsia" w:ascii="仿宋" w:hAnsi="仿宋" w:eastAsia="仿宋"/>
                <w:bCs/>
                <w:szCs w:val="21"/>
              </w:rPr>
              <w:t>朱叶</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06AA9">
            <w:pPr>
              <w:widowControl/>
              <w:jc w:val="center"/>
              <w:textAlignment w:val="center"/>
              <w:rPr>
                <w:rFonts w:ascii="宋体" w:hAnsi="宋体" w:cs="宋体"/>
                <w:color w:val="000000"/>
                <w:sz w:val="20"/>
                <w:szCs w:val="20"/>
              </w:rPr>
            </w:pPr>
            <w:r>
              <w:rPr>
                <w:rFonts w:hint="eastAsia" w:ascii="仿宋" w:hAnsi="仿宋" w:eastAsia="仿宋"/>
                <w:bCs/>
                <w:szCs w:val="21"/>
              </w:rPr>
              <w:t>复旦大学出版社</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89B00">
            <w:pPr>
              <w:widowControl/>
              <w:jc w:val="center"/>
              <w:textAlignment w:val="center"/>
              <w:rPr>
                <w:rFonts w:ascii="宋体" w:hAnsi="宋体" w:cs="宋体"/>
                <w:color w:val="000000"/>
                <w:sz w:val="20"/>
                <w:szCs w:val="20"/>
              </w:rPr>
            </w:pPr>
            <w:r>
              <w:rPr>
                <w:rFonts w:hint="eastAsia" w:ascii="仿宋" w:hAnsi="仿宋" w:eastAsia="仿宋"/>
                <w:bCs/>
                <w:szCs w:val="21"/>
              </w:rPr>
              <w:t>9787309135879</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F4563">
            <w:pPr>
              <w:widowControl/>
              <w:jc w:val="center"/>
              <w:textAlignment w:val="center"/>
              <w:rPr>
                <w:rFonts w:ascii="宋体" w:hAnsi="宋体" w:cs="宋体"/>
                <w:color w:val="000000"/>
                <w:sz w:val="20"/>
                <w:szCs w:val="20"/>
              </w:rPr>
            </w:pPr>
          </w:p>
        </w:tc>
      </w:tr>
    </w:tbl>
    <w:p w14:paraId="55A6F106">
      <w:pPr>
        <w:spacing w:line="360" w:lineRule="auto"/>
        <w:ind w:firstLine="480" w:firstLineChars="200"/>
        <w:jc w:val="left"/>
        <w:rPr>
          <w:rFonts w:eastAsia="仿宋"/>
          <w:color w:val="000000"/>
          <w:sz w:val="24"/>
        </w:rPr>
      </w:pPr>
    </w:p>
    <w:p w14:paraId="00795D0F">
      <w:pPr>
        <w:spacing w:line="360" w:lineRule="auto"/>
        <w:ind w:firstLine="482" w:firstLineChars="200"/>
        <w:rPr>
          <w:rFonts w:eastAsia="仿宋"/>
          <w:color w:val="808080"/>
          <w:sz w:val="24"/>
        </w:rPr>
      </w:pPr>
      <w:r>
        <w:rPr>
          <w:rFonts w:eastAsia="仿宋"/>
          <w:b/>
          <w:sz w:val="24"/>
        </w:rPr>
        <w:t>3．其他学习资源</w:t>
      </w:r>
    </w:p>
    <w:p w14:paraId="4AF3AED0">
      <w:pPr>
        <w:spacing w:line="360" w:lineRule="auto"/>
        <w:ind w:firstLine="480" w:firstLineChars="200"/>
        <w:jc w:val="left"/>
        <w:rPr>
          <w:rFonts w:eastAsia="仿宋"/>
          <w:color w:val="000000"/>
          <w:sz w:val="24"/>
        </w:rPr>
      </w:pPr>
      <w:r>
        <w:rPr>
          <w:rFonts w:eastAsia="仿宋"/>
          <w:color w:val="000000"/>
          <w:sz w:val="24"/>
        </w:rPr>
        <w:t>（1）</w:t>
      </w:r>
      <w:r>
        <w:rPr>
          <w:rFonts w:hint="eastAsia" w:ascii="仿宋" w:hAnsi="仿宋" w:eastAsia="仿宋"/>
          <w:szCs w:val="21"/>
          <w:lang w:val="en-GB"/>
        </w:rPr>
        <w:t>A THEORY OF THE FIRM: GOVERNANCE, RESIDUAL CLAIMS AND ORGANIZATIONAL FORMS</w:t>
      </w:r>
      <w:r>
        <w:rPr>
          <w:rFonts w:eastAsia="仿宋"/>
          <w:color w:val="000000"/>
          <w:sz w:val="24"/>
        </w:rPr>
        <w:t>，</w:t>
      </w:r>
      <w:r>
        <w:rPr>
          <w:rFonts w:hint="eastAsia" w:ascii="仿宋" w:hAnsi="仿宋" w:eastAsia="仿宋"/>
          <w:szCs w:val="21"/>
          <w:lang w:val="en-GB"/>
        </w:rPr>
        <w:t>Michael C. Jensen</w:t>
      </w:r>
      <w:r>
        <w:rPr>
          <w:rFonts w:eastAsia="仿宋"/>
          <w:color w:val="000000"/>
          <w:sz w:val="24"/>
        </w:rPr>
        <w:t>，</w:t>
      </w:r>
      <w:r>
        <w:rPr>
          <w:rFonts w:hint="eastAsia" w:ascii="仿宋" w:hAnsi="仿宋" w:eastAsia="仿宋"/>
          <w:szCs w:val="21"/>
          <w:lang w:val="en-GB"/>
        </w:rPr>
        <w:t xml:space="preserve"> Journal of Financial Economics </w:t>
      </w:r>
      <w:r>
        <w:rPr>
          <w:rFonts w:eastAsia="仿宋"/>
          <w:color w:val="000000"/>
          <w:sz w:val="24"/>
        </w:rPr>
        <w:t>，</w:t>
      </w:r>
      <w:r>
        <w:rPr>
          <w:rFonts w:hint="eastAsia" w:ascii="仿宋" w:hAnsi="仿宋" w:eastAsia="仿宋"/>
          <w:szCs w:val="21"/>
          <w:lang w:val="en-GB"/>
        </w:rPr>
        <w:t>Vol. 3, No. 4, 1976</w:t>
      </w:r>
    </w:p>
    <w:p w14:paraId="01863B68">
      <w:pPr>
        <w:spacing w:line="360" w:lineRule="auto"/>
        <w:ind w:firstLine="480" w:firstLineChars="200"/>
        <w:jc w:val="left"/>
        <w:rPr>
          <w:rFonts w:eastAsia="仿宋"/>
          <w:color w:val="000000"/>
          <w:sz w:val="24"/>
        </w:rPr>
      </w:pPr>
      <w:r>
        <w:rPr>
          <w:rFonts w:eastAsia="仿宋"/>
          <w:color w:val="000000"/>
          <w:sz w:val="24"/>
        </w:rPr>
        <w:t>（2）</w:t>
      </w:r>
      <w:r>
        <w:rPr>
          <w:rFonts w:hint="eastAsia" w:ascii="仿宋" w:hAnsi="仿宋" w:eastAsia="仿宋"/>
          <w:kern w:val="0"/>
          <w:szCs w:val="21"/>
          <w:lang w:val="en-GB"/>
        </w:rPr>
        <w:t xml:space="preserve"> The Cost of Capital Corporation Finance and The Theory of Investment</w:t>
      </w:r>
      <w:r>
        <w:rPr>
          <w:rFonts w:eastAsia="仿宋"/>
          <w:color w:val="000000"/>
          <w:sz w:val="24"/>
        </w:rPr>
        <w:t>，</w:t>
      </w:r>
      <w:r>
        <w:rPr>
          <w:rFonts w:hint="eastAsia" w:ascii="仿宋" w:hAnsi="仿宋" w:eastAsia="仿宋"/>
          <w:kern w:val="0"/>
          <w:szCs w:val="21"/>
          <w:lang w:val="en-GB"/>
        </w:rPr>
        <w:t>Modigliani F, Miller M H</w:t>
      </w:r>
      <w:r>
        <w:rPr>
          <w:rFonts w:eastAsia="仿宋"/>
          <w:color w:val="000000"/>
          <w:sz w:val="24"/>
        </w:rPr>
        <w:t>，</w:t>
      </w:r>
      <w:r>
        <w:rPr>
          <w:rFonts w:hint="eastAsia" w:ascii="仿宋" w:hAnsi="仿宋" w:eastAsia="仿宋"/>
          <w:kern w:val="0"/>
          <w:szCs w:val="21"/>
          <w:lang w:val="en-GB"/>
        </w:rPr>
        <w:t>American Economic Review，1959, 48(4):443-453</w:t>
      </w:r>
    </w:p>
    <w:p w14:paraId="15A1BB8F">
      <w:pPr>
        <w:spacing w:line="360" w:lineRule="auto"/>
        <w:jc w:val="left"/>
        <w:rPr>
          <w:rFonts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8FD7F6"/>
    <w:multiLevelType w:val="singleLevel"/>
    <w:tmpl w:val="368FD7F6"/>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5844B9"/>
    <w:rsid w:val="00004364"/>
    <w:rsid w:val="00005B6C"/>
    <w:rsid w:val="000067BE"/>
    <w:rsid w:val="000103ED"/>
    <w:rsid w:val="00012188"/>
    <w:rsid w:val="00014F13"/>
    <w:rsid w:val="000163D1"/>
    <w:rsid w:val="00016DB4"/>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27B42"/>
    <w:rsid w:val="0023267F"/>
    <w:rsid w:val="00232EC3"/>
    <w:rsid w:val="002331BA"/>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04B0F"/>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0AA4"/>
    <w:rsid w:val="006A3059"/>
    <w:rsid w:val="006B4C8A"/>
    <w:rsid w:val="006B6E22"/>
    <w:rsid w:val="006C2FBD"/>
    <w:rsid w:val="006C462B"/>
    <w:rsid w:val="006C4821"/>
    <w:rsid w:val="006C772E"/>
    <w:rsid w:val="006D79FE"/>
    <w:rsid w:val="006E0F27"/>
    <w:rsid w:val="006E1729"/>
    <w:rsid w:val="006E6810"/>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A476A"/>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22D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4E16"/>
    <w:rsid w:val="00A2565E"/>
    <w:rsid w:val="00A26CFC"/>
    <w:rsid w:val="00A3017F"/>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2450"/>
    <w:rsid w:val="00B743CC"/>
    <w:rsid w:val="00B82069"/>
    <w:rsid w:val="00B831CF"/>
    <w:rsid w:val="00B838BD"/>
    <w:rsid w:val="00B902F8"/>
    <w:rsid w:val="00BA04B1"/>
    <w:rsid w:val="00BA2913"/>
    <w:rsid w:val="00BB230A"/>
    <w:rsid w:val="00BB5CA7"/>
    <w:rsid w:val="00BB6E0A"/>
    <w:rsid w:val="00BC32AC"/>
    <w:rsid w:val="00BC3943"/>
    <w:rsid w:val="00BD1726"/>
    <w:rsid w:val="00BD3131"/>
    <w:rsid w:val="00BD5005"/>
    <w:rsid w:val="00BD6AAC"/>
    <w:rsid w:val="00BE027C"/>
    <w:rsid w:val="00BE2C5F"/>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2046"/>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25263E9"/>
    <w:rsid w:val="0A03621B"/>
    <w:rsid w:val="0C1464BD"/>
    <w:rsid w:val="10C77FA2"/>
    <w:rsid w:val="11561326"/>
    <w:rsid w:val="14490FAD"/>
    <w:rsid w:val="160A4C71"/>
    <w:rsid w:val="1B395F40"/>
    <w:rsid w:val="1CD203FA"/>
    <w:rsid w:val="23C6233B"/>
    <w:rsid w:val="294066EC"/>
    <w:rsid w:val="2AEF03C9"/>
    <w:rsid w:val="2FBB57BF"/>
    <w:rsid w:val="35C42453"/>
    <w:rsid w:val="429A414B"/>
    <w:rsid w:val="480375B5"/>
    <w:rsid w:val="543547EF"/>
    <w:rsid w:val="54815C87"/>
    <w:rsid w:val="5A173931"/>
    <w:rsid w:val="5B7D1826"/>
    <w:rsid w:val="5C7165E1"/>
    <w:rsid w:val="5EB84053"/>
    <w:rsid w:val="5F086807"/>
    <w:rsid w:val="5F555D46"/>
    <w:rsid w:val="5F557AF4"/>
    <w:rsid w:val="5FAE7D9C"/>
    <w:rsid w:val="6BAF67DE"/>
    <w:rsid w:val="6BF2569F"/>
    <w:rsid w:val="6FAE28B9"/>
    <w:rsid w:val="709A7A5C"/>
    <w:rsid w:val="71FB452B"/>
    <w:rsid w:val="738E367E"/>
    <w:rsid w:val="75294BBA"/>
    <w:rsid w:val="782F4F2E"/>
    <w:rsid w:val="7D1A4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uiPriority w:val="99"/>
    <w:rPr>
      <w:rFonts w:cs="Times New Roman"/>
      <w:sz w:val="21"/>
      <w:szCs w:val="21"/>
    </w:rPr>
  </w:style>
  <w:style w:type="character" w:customStyle="1" w:styleId="12">
    <w:name w:val="批注文字 字符"/>
    <w:link w:val="3"/>
    <w:semiHidden/>
    <w:qFormat/>
    <w:locked/>
    <w:uiPriority w:val="99"/>
    <w:rPr>
      <w:rFonts w:ascii="Times New Roman" w:hAnsi="Times New Roman" w:eastAsia="宋体" w:cs="Times New Roman"/>
      <w:sz w:val="24"/>
      <w:szCs w:val="24"/>
    </w:rPr>
  </w:style>
  <w:style w:type="character" w:customStyle="1" w:styleId="13">
    <w:name w:val="批注框文本 字符"/>
    <w:link w:val="4"/>
    <w:semiHidden/>
    <w:qFormat/>
    <w:locked/>
    <w:uiPriority w:val="99"/>
    <w:rPr>
      <w:rFonts w:ascii="Times New Roman" w:hAnsi="Times New Roman" w:eastAsia="宋体" w:cs="Times New Roman"/>
      <w:sz w:val="18"/>
      <w:szCs w:val="18"/>
    </w:rPr>
  </w:style>
  <w:style w:type="character" w:customStyle="1" w:styleId="14">
    <w:name w:val="页脚 字符"/>
    <w:link w:val="5"/>
    <w:qFormat/>
    <w:locked/>
    <w:uiPriority w:val="99"/>
    <w:rPr>
      <w:rFonts w:cs="Times New Roman"/>
      <w:sz w:val="18"/>
      <w:szCs w:val="18"/>
    </w:rPr>
  </w:style>
  <w:style w:type="character" w:customStyle="1" w:styleId="15">
    <w:name w:val="文档结构图 字符"/>
    <w:link w:val="2"/>
    <w:semiHidden/>
    <w:qFormat/>
    <w:uiPriority w:val="99"/>
    <w:rPr>
      <w:rFonts w:ascii="宋体" w:hAnsi="Times New Roman"/>
      <w:kern w:val="2"/>
      <w:sz w:val="18"/>
      <w:szCs w:val="18"/>
    </w:rPr>
  </w:style>
  <w:style w:type="character" w:customStyle="1" w:styleId="16">
    <w:name w:val="页眉 字符"/>
    <w:link w:val="6"/>
    <w:qFormat/>
    <w:locked/>
    <w:uiPriority w:val="99"/>
    <w:rPr>
      <w:rFonts w:cs="Times New Roman"/>
      <w:sz w:val="18"/>
      <w:szCs w:val="18"/>
    </w:rPr>
  </w:style>
  <w:style w:type="character" w:customStyle="1" w:styleId="17">
    <w:name w:val="批注主题 字符"/>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列表段落1"/>
    <w:basedOn w:val="1"/>
    <w:qFormat/>
    <w:uiPriority w:val="34"/>
    <w:pPr>
      <w:ind w:firstLine="420" w:firstLineChars="200"/>
    </w:pPr>
  </w:style>
  <w:style w:type="paragraph" w:customStyle="1" w:styleId="21">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3769</Words>
  <Characters>4160</Characters>
  <Lines>32</Lines>
  <Paragraphs>9</Paragraphs>
  <TotalTime>135</TotalTime>
  <ScaleCrop>false</ScaleCrop>
  <LinksUpToDate>false</LinksUpToDate>
  <CharactersWithSpaces>4226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zio</cp:lastModifiedBy>
  <dcterms:modified xsi:type="dcterms:W3CDTF">2024-08-29T10:09:22Z</dcterms:modified>
  <dc:title>《工程结构抗震设计原理》课程教学大纲</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9638652FEAC645B3BD1CA5712944B70E_13</vt:lpwstr>
  </property>
</Properties>
</file>