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/>
          <w:sz w:val="32"/>
          <w:szCs w:val="21"/>
          <w:lang w:val="en-GB"/>
        </w:rPr>
      </w:pPr>
      <w:r>
        <w:rPr>
          <w:rFonts w:hint="eastAsia" w:ascii="方正小标宋简体" w:hAnsi="黑体" w:eastAsia="方正小标宋简体"/>
          <w:sz w:val="32"/>
          <w:szCs w:val="21"/>
          <w:lang w:val="en-GB"/>
        </w:rPr>
        <w:t>《会计前沿专题》教学大纲</w:t>
      </w:r>
    </w:p>
    <w:p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一、基本信息</w:t>
      </w:r>
    </w:p>
    <w:tbl>
      <w:tblPr>
        <w:tblStyle w:val="7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39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025" w:type="dxa"/>
            <w:vAlign w:val="center"/>
          </w:tcPr>
          <w:p>
            <w:pPr>
              <w:rPr>
                <w:rFonts w:ascii="黑体" w:hAnsi="黑体" w:eastAsia="黑体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课程名称：会计前沿专题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黑体" w:hAnsi="黑体" w:eastAsia="黑体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英文课程名称：</w:t>
            </w:r>
            <w:r>
              <w:rPr>
                <w:rFonts w:hint="default" w:ascii="Times New Roman" w:hAnsi="Times New Roman" w:eastAsia="仿宋" w:cs="Times New Roman"/>
                <w:szCs w:val="21"/>
                <w:lang w:val="en-GB"/>
              </w:rPr>
              <w:t>Frontier Topics of Accounting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025" w:type="dxa"/>
            <w:vAlign w:val="center"/>
          </w:tcPr>
          <w:p>
            <w:pPr>
              <w:rPr>
                <w:rFonts w:ascii="黑体" w:hAnsi="黑体" w:eastAsia="黑体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课程代码：</w:t>
            </w:r>
            <w:r>
              <w:rPr>
                <w:rFonts w:hint="eastAsia" w:ascii="仿宋" w:hAnsi="仿宋" w:eastAsia="仿宋"/>
                <w:szCs w:val="21"/>
              </w:rPr>
              <w:t>160721T011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hint="eastAsia" w:ascii="黑体" w:hAnsi="黑体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总学分：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  <w:bookmarkStart w:id="1" w:name="_GoBack"/>
            <w:bookmarkEnd w:id="1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025" w:type="dxa"/>
            <w:vAlign w:val="center"/>
          </w:tcPr>
          <w:p>
            <w:pPr>
              <w:rPr>
                <w:rFonts w:hint="default" w:ascii="黑体" w:hAnsi="黑体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总学时：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32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hint="default" w:ascii="黑体" w:hAnsi="黑体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课内</w:t>
            </w:r>
            <w:r>
              <w:rPr>
                <w:rFonts w:ascii="仿宋" w:hAnsi="仿宋" w:eastAsia="仿宋"/>
                <w:szCs w:val="21"/>
                <w:lang w:val="en-GB"/>
              </w:rPr>
              <w:t>学时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025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实验学时：</w:t>
            </w:r>
            <w:r>
              <w:rPr>
                <w:rFonts w:hint="eastAsia" w:ascii="仿宋" w:hAnsi="仿宋" w:eastAsia="仿宋"/>
                <w:szCs w:val="21"/>
              </w:rPr>
              <w:t>0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上机学时：</w:t>
            </w:r>
            <w:r>
              <w:rPr>
                <w:rFonts w:hint="eastAsia" w:ascii="仿宋" w:hAnsi="仿宋" w:eastAsia="仿宋"/>
                <w:szCs w:val="21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025" w:type="dxa"/>
            <w:vAlign w:val="center"/>
          </w:tcPr>
          <w:p>
            <w:pPr>
              <w:rPr>
                <w:rFonts w:ascii="黑体" w:hAnsi="黑体" w:eastAsia="黑体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开课学院：工商管理学院/马克思主义学院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黑体" w:hAnsi="黑体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适用专业：会计学专业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025" w:type="dxa"/>
            <w:vAlign w:val="center"/>
          </w:tcPr>
          <w:p>
            <w:pPr>
              <w:rPr>
                <w:rFonts w:ascii="黑体" w:hAnsi="黑体" w:eastAsia="黑体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课程性质：选修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黑体" w:hAnsi="黑体" w:eastAsia="黑体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先修课程：会计学原理、中级财务会计、成本与管理会计、高级财务会计等</w:t>
            </w:r>
          </w:p>
        </w:tc>
      </w:tr>
    </w:tbl>
    <w:p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二、课程简介</w:t>
      </w:r>
    </w:p>
    <w:p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《会计前沿专题》是为会计专业的高年级本科生所开设的专题式选修课程。本课程旨在落实校区高层次应用型人才培养目标，引领学生把握</w:t>
      </w:r>
      <w:r>
        <w:rPr>
          <w:rFonts w:hint="eastAsia" w:ascii="仿宋" w:hAnsi="仿宋" w:eastAsia="仿宋"/>
          <w:szCs w:val="21"/>
          <w:lang w:val="en-GB" w:eastAsia="zh-Hans"/>
        </w:rPr>
        <w:t>数字经济时代</w:t>
      </w:r>
      <w:r>
        <w:rPr>
          <w:rFonts w:hint="eastAsia" w:ascii="仿宋" w:hAnsi="仿宋" w:eastAsia="仿宋"/>
          <w:szCs w:val="21"/>
          <w:lang w:val="en-GB"/>
        </w:rPr>
        <w:t>会计学领域发展的前沿方向，拓展学生的专业视野，培养学生的专业前瞻性、思维创新性和学科融合性的科学研究能力。</w:t>
      </w:r>
    </w:p>
    <w:p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三、教学目标</w:t>
      </w:r>
    </w:p>
    <w:p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本课程在明确会计学未来发展趋势的基础上，</w:t>
      </w:r>
      <w:r>
        <w:rPr>
          <w:rFonts w:hint="eastAsia" w:ascii="仿宋" w:hAnsi="仿宋" w:eastAsia="仿宋"/>
          <w:szCs w:val="21"/>
          <w:lang w:val="en-GB" w:eastAsia="zh-Hans"/>
        </w:rPr>
        <w:t>构架基于会计理论上的财务会计</w:t>
      </w:r>
      <w:r>
        <w:rPr>
          <w:rFonts w:hint="eastAsia" w:ascii="仿宋" w:hAnsi="仿宋" w:eastAsia="仿宋"/>
          <w:szCs w:val="21"/>
          <w:lang w:val="en-GB" w:eastAsia="zh-CN"/>
        </w:rPr>
        <w:t>和</w:t>
      </w:r>
      <w:r>
        <w:rPr>
          <w:rFonts w:hint="eastAsia" w:ascii="仿宋" w:hAnsi="仿宋" w:eastAsia="仿宋"/>
          <w:szCs w:val="21"/>
          <w:lang w:val="en-GB" w:eastAsia="zh-Hans"/>
        </w:rPr>
        <w:t>管理会计的发展前沿问题维度，着重</w:t>
      </w:r>
      <w:r>
        <w:rPr>
          <w:rFonts w:hint="eastAsia" w:ascii="仿宋" w:hAnsi="仿宋" w:eastAsia="仿宋"/>
          <w:szCs w:val="21"/>
          <w:lang w:val="en-GB"/>
        </w:rPr>
        <w:t>达成如下具体课程目标：</w:t>
      </w:r>
    </w:p>
    <w:p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1.了解数字经济对会计学领域的主要影响。</w:t>
      </w:r>
    </w:p>
    <w:p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2.深入理解与掌握会计准则发展的重要前沿问题。</w:t>
      </w:r>
    </w:p>
    <w:p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3.着重掌握财务会计</w:t>
      </w:r>
      <w:bookmarkStart w:id="0" w:name="_Hlk82270066"/>
      <w:r>
        <w:rPr>
          <w:rFonts w:hint="eastAsia" w:ascii="仿宋" w:hAnsi="仿宋" w:eastAsia="仿宋"/>
          <w:szCs w:val="21"/>
          <w:lang w:val="en-GB"/>
        </w:rPr>
        <w:t>领域发展的重要前沿问题</w:t>
      </w:r>
      <w:bookmarkEnd w:id="0"/>
      <w:r>
        <w:rPr>
          <w:rFonts w:hint="eastAsia" w:ascii="仿宋" w:hAnsi="仿宋" w:eastAsia="仿宋"/>
          <w:szCs w:val="21"/>
          <w:lang w:val="en-GB"/>
        </w:rPr>
        <w:t>。</w:t>
      </w:r>
    </w:p>
    <w:p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四、教学内容与学习要求</w:t>
      </w:r>
    </w:p>
    <w:p>
      <w:pPr>
        <w:ind w:firstLine="420" w:firstLineChars="200"/>
        <w:rPr>
          <w:rFonts w:ascii="仿宋" w:hAnsi="仿宋" w:eastAsia="仿宋"/>
          <w:szCs w:val="21"/>
          <w:lang w:val="en-GB"/>
        </w:rPr>
      </w:pPr>
      <w:r>
        <w:rPr>
          <w:rFonts w:hint="eastAsia" w:ascii="仿宋" w:hAnsi="仿宋" w:eastAsia="仿宋"/>
          <w:szCs w:val="21"/>
          <w:lang w:val="en-GB"/>
        </w:rPr>
        <w:t>（可</w:t>
      </w:r>
      <w:r>
        <w:rPr>
          <w:rFonts w:ascii="仿宋" w:hAnsi="仿宋" w:eastAsia="仿宋"/>
          <w:szCs w:val="21"/>
          <w:lang w:val="en-GB"/>
        </w:rPr>
        <w:t>按章节顺序</w:t>
      </w:r>
      <w:r>
        <w:rPr>
          <w:rFonts w:hint="eastAsia" w:ascii="仿宋" w:hAnsi="仿宋" w:eastAsia="仿宋"/>
          <w:szCs w:val="21"/>
          <w:lang w:val="en-GB"/>
        </w:rPr>
        <w:t>或</w:t>
      </w:r>
      <w:r>
        <w:rPr>
          <w:rFonts w:ascii="仿宋" w:hAnsi="仿宋" w:eastAsia="仿宋"/>
          <w:szCs w:val="21"/>
          <w:lang w:val="en-GB"/>
        </w:rPr>
        <w:t>教学单元顺序编写，要详细说明具体教学内容</w:t>
      </w:r>
      <w:r>
        <w:rPr>
          <w:rFonts w:hint="eastAsia" w:ascii="仿宋" w:hAnsi="仿宋" w:eastAsia="仿宋"/>
          <w:szCs w:val="21"/>
          <w:lang w:val="en-GB"/>
        </w:rPr>
        <w:t>、</w:t>
      </w:r>
      <w:r>
        <w:rPr>
          <w:rFonts w:ascii="仿宋" w:hAnsi="仿宋" w:eastAsia="仿宋"/>
          <w:szCs w:val="21"/>
          <w:lang w:val="en-GB"/>
        </w:rPr>
        <w:t>教学重点和难点</w:t>
      </w:r>
      <w:r>
        <w:rPr>
          <w:rFonts w:hint="eastAsia" w:ascii="仿宋" w:hAnsi="仿宋" w:eastAsia="仿宋"/>
          <w:szCs w:val="21"/>
          <w:lang w:val="en-GB"/>
        </w:rPr>
        <w:t>，</w:t>
      </w:r>
      <w:r>
        <w:rPr>
          <w:rFonts w:ascii="仿宋" w:hAnsi="仿宋" w:eastAsia="仿宋"/>
          <w:szCs w:val="21"/>
          <w:lang w:val="en-GB"/>
        </w:rPr>
        <w:t>应清楚地表达知识、技能的范围和深度，充分反映课程的知识和技能要求，体现课程特点。</w:t>
      </w:r>
      <w:r>
        <w:rPr>
          <w:rFonts w:hint="eastAsia" w:ascii="仿宋" w:hAnsi="仿宋" w:eastAsia="仿宋"/>
          <w:szCs w:val="21"/>
          <w:lang w:val="en-GB"/>
        </w:rPr>
        <w:t>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96"/>
        <w:gridCol w:w="4103"/>
        <w:gridCol w:w="397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tblHeader/>
          <w:jc w:val="center"/>
        </w:trPr>
        <w:tc>
          <w:tcPr>
            <w:tcW w:w="264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b/>
                <w:sz w:val="18"/>
                <w:szCs w:val="18"/>
                <w:lang w:val="zh-CN"/>
              </w:rPr>
              <w:t>章节/教学</w:t>
            </w:r>
            <w:r>
              <w:rPr>
                <w:rFonts w:ascii="仿宋" w:hAnsi="仿宋" w:eastAsia="仿宋"/>
                <w:b/>
                <w:sz w:val="18"/>
                <w:szCs w:val="18"/>
                <w:lang w:val="zh-CN"/>
              </w:rPr>
              <w:t>单元</w:t>
            </w:r>
          </w:p>
        </w:tc>
        <w:tc>
          <w:tcPr>
            <w:tcW w:w="410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b/>
                <w:sz w:val="18"/>
                <w:szCs w:val="18"/>
                <w:lang w:val="zh-CN"/>
              </w:rPr>
              <w:t>教学</w:t>
            </w:r>
            <w:r>
              <w:rPr>
                <w:rFonts w:ascii="仿宋" w:hAnsi="仿宋" w:eastAsia="仿宋"/>
                <w:b/>
                <w:sz w:val="18"/>
                <w:szCs w:val="18"/>
                <w:lang w:val="zh-CN"/>
              </w:rPr>
              <w:t>内容</w:t>
            </w:r>
            <w:r>
              <w:rPr>
                <w:rFonts w:hint="eastAsia" w:ascii="仿宋" w:hAnsi="仿宋" w:eastAsia="仿宋"/>
                <w:b/>
                <w:sz w:val="18"/>
                <w:szCs w:val="18"/>
                <w:lang w:val="zh-CN"/>
              </w:rPr>
              <w:t>、</w:t>
            </w:r>
            <w:r>
              <w:rPr>
                <w:rFonts w:ascii="仿宋" w:hAnsi="仿宋" w:eastAsia="仿宋"/>
                <w:b/>
                <w:sz w:val="18"/>
                <w:szCs w:val="18"/>
                <w:lang w:val="zh-CN"/>
              </w:rPr>
              <w:t>重点</w:t>
            </w:r>
            <w:r>
              <w:rPr>
                <w:rFonts w:hint="eastAsia" w:ascii="仿宋" w:hAnsi="仿宋" w:eastAsia="仿宋"/>
                <w:b/>
                <w:sz w:val="18"/>
                <w:szCs w:val="18"/>
                <w:lang w:val="zh-CN"/>
              </w:rPr>
              <w:t>、</w:t>
            </w:r>
            <w:r>
              <w:rPr>
                <w:rFonts w:ascii="仿宋" w:hAnsi="仿宋" w:eastAsia="仿宋"/>
                <w:b/>
                <w:sz w:val="18"/>
                <w:szCs w:val="18"/>
                <w:lang w:val="zh-CN"/>
              </w:rPr>
              <w:t>难点</w:t>
            </w: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b/>
                <w:sz w:val="18"/>
                <w:szCs w:val="18"/>
                <w:lang w:val="zh-CN"/>
              </w:rPr>
              <w:t>学时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b/>
                <w:sz w:val="18"/>
                <w:szCs w:val="18"/>
                <w:lang w:val="zh-CN"/>
              </w:rPr>
              <w:t>学习要求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1247" w:type="dxa"/>
            <w:vAlign w:val="center"/>
          </w:tcPr>
          <w:p>
            <w:pPr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t>专题一</w:t>
            </w:r>
            <w:r>
              <w:rPr>
                <w:rFonts w:hint="eastAsia" w:ascii="仿宋" w:hAnsi="仿宋" w:eastAsia="仿宋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vAlign w:val="center"/>
          </w:tcPr>
          <w:p>
            <w:pPr>
              <w:rPr>
                <w:rFonts w:ascii="仿宋" w:hAnsi="仿宋" w:eastAsia="仿宋"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18"/>
                <w:szCs w:val="18"/>
                <w:lang w:val="zh-CN"/>
              </w:rPr>
              <w:t>会计实践前沿</w:t>
            </w:r>
          </w:p>
        </w:tc>
        <w:tc>
          <w:tcPr>
            <w:tcW w:w="4103" w:type="dxa"/>
            <w:vAlign w:val="center"/>
          </w:tcPr>
          <w:p>
            <w:pPr>
              <w:rPr>
                <w:rFonts w:hint="eastAsia"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Hans"/>
              </w:rPr>
              <w:t>教学内容</w:t>
            </w:r>
            <w:r>
              <w:rPr>
                <w:rFonts w:ascii="仿宋" w:hAnsi="仿宋" w:eastAsia="仿宋"/>
                <w:sz w:val="18"/>
                <w:szCs w:val="18"/>
                <w:lang w:eastAsia="zh-Hans"/>
              </w:rPr>
              <w:t>：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财务转型背景</w:t>
            </w:r>
            <w:r>
              <w:rPr>
                <w:rFonts w:ascii="仿宋" w:hAnsi="仿宋" w:eastAsia="仿宋"/>
                <w:sz w:val="18"/>
                <w:szCs w:val="18"/>
                <w:lang w:eastAsia="zh-Hans"/>
              </w:rPr>
              <w:t>；</w:t>
            </w:r>
            <w:r>
              <w:rPr>
                <w:rFonts w:hint="eastAsia" w:ascii="仿宋" w:hAnsi="仿宋" w:eastAsia="仿宋"/>
                <w:sz w:val="18"/>
                <w:szCs w:val="18"/>
                <w:lang w:eastAsia="zh-Hans"/>
              </w:rPr>
              <w:t>财务转型趋势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；</w:t>
            </w:r>
            <w:r>
              <w:rPr>
                <w:rFonts w:hint="eastAsia" w:ascii="仿宋" w:hAnsi="仿宋" w:eastAsia="仿宋"/>
                <w:sz w:val="18"/>
                <w:szCs w:val="18"/>
                <w:lang w:eastAsia="zh-Hans"/>
              </w:rPr>
              <w:t>财务共享案例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分享。</w:t>
            </w:r>
          </w:p>
          <w:p>
            <w:pPr>
              <w:rPr>
                <w:rFonts w:ascii="仿宋" w:hAnsi="仿宋" w:eastAsia="仿宋"/>
                <w:sz w:val="18"/>
                <w:szCs w:val="18"/>
                <w:lang w:eastAsia="zh-Hans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Hans"/>
              </w:rPr>
              <w:t>教学重点</w:t>
            </w:r>
            <w:r>
              <w:rPr>
                <w:rFonts w:ascii="仿宋" w:hAnsi="仿宋" w:eastAsia="仿宋"/>
                <w:sz w:val="18"/>
                <w:szCs w:val="18"/>
                <w:lang w:eastAsia="zh-Hans"/>
              </w:rPr>
              <w:t>：</w:t>
            </w:r>
            <w:r>
              <w:rPr>
                <w:rFonts w:hint="eastAsia" w:ascii="仿宋" w:hAnsi="仿宋" w:eastAsia="仿宋"/>
                <w:sz w:val="18"/>
                <w:szCs w:val="18"/>
                <w:lang w:eastAsia="zh-Hans"/>
              </w:rPr>
              <w:t>财务转型案例分析</w:t>
            </w:r>
          </w:p>
          <w:p>
            <w:pPr>
              <w:rPr>
                <w:rFonts w:hint="eastAsia" w:ascii="仿宋" w:hAnsi="仿宋" w:eastAsia="仿宋"/>
                <w:sz w:val="18"/>
                <w:szCs w:val="18"/>
                <w:lang w:eastAsia="zh-Hans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Hans"/>
              </w:rPr>
              <w:t>教学难点</w:t>
            </w:r>
            <w:r>
              <w:rPr>
                <w:rFonts w:ascii="仿宋" w:hAnsi="仿宋" w:eastAsia="仿宋"/>
                <w:sz w:val="18"/>
                <w:szCs w:val="18"/>
                <w:lang w:eastAsia="zh-Hans"/>
              </w:rPr>
              <w:t>：</w:t>
            </w:r>
            <w:r>
              <w:rPr>
                <w:rFonts w:hint="eastAsia" w:ascii="仿宋" w:hAnsi="仿宋" w:eastAsia="仿宋"/>
                <w:sz w:val="18"/>
                <w:szCs w:val="18"/>
                <w:lang w:eastAsia="zh-Hans"/>
              </w:rPr>
              <w:t>信息技术在会计领域的应用</w:t>
            </w:r>
          </w:p>
          <w:p>
            <w:pPr>
              <w:rPr>
                <w:rFonts w:hint="eastAsia"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eastAsia="zh-CN"/>
              </w:rPr>
              <w:t>课程思政：中国信息技术不断发展，展现大国实力。</w:t>
            </w:r>
          </w:p>
        </w:tc>
        <w:tc>
          <w:tcPr>
            <w:tcW w:w="397" w:type="dxa"/>
            <w:vAlign w:val="center"/>
          </w:tcPr>
          <w:p>
            <w:pPr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仿宋" w:hAnsi="仿宋" w:eastAsia="仿宋"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t>理解</w:t>
            </w:r>
          </w:p>
          <w:p>
            <w:pPr>
              <w:rPr>
                <w:rFonts w:ascii="仿宋" w:hAnsi="仿宋" w:eastAsia="仿宋"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t>应用</w:t>
            </w:r>
          </w:p>
          <w:p>
            <w:pPr>
              <w:rPr>
                <w:rFonts w:ascii="仿宋" w:hAnsi="仿宋" w:eastAsia="仿宋"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t>综合</w:t>
            </w:r>
            <w:r>
              <w:rPr>
                <w:rFonts w:ascii="仿宋" w:hAnsi="仿宋" w:eastAsia="仿宋"/>
                <w:sz w:val="18"/>
                <w:szCs w:val="18"/>
                <w:lang w:val="zh-CN"/>
              </w:rPr>
              <w:t>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1247" w:type="dxa"/>
            <w:vAlign w:val="center"/>
          </w:tcPr>
          <w:p>
            <w:pPr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t>专题二</w:t>
            </w:r>
            <w:r>
              <w:rPr>
                <w:rFonts w:hint="eastAsia" w:ascii="仿宋" w:hAnsi="仿宋" w:eastAsia="仿宋"/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vAlign w:val="center"/>
          </w:tcPr>
          <w:p>
            <w:pPr>
              <w:rPr>
                <w:rFonts w:ascii="仿宋" w:hAnsi="仿宋" w:eastAsia="仿宋"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18"/>
                <w:szCs w:val="18"/>
                <w:lang w:val="zh-CN"/>
              </w:rPr>
              <w:t>会计理论前沿</w:t>
            </w:r>
          </w:p>
        </w:tc>
        <w:tc>
          <w:tcPr>
            <w:tcW w:w="4103" w:type="dxa"/>
            <w:vAlign w:val="center"/>
          </w:tcPr>
          <w:p>
            <w:pPr>
              <w:rPr>
                <w:rFonts w:ascii="仿宋" w:hAnsi="仿宋" w:eastAsia="仿宋"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t>教学内容：</w:t>
            </w: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ESG和国际可持续披露准则的最新发展、双碳政策对会计行业发展的影响</w:t>
            </w: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t>。</w:t>
            </w:r>
          </w:p>
          <w:p>
            <w:pPr>
              <w:rPr>
                <w:rFonts w:hint="eastAsia" w:ascii="仿宋" w:hAnsi="仿宋" w:eastAsia="仿宋"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t>教学重、难点：对双碳政策与会计行业联系的理解。</w:t>
            </w:r>
          </w:p>
          <w:p>
            <w:pPr>
              <w:rPr>
                <w:rFonts w:hint="eastAsia" w:ascii="仿宋" w:hAnsi="仿宋" w:eastAsia="仿宋"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val="zh-CN"/>
              </w:rPr>
              <w:t>课程思政：我国双碳目标提出，展现大国担当</w:t>
            </w:r>
          </w:p>
        </w:tc>
        <w:tc>
          <w:tcPr>
            <w:tcW w:w="397" w:type="dxa"/>
            <w:vAlign w:val="center"/>
          </w:tcPr>
          <w:p>
            <w:pPr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仿宋" w:hAnsi="仿宋" w:eastAsia="仿宋"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t>理解</w:t>
            </w:r>
          </w:p>
          <w:p>
            <w:pPr>
              <w:rPr>
                <w:rFonts w:ascii="仿宋" w:hAnsi="仿宋" w:eastAsia="仿宋"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t>应用</w:t>
            </w:r>
          </w:p>
          <w:p>
            <w:pPr>
              <w:rPr>
                <w:rFonts w:ascii="仿宋" w:hAnsi="仿宋" w:eastAsia="仿宋"/>
                <w:sz w:val="18"/>
                <w:szCs w:val="18"/>
                <w:lang w:val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hint="eastAsia" w:ascii="仿宋" w:hAnsi="仿宋" w:eastAsia="仿宋"/>
                <w:sz w:val="18"/>
                <w:szCs w:val="18"/>
                <w:lang w:val="zh-CN"/>
              </w:rPr>
              <w:t>综合</w:t>
            </w:r>
            <w:r>
              <w:rPr>
                <w:rFonts w:ascii="仿宋" w:hAnsi="仿宋" w:eastAsia="仿宋"/>
                <w:sz w:val="18"/>
                <w:szCs w:val="18"/>
                <w:lang w:val="zh-CN"/>
              </w:rPr>
              <w:t>分析</w:t>
            </w:r>
          </w:p>
        </w:tc>
      </w:tr>
    </w:tbl>
    <w:p>
      <w:pPr>
        <w:ind w:firstLine="360" w:firstLineChars="200"/>
        <w:rPr>
          <w:rFonts w:ascii="仿宋" w:hAnsi="仿宋" w:eastAsia="仿宋"/>
          <w:sz w:val="18"/>
          <w:szCs w:val="18"/>
          <w:lang w:val="zh-CN"/>
        </w:rPr>
      </w:pPr>
      <w:r>
        <w:rPr>
          <w:rFonts w:hint="eastAsia" w:ascii="仿宋" w:hAnsi="仿宋" w:eastAsia="仿宋"/>
          <w:sz w:val="18"/>
          <w:szCs w:val="18"/>
          <w:lang w:val="zh-CN"/>
        </w:rPr>
        <w:t>注：在“学习要求”一栏补充选项，</w:t>
      </w:r>
      <w:r>
        <w:rPr>
          <w:rFonts w:ascii="仿宋" w:hAnsi="仿宋" w:eastAsia="仿宋"/>
          <w:sz w:val="18"/>
          <w:szCs w:val="18"/>
          <w:lang w:val="zh-CN"/>
        </w:rPr>
        <w:t>可以多选</w:t>
      </w:r>
      <w:r>
        <w:rPr>
          <w:rFonts w:hint="eastAsia" w:ascii="仿宋" w:hAnsi="仿宋" w:eastAsia="仿宋"/>
          <w:sz w:val="18"/>
          <w:szCs w:val="18"/>
          <w:lang w:val="zh-CN"/>
        </w:rPr>
        <w:t>，无要求可不填，</w:t>
      </w:r>
      <w:r>
        <w:rPr>
          <w:rFonts w:ascii="仿宋" w:hAnsi="仿宋" w:eastAsia="仿宋"/>
          <w:sz w:val="18"/>
          <w:szCs w:val="18"/>
          <w:lang w:val="zh-CN"/>
        </w:rPr>
        <w:t>也可自定要求</w:t>
      </w:r>
      <w:r>
        <w:rPr>
          <w:rFonts w:hint="eastAsia" w:ascii="仿宋" w:hAnsi="仿宋" w:eastAsia="仿宋"/>
          <w:sz w:val="18"/>
          <w:szCs w:val="18"/>
          <w:lang w:val="zh-CN"/>
        </w:rPr>
        <w:t>。</w:t>
      </w:r>
      <w:r>
        <w:rPr>
          <w:rFonts w:hint="eastAsia" w:ascii="仿宋" w:hAnsi="仿宋" w:eastAsia="仿宋"/>
          <w:b/>
          <w:sz w:val="18"/>
          <w:szCs w:val="18"/>
          <w:lang w:val="zh-CN"/>
        </w:rPr>
        <w:t>记忆，</w:t>
      </w:r>
      <w:r>
        <w:rPr>
          <w:rFonts w:hint="eastAsia" w:ascii="仿宋" w:hAnsi="仿宋" w:eastAsia="仿宋"/>
          <w:sz w:val="18"/>
          <w:szCs w:val="18"/>
          <w:lang w:val="zh-CN"/>
        </w:rPr>
        <w:t>指能从记忆库中找到相关的知识、概念、术语或材料与当前的信息进行比较、确认，能记住并能不加理解的列出、描述这些知识、概念、术语或材料；</w:t>
      </w:r>
      <w:r>
        <w:rPr>
          <w:rFonts w:hint="eastAsia" w:ascii="仿宋" w:hAnsi="仿宋" w:eastAsia="仿宋"/>
          <w:b/>
          <w:sz w:val="18"/>
          <w:szCs w:val="18"/>
          <w:lang w:val="zh-CN"/>
        </w:rPr>
        <w:t>理解，</w:t>
      </w:r>
      <w:r>
        <w:rPr>
          <w:rFonts w:hint="eastAsia" w:ascii="仿宋" w:hAnsi="仿宋" w:eastAsia="仿宋"/>
          <w:sz w:val="18"/>
          <w:szCs w:val="18"/>
          <w:lang w:val="zh-CN"/>
        </w:rPr>
        <w:t>指能对所学的内容作归纳、分类、解释、总结、推断和一定程度的发挥；</w:t>
      </w:r>
      <w:r>
        <w:rPr>
          <w:rFonts w:hint="eastAsia" w:ascii="仿宋" w:hAnsi="仿宋" w:eastAsia="仿宋"/>
          <w:b/>
          <w:sz w:val="18"/>
          <w:szCs w:val="18"/>
          <w:lang w:val="zh-CN"/>
        </w:rPr>
        <w:t>应用，</w:t>
      </w:r>
      <w:r>
        <w:rPr>
          <w:rFonts w:hint="eastAsia" w:ascii="仿宋" w:hAnsi="仿宋" w:eastAsia="仿宋"/>
          <w:sz w:val="18"/>
          <w:szCs w:val="18"/>
          <w:lang w:val="zh-CN"/>
        </w:rPr>
        <w:t>指能选择正确的程序应用、实施所学到的内容，并能进行必要的计算或决断；</w:t>
      </w:r>
      <w:r>
        <w:rPr>
          <w:rFonts w:hint="eastAsia" w:ascii="仿宋" w:hAnsi="仿宋" w:eastAsia="仿宋"/>
          <w:b/>
          <w:sz w:val="18"/>
          <w:szCs w:val="18"/>
          <w:lang w:val="zh-CN"/>
        </w:rPr>
        <w:t>综合分析，</w:t>
      </w:r>
      <w:r>
        <w:rPr>
          <w:rFonts w:hint="eastAsia" w:ascii="仿宋" w:hAnsi="仿宋" w:eastAsia="仿宋"/>
          <w:sz w:val="18"/>
          <w:szCs w:val="18"/>
          <w:lang w:val="zh-CN"/>
        </w:rPr>
        <w:t>指能将所学的内容分解并找出它们的相互关系和构成，或能计划、创造、建造、有改变的重构，或能作评论、总结、估计、预测、评估、论证和答辩。</w:t>
      </w:r>
    </w:p>
    <w:p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五、教学方法</w:t>
      </w:r>
    </w:p>
    <w:p>
      <w:pPr>
        <w:ind w:firstLine="420" w:firstLineChars="200"/>
        <w:rPr>
          <w:rFonts w:ascii="仿宋" w:hAnsi="仿宋" w:eastAsia="仿宋"/>
          <w:szCs w:val="21"/>
        </w:rPr>
      </w:pPr>
      <w:r>
        <w:rPr>
          <w:rFonts w:ascii="仿宋" w:hAnsi="仿宋" w:eastAsia="仿宋"/>
        </w:rPr>
        <w:t>本课程</w:t>
      </w:r>
      <w:r>
        <w:rPr>
          <w:rFonts w:hint="eastAsia" w:ascii="仿宋" w:hAnsi="仿宋" w:eastAsia="仿宋"/>
        </w:rPr>
        <w:t>主要采用</w:t>
      </w:r>
      <w:r>
        <w:rPr>
          <w:rFonts w:hint="eastAsia" w:ascii="仿宋" w:hAnsi="仿宋" w:eastAsia="仿宋"/>
          <w:lang w:eastAsia="zh-CN"/>
        </w:rPr>
        <w:t>案例教学法、</w:t>
      </w:r>
      <w:r>
        <w:rPr>
          <w:rFonts w:hint="eastAsia" w:ascii="仿宋" w:hAnsi="仿宋" w:eastAsia="仿宋"/>
        </w:rPr>
        <w:t>研讨式</w:t>
      </w:r>
      <w:r>
        <w:rPr>
          <w:rFonts w:ascii="仿宋" w:hAnsi="仿宋" w:eastAsia="仿宋"/>
        </w:rPr>
        <w:t>教学方法。</w:t>
      </w:r>
    </w:p>
    <w:p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六、考核方式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本课程采取</w:t>
      </w:r>
      <w:r>
        <w:rPr>
          <w:rFonts w:hint="eastAsia" w:ascii="仿宋" w:hAnsi="仿宋" w:eastAsia="仿宋"/>
          <w:lang w:eastAsia="zh-CN"/>
        </w:rPr>
        <w:t>课程考查</w:t>
      </w:r>
      <w:r>
        <w:rPr>
          <w:rFonts w:hint="eastAsia" w:ascii="仿宋" w:hAnsi="仿宋" w:eastAsia="仿宋"/>
        </w:rPr>
        <w:t>的方式考核结课，成绩评定方法如下：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总成绩 = 过程成绩50%+</w:t>
      </w:r>
      <w:r>
        <w:rPr>
          <w:rFonts w:hint="eastAsia" w:ascii="仿宋" w:hAnsi="仿宋" w:eastAsia="仿宋"/>
          <w:lang w:eastAsia="zh-CN"/>
        </w:rPr>
        <w:t>结课报告</w:t>
      </w:r>
      <w:r>
        <w:rPr>
          <w:rFonts w:hint="eastAsia" w:ascii="仿宋" w:hAnsi="仿宋" w:eastAsia="仿宋"/>
        </w:rPr>
        <w:t>50%</w:t>
      </w:r>
    </w:p>
    <w:p>
      <w:pPr>
        <w:ind w:firstLine="42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其中：过程成绩=考勤10%+平时作业</w:t>
      </w:r>
      <w:r>
        <w:rPr>
          <w:rFonts w:hint="eastAsia" w:ascii="仿宋" w:hAnsi="仿宋" w:eastAsia="仿宋"/>
          <w:lang w:val="en-US" w:eastAsia="zh-CN"/>
        </w:rPr>
        <w:t>3</w:t>
      </w:r>
      <w:r>
        <w:rPr>
          <w:rFonts w:hint="eastAsia" w:ascii="仿宋" w:hAnsi="仿宋" w:eastAsia="仿宋"/>
        </w:rPr>
        <w:t>0%+</w:t>
      </w:r>
      <w:r>
        <w:rPr>
          <w:rFonts w:hint="eastAsia" w:ascii="仿宋" w:hAnsi="仿宋" w:eastAsia="仿宋"/>
          <w:lang w:eastAsia="zh-CN"/>
        </w:rPr>
        <w:t>课堂表现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0%</w:t>
      </w:r>
    </w:p>
    <w:p>
      <w:pPr>
        <w:ind w:firstLine="420" w:firstLineChars="200"/>
        <w:rPr>
          <w:rFonts w:ascii="仿宋" w:hAnsi="仿宋" w:eastAsia="仿宋"/>
          <w:szCs w:val="21"/>
        </w:rPr>
      </w:pPr>
    </w:p>
    <w:p>
      <w:pPr>
        <w:rPr>
          <w:rFonts w:ascii="黑体" w:hAnsi="黑体" w:eastAsia="黑体"/>
          <w:szCs w:val="21"/>
          <w:lang w:val="en-GB"/>
        </w:rPr>
      </w:pPr>
      <w:r>
        <w:rPr>
          <w:rFonts w:hint="eastAsia" w:ascii="黑体" w:hAnsi="黑体" w:eastAsia="黑体"/>
          <w:szCs w:val="21"/>
          <w:lang w:val="en-GB"/>
        </w:rPr>
        <w:t>七、教材与参考书</w:t>
      </w:r>
    </w:p>
    <w:p>
      <w:pPr>
        <w:ind w:firstLine="422" w:firstLineChars="200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（一）教材</w:t>
      </w:r>
    </w:p>
    <w:p>
      <w:pPr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  <w:lang w:eastAsia="zh-CN"/>
        </w:rPr>
        <w:t>自制</w:t>
      </w:r>
      <w:r>
        <w:rPr>
          <w:rFonts w:hint="eastAsia" w:ascii="仿宋" w:hAnsi="仿宋" w:eastAsia="仿宋"/>
          <w:szCs w:val="21"/>
        </w:rPr>
        <w:t>课程讲义</w:t>
      </w:r>
    </w:p>
    <w:p>
      <w:pPr>
        <w:ind w:firstLine="422" w:firstLineChars="200"/>
        <w:rPr>
          <w:rFonts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（二）参考书目或文献</w:t>
      </w:r>
    </w:p>
    <w:p>
      <w:pPr>
        <w:ind w:firstLine="420" w:firstLineChars="200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《</w:t>
      </w:r>
      <w:r>
        <w:rPr>
          <w:rFonts w:hint="eastAsia" w:ascii="仿宋" w:hAnsi="仿宋" w:eastAsia="仿宋"/>
          <w:szCs w:val="21"/>
          <w:lang w:eastAsia="zh-CN"/>
        </w:rPr>
        <w:t>财务就是</w:t>
      </w:r>
      <w:r>
        <w:rPr>
          <w:rFonts w:hint="eastAsia" w:ascii="仿宋" w:hAnsi="仿宋" w:eastAsia="仿宋"/>
          <w:szCs w:val="21"/>
          <w:lang w:val="en-US" w:eastAsia="zh-CN"/>
        </w:rPr>
        <w:t>IT</w:t>
      </w:r>
      <w:r>
        <w:rPr>
          <w:rFonts w:hint="eastAsia" w:ascii="仿宋" w:hAnsi="仿宋" w:eastAsia="仿宋"/>
          <w:szCs w:val="21"/>
        </w:rPr>
        <w:t>》，版次</w:t>
      </w:r>
      <w:r>
        <w:rPr>
          <w:rFonts w:hint="eastAsia" w:ascii="仿宋" w:hAnsi="仿宋" w:eastAsia="仿宋"/>
          <w:szCs w:val="21"/>
          <w:lang w:eastAsia="zh-CN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1</w:t>
      </w:r>
      <w:r>
        <w:rPr>
          <w:rFonts w:hint="eastAsia" w:ascii="仿宋" w:hAnsi="仿宋" w:eastAsia="仿宋"/>
          <w:szCs w:val="21"/>
        </w:rPr>
        <w:t>，编著者</w:t>
      </w:r>
      <w:r>
        <w:rPr>
          <w:rFonts w:hint="eastAsia" w:ascii="仿宋" w:hAnsi="仿宋" w:eastAsia="仿宋"/>
          <w:szCs w:val="21"/>
          <w:lang w:eastAsia="zh-CN"/>
        </w:rPr>
        <w:t>：陈虎</w:t>
      </w:r>
      <w:r>
        <w:rPr>
          <w:rFonts w:hint="eastAsia" w:ascii="仿宋" w:hAnsi="仿宋" w:eastAsia="仿宋"/>
          <w:szCs w:val="21"/>
        </w:rPr>
        <w:t>，出版社</w:t>
      </w:r>
      <w:r>
        <w:rPr>
          <w:rFonts w:hint="eastAsia" w:ascii="仿宋" w:hAnsi="仿宋" w:eastAsia="仿宋"/>
          <w:szCs w:val="21"/>
          <w:lang w:eastAsia="zh-CN"/>
        </w:rPr>
        <w:t>：中国财政经济出版社</w:t>
      </w:r>
      <w:r>
        <w:rPr>
          <w:rFonts w:hint="eastAsia" w:ascii="仿宋" w:hAnsi="仿宋" w:eastAsia="仿宋"/>
          <w:szCs w:val="21"/>
        </w:rPr>
        <w:t>，出版年度</w:t>
      </w:r>
      <w:r>
        <w:rPr>
          <w:rFonts w:hint="eastAsia" w:ascii="仿宋" w:hAnsi="仿宋" w:eastAsia="仿宋"/>
          <w:szCs w:val="21"/>
          <w:lang w:eastAsia="zh-CN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2017年</w:t>
      </w:r>
      <w:r>
        <w:rPr>
          <w:rFonts w:hint="eastAsia" w:ascii="仿宋" w:hAnsi="仿宋" w:eastAsia="仿宋"/>
          <w:szCs w:val="21"/>
        </w:rPr>
        <w:t>，ISBN：9787509574003。</w:t>
      </w:r>
    </w:p>
    <w:p>
      <w:pPr>
        <w:ind w:firstLine="420" w:firstLineChars="200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《</w:t>
      </w:r>
      <w:r>
        <w:rPr>
          <w:rFonts w:hint="eastAsia" w:ascii="仿宋" w:hAnsi="仿宋" w:eastAsia="仿宋"/>
          <w:szCs w:val="21"/>
          <w:lang w:eastAsia="zh-CN"/>
        </w:rPr>
        <w:t>财务共享服务案例集</w:t>
      </w:r>
      <w:r>
        <w:rPr>
          <w:rFonts w:hint="eastAsia" w:ascii="仿宋" w:hAnsi="仿宋" w:eastAsia="仿宋"/>
          <w:szCs w:val="21"/>
        </w:rPr>
        <w:t>》，版次</w:t>
      </w:r>
      <w:r>
        <w:rPr>
          <w:rFonts w:hint="eastAsia" w:ascii="仿宋" w:hAnsi="仿宋" w:eastAsia="仿宋"/>
          <w:szCs w:val="21"/>
          <w:lang w:eastAsia="zh-CN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1</w:t>
      </w:r>
      <w:r>
        <w:rPr>
          <w:rFonts w:hint="eastAsia" w:ascii="仿宋" w:hAnsi="仿宋" w:eastAsia="仿宋"/>
          <w:szCs w:val="21"/>
        </w:rPr>
        <w:t>，编著者</w:t>
      </w:r>
      <w:r>
        <w:rPr>
          <w:rFonts w:hint="eastAsia" w:ascii="仿宋" w:hAnsi="仿宋" w:eastAsia="仿宋"/>
          <w:szCs w:val="21"/>
          <w:lang w:eastAsia="zh-CN"/>
        </w:rPr>
        <w:t>：陈虎，陈东升</w:t>
      </w:r>
      <w:r>
        <w:rPr>
          <w:rFonts w:hint="eastAsia" w:ascii="仿宋" w:hAnsi="仿宋" w:eastAsia="仿宋"/>
          <w:szCs w:val="21"/>
        </w:rPr>
        <w:t>，出版社</w:t>
      </w:r>
      <w:r>
        <w:rPr>
          <w:rFonts w:hint="eastAsia" w:ascii="仿宋" w:hAnsi="仿宋" w:eastAsia="仿宋"/>
          <w:szCs w:val="21"/>
          <w:lang w:eastAsia="zh-CN"/>
        </w:rPr>
        <w:t>：中国财政经济出版社</w:t>
      </w:r>
      <w:r>
        <w:rPr>
          <w:rFonts w:hint="eastAsia" w:ascii="仿宋" w:hAnsi="仿宋" w:eastAsia="仿宋"/>
          <w:szCs w:val="21"/>
        </w:rPr>
        <w:t>，出版年度</w:t>
      </w:r>
      <w:r>
        <w:rPr>
          <w:rFonts w:hint="eastAsia" w:ascii="仿宋" w:hAnsi="仿宋" w:eastAsia="仿宋"/>
          <w:szCs w:val="21"/>
          <w:lang w:eastAsia="zh-CN"/>
        </w:rPr>
        <w:t>：2014年</w:t>
      </w:r>
      <w:r>
        <w:rPr>
          <w:rFonts w:hint="eastAsia" w:ascii="仿宋" w:hAnsi="仿宋" w:eastAsia="仿宋"/>
          <w:szCs w:val="21"/>
        </w:rPr>
        <w:t>，</w:t>
      </w:r>
      <w:r>
        <w:rPr>
          <w:rFonts w:ascii="仿宋" w:hAnsi="仿宋" w:eastAsia="仿宋"/>
          <w:szCs w:val="21"/>
        </w:rPr>
        <w:t>ISBN：</w:t>
      </w:r>
      <w:r>
        <w:rPr>
          <w:rFonts w:hint="eastAsia" w:ascii="仿宋" w:hAnsi="仿宋" w:eastAsia="仿宋"/>
          <w:szCs w:val="21"/>
        </w:rPr>
        <w:t>9787509555453。</w:t>
      </w:r>
    </w:p>
    <w:p>
      <w:pPr>
        <w:ind w:firstLine="420" w:firstLineChars="200"/>
        <w:rPr>
          <w:rFonts w:hint="eastAsia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</w:rPr>
        <w:t>《</w:t>
      </w:r>
      <w:r>
        <w:rPr>
          <w:rFonts w:hint="eastAsia" w:ascii="仿宋" w:hAnsi="仿宋" w:eastAsia="仿宋"/>
          <w:szCs w:val="21"/>
          <w:lang w:eastAsia="zh-CN"/>
        </w:rPr>
        <w:t>财务的自动化、智能化、数字化</w:t>
      </w:r>
      <w:r>
        <w:rPr>
          <w:rFonts w:hint="eastAsia" w:ascii="仿宋" w:hAnsi="仿宋" w:eastAsia="仿宋"/>
          <w:szCs w:val="21"/>
        </w:rPr>
        <w:t>》，编著者</w:t>
      </w:r>
      <w:r>
        <w:rPr>
          <w:rFonts w:hint="eastAsia" w:ascii="仿宋" w:hAnsi="仿宋" w:eastAsia="仿宋"/>
          <w:szCs w:val="21"/>
          <w:lang w:eastAsia="zh-CN"/>
        </w:rPr>
        <w:t>：中兴新云等</w:t>
      </w:r>
      <w:r>
        <w:rPr>
          <w:rFonts w:hint="eastAsia" w:ascii="仿宋" w:hAnsi="仿宋" w:eastAsia="仿宋"/>
          <w:szCs w:val="21"/>
        </w:rPr>
        <w:t>，出版年度</w:t>
      </w:r>
      <w:r>
        <w:rPr>
          <w:rFonts w:hint="eastAsia" w:ascii="仿宋" w:hAnsi="仿宋" w:eastAsia="仿宋"/>
          <w:szCs w:val="21"/>
          <w:lang w:eastAsia="zh-CN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2020年。</w:t>
      </w:r>
    </w:p>
    <w:p>
      <w:pPr>
        <w:ind w:firstLine="420" w:firstLineChars="200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《ESG投资》，版次</w:t>
      </w:r>
      <w:r>
        <w:rPr>
          <w:rFonts w:hint="eastAsia" w:ascii="仿宋" w:hAnsi="仿宋" w:eastAsia="仿宋"/>
          <w:szCs w:val="21"/>
          <w:lang w:eastAsia="zh-CN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1</w:t>
      </w:r>
      <w:r>
        <w:rPr>
          <w:rFonts w:hint="eastAsia" w:ascii="仿宋" w:hAnsi="仿宋" w:eastAsia="仿宋"/>
          <w:szCs w:val="21"/>
        </w:rPr>
        <w:t>，编著者</w:t>
      </w:r>
      <w:r>
        <w:rPr>
          <w:rFonts w:hint="eastAsia" w:ascii="仿宋" w:hAnsi="仿宋" w:eastAsia="仿宋"/>
          <w:szCs w:val="21"/>
          <w:lang w:eastAsia="zh-CN"/>
        </w:rPr>
        <w:t>：马克·墨比尔斯等</w:t>
      </w:r>
      <w:r>
        <w:rPr>
          <w:rFonts w:hint="eastAsia" w:ascii="仿宋" w:hAnsi="仿宋" w:eastAsia="仿宋"/>
          <w:szCs w:val="21"/>
        </w:rPr>
        <w:t>，出版社</w:t>
      </w:r>
      <w:r>
        <w:rPr>
          <w:rFonts w:hint="eastAsia" w:ascii="仿宋" w:hAnsi="仿宋" w:eastAsia="仿宋"/>
          <w:szCs w:val="21"/>
          <w:lang w:eastAsia="zh-CN"/>
        </w:rPr>
        <w:t>：中信出版集团股份有限公司</w:t>
      </w:r>
      <w:r>
        <w:rPr>
          <w:rFonts w:hint="eastAsia" w:ascii="仿宋" w:hAnsi="仿宋" w:eastAsia="仿宋"/>
          <w:szCs w:val="21"/>
        </w:rPr>
        <w:t>，出版年度</w:t>
      </w:r>
      <w:r>
        <w:rPr>
          <w:rFonts w:hint="eastAsia" w:ascii="仿宋" w:hAnsi="仿宋" w:eastAsia="仿宋"/>
          <w:szCs w:val="21"/>
          <w:lang w:eastAsia="zh-CN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2021年</w:t>
      </w:r>
      <w:r>
        <w:rPr>
          <w:rFonts w:hint="eastAsia" w:ascii="仿宋" w:hAnsi="仿宋" w:eastAsia="仿宋"/>
          <w:szCs w:val="21"/>
        </w:rPr>
        <w:t>，</w:t>
      </w:r>
      <w:r>
        <w:rPr>
          <w:rFonts w:ascii="仿宋" w:hAnsi="仿宋" w:eastAsia="仿宋"/>
          <w:szCs w:val="21"/>
        </w:rPr>
        <w:t>ISBN：9787521731439</w:t>
      </w:r>
      <w:r>
        <w:rPr>
          <w:rFonts w:hint="eastAsia" w:ascii="仿宋" w:hAnsi="仿宋" w:eastAsia="仿宋"/>
          <w:szCs w:val="21"/>
        </w:rPr>
        <w:t>。</w:t>
      </w:r>
    </w:p>
    <w:p>
      <w:pPr>
        <w:ind w:firstLine="420" w:firstLineChars="200"/>
        <w:rPr>
          <w:rFonts w:ascii="仿宋" w:hAnsi="仿宋" w:eastAsia="仿宋"/>
          <w:szCs w:val="21"/>
          <w:lang w:val="en-GB"/>
        </w:rPr>
      </w:pPr>
    </w:p>
    <w:p>
      <w:pPr>
        <w:ind w:firstLine="420" w:firstLineChars="200"/>
        <w:rPr>
          <w:rFonts w:ascii="仿宋" w:hAnsi="仿宋" w:eastAsia="仿宋"/>
          <w:szCs w:val="21"/>
          <w:lang w:val="en-GB"/>
        </w:rPr>
      </w:pPr>
    </w:p>
    <w:tbl>
      <w:tblPr>
        <w:tblStyle w:val="7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  <w:gridCol w:w="3316"/>
      </w:tblGrid>
      <w:tr>
        <w:trPr>
          <w:trHeight w:val="454" w:hRule="atLeast"/>
          <w:jc w:val="right"/>
        </w:trPr>
        <w:tc>
          <w:tcPr>
            <w:tcW w:w="4678" w:type="dxa"/>
            <w:vAlign w:val="center"/>
          </w:tcPr>
          <w:p>
            <w:pPr>
              <w:rPr>
                <w:rFonts w:ascii="黑体" w:hAnsi="黑体" w:eastAsia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>
            <w:pPr>
              <w:rPr>
                <w:rFonts w:hint="eastAsia" w:ascii="黑体" w:hAnsi="黑体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制定人：（课程</w:t>
            </w:r>
            <w:r>
              <w:rPr>
                <w:rFonts w:ascii="仿宋" w:hAnsi="仿宋" w:eastAsia="仿宋"/>
                <w:szCs w:val="21"/>
                <w:lang w:val="en-GB"/>
              </w:rPr>
              <w:t>负责人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鞠小玉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atLeast"/>
          <w:jc w:val="right"/>
        </w:trPr>
        <w:tc>
          <w:tcPr>
            <w:tcW w:w="4678" w:type="dxa"/>
            <w:vAlign w:val="center"/>
          </w:tcPr>
          <w:p>
            <w:pPr>
              <w:rPr>
                <w:rFonts w:ascii="黑体" w:hAnsi="黑体" w:eastAsia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>
            <w:pPr>
              <w:rPr>
                <w:rFonts w:ascii="仿宋" w:hAnsi="仿宋" w:eastAsia="仿宋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审核人</w:t>
            </w:r>
            <w:r>
              <w:rPr>
                <w:rFonts w:ascii="仿宋" w:hAnsi="仿宋" w:eastAsia="仿宋"/>
                <w:szCs w:val="21"/>
                <w:lang w:val="en-GB"/>
              </w:rPr>
              <w:t>：（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开课系主任</w:t>
            </w:r>
            <w:r>
              <w:rPr>
                <w:rFonts w:ascii="仿宋" w:hAnsi="仿宋" w:eastAsia="仿宋"/>
                <w:szCs w:val="21"/>
                <w:lang w:val="en-GB"/>
              </w:rPr>
              <w:t>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鞠小玉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atLeast"/>
          <w:jc w:val="right"/>
        </w:trPr>
        <w:tc>
          <w:tcPr>
            <w:tcW w:w="4678" w:type="dxa"/>
            <w:vAlign w:val="center"/>
          </w:tcPr>
          <w:p>
            <w:pPr>
              <w:rPr>
                <w:rFonts w:ascii="黑体" w:hAnsi="黑体" w:eastAsia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>
            <w:pPr>
              <w:rPr>
                <w:rFonts w:ascii="仿宋" w:hAnsi="仿宋" w:eastAsia="仿宋"/>
                <w:szCs w:val="21"/>
                <w:lang w:val="en-GB"/>
              </w:rPr>
            </w:pPr>
            <w:r>
              <w:rPr>
                <w:rFonts w:hint="eastAsia" w:ascii="仿宋" w:hAnsi="仿宋" w:eastAsia="仿宋"/>
                <w:szCs w:val="21"/>
                <w:lang w:val="en-GB"/>
              </w:rPr>
              <w:t>制（修）订时间：202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年</w:t>
            </w:r>
            <w:r>
              <w:rPr>
                <w:rFonts w:hint="eastAsia" w:ascii="仿宋" w:hAnsi="仿宋" w:eastAsia="仿宋"/>
                <w:szCs w:val="21"/>
              </w:rPr>
              <w:t>9</w:t>
            </w:r>
            <w:r>
              <w:rPr>
                <w:rFonts w:hint="eastAsia" w:ascii="仿宋" w:hAnsi="仿宋" w:eastAsia="仿宋"/>
                <w:szCs w:val="21"/>
                <w:lang w:val="en-GB"/>
              </w:rPr>
              <w:t>月</w:t>
            </w:r>
          </w:p>
        </w:tc>
      </w:tr>
    </w:tbl>
    <w:p>
      <w:pPr>
        <w:widowControl/>
        <w:jc w:val="lef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br w:type="page"/>
      </w:r>
    </w:p>
    <w:p>
      <w:pPr>
        <w:jc w:val="center"/>
        <w:rPr>
          <w:rFonts w:ascii="Times New Roman" w:hAnsi="Times New Roman" w:eastAsia="黑体" w:cs="Times New Roman"/>
          <w:b/>
          <w:sz w:val="32"/>
          <w:szCs w:val="21"/>
          <w:lang w:val="en-GB"/>
        </w:rPr>
      </w:pPr>
      <w:r>
        <w:rPr>
          <w:rFonts w:ascii="Times New Roman" w:hAnsi="Times New Roman" w:eastAsia="黑体" w:cs="Times New Roman"/>
          <w:b/>
          <w:sz w:val="32"/>
          <w:szCs w:val="21"/>
          <w:lang w:val="en-GB"/>
        </w:rPr>
        <w:t>《</w:t>
      </w:r>
      <w:r>
        <w:rPr>
          <w:rFonts w:hint="eastAsia" w:ascii="Times New Roman" w:hAnsi="Times New Roman" w:eastAsia="黑体" w:cs="Times New Roman"/>
          <w:b/>
          <w:sz w:val="32"/>
          <w:szCs w:val="21"/>
          <w:lang w:val="en-GB"/>
        </w:rPr>
        <w:t>Frontier Topics of Accounting</w:t>
      </w:r>
      <w:r>
        <w:rPr>
          <w:rFonts w:ascii="Times New Roman" w:hAnsi="Times New Roman" w:eastAsia="黑体" w:cs="Times New Roman"/>
          <w:b/>
          <w:sz w:val="32"/>
          <w:szCs w:val="21"/>
          <w:lang w:val="en-GB"/>
        </w:rPr>
        <w:t>》Syllabus</w:t>
      </w:r>
    </w:p>
    <w:p>
      <w:pPr>
        <w:rPr>
          <w:rFonts w:ascii="Times New Roman" w:hAnsi="Times New Roman" w:eastAsia="黑体" w:cs="Times New Roman"/>
          <w:b/>
          <w:szCs w:val="21"/>
          <w:lang w:val="en-GB"/>
        </w:rPr>
      </w:pPr>
      <w:r>
        <w:rPr>
          <w:rFonts w:ascii="Times New Roman" w:hAnsi="Times New Roman" w:eastAsia="黑体" w:cs="Times New Roman"/>
          <w:b/>
          <w:szCs w:val="21"/>
          <w:lang w:val="en-GB"/>
        </w:rPr>
        <w:t>I. Basic Information</w:t>
      </w:r>
    </w:p>
    <w:tbl>
      <w:tblPr>
        <w:tblStyle w:val="7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39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025" w:type="dxa"/>
            <w:vAlign w:val="center"/>
          </w:tcPr>
          <w:p>
            <w:pPr>
              <w:rPr>
                <w:rFonts w:ascii="Times New Roman" w:hAnsi="Times New Roman" w:eastAsia="黑体" w:cs="Times New Roman"/>
                <w:szCs w:val="21"/>
                <w:lang w:val="en-GB"/>
              </w:rPr>
            </w:pPr>
            <w:r>
              <w:rPr>
                <w:rFonts w:ascii="Times New Roman" w:hAnsi="Times New Roman" w:cs="Times New Roman"/>
              </w:rPr>
              <w:t xml:space="preserve">Course Name: </w:t>
            </w:r>
            <w:r>
              <w:rPr>
                <w:rFonts w:hint="eastAsia" w:ascii="Times New Roman" w:hAnsi="Times New Roman" w:cs="Times New Roman"/>
              </w:rPr>
              <w:t>Frontier Topics of Accounting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Times New Roman" w:hAnsi="Times New Roman" w:eastAsia="仿宋" w:cs="Times New Roman"/>
                <w:szCs w:val="21"/>
                <w:lang w:val="en-GB"/>
              </w:rPr>
            </w:pPr>
            <w:r>
              <w:rPr>
                <w:rFonts w:ascii="Times New Roman" w:hAnsi="Times New Roman" w:eastAsia="仿宋" w:cs="Times New Roman"/>
                <w:szCs w:val="21"/>
                <w:lang w:val="en-GB"/>
              </w:rPr>
              <w:t xml:space="preserve">Name in Chinese: </w:t>
            </w:r>
            <w:r>
              <w:rPr>
                <w:rFonts w:hint="eastAsia" w:ascii="Times New Roman" w:hAnsi="Times New Roman" w:eastAsia="仿宋" w:cs="Times New Roman"/>
                <w:szCs w:val="21"/>
                <w:lang w:val="en-GB"/>
              </w:rPr>
              <w:t>会计前沿专题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025" w:type="dxa"/>
            <w:vAlign w:val="center"/>
          </w:tcPr>
          <w:p>
            <w:pPr>
              <w:rPr>
                <w:rFonts w:ascii="Times New Roman" w:hAnsi="Times New Roman" w:eastAsia="黑体" w:cs="Times New Roman"/>
                <w:szCs w:val="21"/>
                <w:lang w:val="en-GB"/>
              </w:rPr>
            </w:pPr>
            <w:r>
              <w:rPr>
                <w:rFonts w:ascii="Times New Roman" w:hAnsi="Times New Roman" w:cs="Times New Roman"/>
              </w:rPr>
              <w:t xml:space="preserve">Course No.: </w:t>
            </w:r>
            <w:r>
              <w:rPr>
                <w:rFonts w:hint="eastAsia" w:ascii="Times New Roman" w:hAnsi="Times New Roman" w:cs="Times New Roman"/>
              </w:rPr>
              <w:t>160721T011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hint="eastAsia" w:ascii="Times New Roman" w:hAnsi="Times New Roman" w:cs="Times New Roman" w:eastAsiaTheme="minorEastAsia"/>
                <w:szCs w:val="21"/>
                <w:lang w:val="en-GB" w:eastAsia="zh-CN"/>
              </w:rPr>
            </w:pPr>
            <w:r>
              <w:rPr>
                <w:rFonts w:ascii="Times New Roman" w:hAnsi="Times New Roman" w:cs="Times New Roman"/>
              </w:rPr>
              <w:t xml:space="preserve">Total Credits: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025" w:type="dxa"/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</w:rPr>
              <w:t xml:space="preserve">Total Hours: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32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hint="default" w:ascii="Times New Roman" w:hAnsi="Times New Roman" w:eastAsia="黑体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黑体" w:cs="Times New Roman"/>
                <w:szCs w:val="21"/>
                <w:lang w:val="en-GB"/>
              </w:rPr>
              <w:t xml:space="preserve">Lecture Hours: </w:t>
            </w:r>
            <w:r>
              <w:rPr>
                <w:rFonts w:hint="eastAsia" w:ascii="Times New Roman" w:hAnsi="Times New Roman" w:eastAsia="黑体" w:cs="Times New Roman"/>
                <w:szCs w:val="21"/>
                <w:lang w:val="en-US" w:eastAsia="zh-CN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02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Lab Hours: </w:t>
            </w:r>
            <w:r>
              <w:rPr>
                <w:rFonts w:hint="eastAsia" w:ascii="Times New Roman" w:hAnsi="Times New Roman" w:cs="Times New Roman"/>
              </w:rPr>
              <w:t>0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Computer Lab Hours: </w:t>
            </w:r>
            <w:r>
              <w:rPr>
                <w:rFonts w:hint="eastAsia" w:ascii="Times New Roman" w:hAnsi="Times New Roman" w:cs="Times New Roma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right"/>
        </w:trPr>
        <w:tc>
          <w:tcPr>
            <w:tcW w:w="4025" w:type="dxa"/>
            <w:vAlign w:val="center"/>
          </w:tcPr>
          <w:p>
            <w:pPr>
              <w:rPr>
                <w:rFonts w:ascii="Times New Roman" w:hAnsi="Times New Roman" w:eastAsia="黑体" w:cs="Times New Roman"/>
                <w:szCs w:val="21"/>
                <w:lang w:val="en-GB"/>
              </w:rPr>
            </w:pPr>
            <w:r>
              <w:rPr>
                <w:rFonts w:ascii="Times New Roman" w:hAnsi="Times New Roman" w:cs="Times New Roman"/>
              </w:rPr>
              <w:t>Offering College: College</w:t>
            </w:r>
            <w:r>
              <w:rPr>
                <w:rFonts w:hint="eastAsia" w:ascii="Times New Roman" w:hAnsi="Times New Roman" w:cs="Times New Roman"/>
              </w:rPr>
              <w:t xml:space="preserve"> of Business Administration / </w:t>
            </w:r>
            <w:r>
              <w:rPr>
                <w:rFonts w:ascii="Times New Roman" w:hAnsi="Times New Roman" w:cs="Times New Roman"/>
              </w:rPr>
              <w:t>College</w:t>
            </w:r>
            <w:r>
              <w:rPr>
                <w:rFonts w:hint="eastAsia" w:ascii="Times New Roman" w:hAnsi="Times New Roman" w:cs="Times New Roman"/>
              </w:rPr>
              <w:t xml:space="preserve"> of Marxism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Corresponding Majors: </w:t>
            </w:r>
            <w:r>
              <w:rPr>
                <w:rFonts w:hint="eastAsia" w:ascii="Times New Roman" w:hAnsi="Times New Roman" w:cs="Times New Roman"/>
              </w:rPr>
              <w:t>Accounting Major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3" w:hRule="atLeast"/>
          <w:jc w:val="right"/>
        </w:trPr>
        <w:tc>
          <w:tcPr>
            <w:tcW w:w="4025" w:type="dxa"/>
            <w:vAlign w:val="center"/>
          </w:tcPr>
          <w:p>
            <w:pPr>
              <w:rPr>
                <w:rFonts w:ascii="Times New Roman" w:hAnsi="Times New Roman" w:eastAsia="黑体" w:cs="Times New Roman"/>
                <w:szCs w:val="21"/>
                <w:lang w:val="en-GB"/>
              </w:rPr>
            </w:pPr>
            <w:r>
              <w:rPr>
                <w:rFonts w:ascii="Times New Roman" w:hAnsi="Times New Roman" w:cs="Times New Roman"/>
              </w:rPr>
              <w:t>Course Type: Elective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="Times New Roman" w:hAnsi="Times New Roman" w:eastAsia="黑体" w:cs="Times New Roman"/>
                <w:szCs w:val="21"/>
                <w:lang w:val="en-GB"/>
              </w:rPr>
            </w:pPr>
            <w:r>
              <w:rPr>
                <w:rFonts w:ascii="Times New Roman" w:hAnsi="Times New Roman" w:cs="Times New Roman"/>
              </w:rPr>
              <w:t xml:space="preserve">Prerequisite:  </w:t>
            </w:r>
            <w:r>
              <w:rPr>
                <w:rFonts w:hint="eastAsia" w:ascii="Times New Roman" w:hAnsi="Times New Roman" w:cs="Times New Roman"/>
              </w:rPr>
              <w:t xml:space="preserve">Accounting Principle, Intermediate Financial Accounting, Cost and Managerial Accounting, </w:t>
            </w:r>
            <w:r>
              <w:rPr>
                <w:rFonts w:hint="eastAsia" w:ascii="Times New Roman" w:hAnsi="Times New Roman" w:cs="Times New Roman"/>
                <w:bCs/>
                <w:sz w:val="22"/>
                <w:lang w:val="en-GB"/>
              </w:rPr>
              <w:t>Audit</w:t>
            </w:r>
            <w:r>
              <w:rPr>
                <w:rFonts w:hint="eastAsia" w:ascii="Times New Roman" w:hAnsi="Times New Roman" w:cs="Times New Roman"/>
                <w:bCs/>
                <w:sz w:val="22"/>
              </w:rPr>
              <w:t xml:space="preserve">ing, </w:t>
            </w:r>
            <w:r>
              <w:rPr>
                <w:rFonts w:hint="eastAsia" w:ascii="Times New Roman" w:hAnsi="Times New Roman" w:cs="Times New Roman"/>
              </w:rPr>
              <w:t>Advanced Financial Accounting, etc</w:t>
            </w:r>
          </w:p>
        </w:tc>
      </w:tr>
    </w:tbl>
    <w:p>
      <w:pPr>
        <w:rPr>
          <w:rFonts w:ascii="Times New Roman" w:hAnsi="Times New Roman" w:eastAsia="黑体" w:cs="Times New Roman"/>
          <w:b/>
          <w:szCs w:val="21"/>
          <w:lang w:val="en-GB"/>
        </w:rPr>
      </w:pPr>
      <w:r>
        <w:rPr>
          <w:rFonts w:ascii="Times New Roman" w:hAnsi="Times New Roman" w:eastAsia="黑体" w:cs="Times New Roman"/>
          <w:b/>
          <w:szCs w:val="21"/>
          <w:lang w:val="en-GB"/>
        </w:rPr>
        <w:t>II. Course Introduction</w:t>
      </w:r>
    </w:p>
    <w:p>
      <w:pPr>
        <w:pStyle w:val="15"/>
        <w:spacing w:line="300" w:lineRule="auto"/>
        <w:ind w:firstLine="440"/>
        <w:rPr>
          <w:rFonts w:ascii="Times New Roman" w:hAnsi="Times New Roman" w:cs="Times New Roman"/>
          <w:sz w:val="22"/>
        </w:rPr>
      </w:pPr>
      <w:r>
        <w:rPr>
          <w:rFonts w:hint="eastAsia" w:ascii="Times New Roman" w:hAnsi="Times New Roman" w:cs="Times New Roman"/>
          <w:sz w:val="22"/>
        </w:rPr>
        <w:t xml:space="preserve">The subject of Accounting Frontiers is a special elective course for undergraduates majoring in accounting. The course objective is to carry out the campus high-level talent training goal, </w:t>
      </w:r>
      <w:r>
        <w:rPr>
          <w:rFonts w:hint="eastAsia" w:ascii="Times New Roman" w:hAnsi="Times New Roman" w:cs="Times New Roman"/>
          <w:sz w:val="22"/>
          <w:lang w:val="en-US" w:eastAsia="zh-Hans"/>
        </w:rPr>
        <w:t>l</w:t>
      </w:r>
      <w:r>
        <w:rPr>
          <w:rFonts w:hint="eastAsia" w:ascii="Times New Roman" w:hAnsi="Times New Roman" w:cs="Times New Roman"/>
          <w:sz w:val="22"/>
        </w:rPr>
        <w:t>ead students to grasp the frontier direction of the development of accounting in the era of digital economy</w:t>
      </w:r>
      <w:r>
        <w:rPr>
          <w:rFonts w:hint="default" w:ascii="Times New Roman" w:hAnsi="Times New Roman" w:cs="Times New Roman"/>
          <w:sz w:val="22"/>
        </w:rPr>
        <w:t>，</w:t>
      </w:r>
      <w:r>
        <w:rPr>
          <w:rFonts w:hint="eastAsia" w:ascii="Times New Roman" w:hAnsi="Times New Roman" w:cs="Times New Roman"/>
          <w:sz w:val="22"/>
          <w:lang w:val="en-US" w:eastAsia="zh-Hans"/>
        </w:rPr>
        <w:t>e</w:t>
      </w:r>
      <w:r>
        <w:rPr>
          <w:rFonts w:hint="default" w:ascii="Times New Roman" w:hAnsi="Times New Roman" w:cs="Times New Roman"/>
          <w:sz w:val="22"/>
        </w:rPr>
        <w:t>xpand students' professional vision，</w:t>
      </w:r>
      <w:r>
        <w:rPr>
          <w:rFonts w:hint="eastAsia" w:ascii="Times New Roman" w:hAnsi="Times New Roman" w:cs="Times New Roman"/>
          <w:sz w:val="22"/>
          <w:lang w:val="en-US" w:eastAsia="zh-Hans"/>
        </w:rPr>
        <w:t>c</w:t>
      </w:r>
      <w:r>
        <w:rPr>
          <w:rFonts w:hint="default" w:ascii="Times New Roman" w:hAnsi="Times New Roman" w:cs="Times New Roman"/>
          <w:sz w:val="22"/>
        </w:rPr>
        <w:t>ultivate students' scientific research ability of professional foresight, innovative thinking and subject integration。</w:t>
      </w:r>
    </w:p>
    <w:p>
      <w:pPr>
        <w:rPr>
          <w:rFonts w:ascii="Times New Roman" w:hAnsi="Times New Roman" w:eastAsia="黑体" w:cs="Times New Roman"/>
          <w:b/>
          <w:szCs w:val="21"/>
          <w:lang w:val="en-GB"/>
        </w:rPr>
      </w:pPr>
      <w:r>
        <w:rPr>
          <w:rFonts w:ascii="Times New Roman" w:hAnsi="Times New Roman" w:eastAsia="黑体" w:cs="Times New Roman"/>
          <w:b/>
          <w:szCs w:val="21"/>
          <w:lang w:val="en-GB"/>
        </w:rPr>
        <w:t>III. Course Objective</w:t>
      </w:r>
    </w:p>
    <w:p>
      <w:pPr>
        <w:spacing w:line="300" w:lineRule="auto"/>
        <w:ind w:firstLine="440" w:firstLineChars="200"/>
        <w:rPr>
          <w:rFonts w:hint="eastAsia" w:ascii="Times New Roman" w:hAnsi="Times New Roman" w:cs="Times New Roman"/>
          <w:sz w:val="22"/>
        </w:rPr>
      </w:pPr>
      <w:r>
        <w:rPr>
          <w:rFonts w:hint="eastAsia" w:ascii="Times New Roman" w:hAnsi="Times New Roman" w:cs="Times New Roman"/>
          <w:sz w:val="22"/>
        </w:rPr>
        <w:t>This course is based on clarifying the future development trend of accounting</w:t>
      </w:r>
      <w:r>
        <w:rPr>
          <w:rFonts w:hint="default" w:ascii="Times New Roman" w:hAnsi="Times New Roman" w:cs="Times New Roman"/>
          <w:sz w:val="22"/>
        </w:rPr>
        <w:t>，Construct the development frontier problem dimension of financial accounting</w:t>
      </w:r>
      <w:r>
        <w:rPr>
          <w:rFonts w:hint="eastAsia" w:ascii="Times New Roman" w:hAnsi="Times New Roman" w:cs="Times New Roman"/>
          <w:sz w:val="22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sz w:val="22"/>
        </w:rPr>
        <w:t>management accounting based on accounting theory</w:t>
      </w:r>
      <w:r>
        <w:rPr>
          <w:rFonts w:hint="eastAsia" w:ascii="Times New Roman" w:hAnsi="Times New Roman" w:cs="Times New Roman"/>
          <w:sz w:val="22"/>
        </w:rPr>
        <w:t>. The following specific objectives are required:</w:t>
      </w:r>
    </w:p>
    <w:p>
      <w:pPr>
        <w:spacing w:line="300" w:lineRule="auto"/>
        <w:ind w:firstLine="440" w:firstLineChars="200"/>
        <w:rPr>
          <w:rFonts w:hint="eastAsia" w:ascii="Times New Roman" w:hAnsi="Times New Roman" w:cs="Times New Roman"/>
          <w:sz w:val="22"/>
        </w:rPr>
      </w:pPr>
      <w:r>
        <w:rPr>
          <w:rFonts w:hint="eastAsia" w:ascii="Times New Roman" w:hAnsi="Times New Roman" w:cs="Times New Roman"/>
          <w:sz w:val="22"/>
        </w:rPr>
        <w:t>1. Understand the main impact of digital economy on the field of accounting.</w:t>
      </w:r>
    </w:p>
    <w:p>
      <w:pPr>
        <w:spacing w:line="300" w:lineRule="auto"/>
        <w:ind w:firstLine="440" w:firstLineChars="200"/>
        <w:rPr>
          <w:rFonts w:hint="eastAsia" w:ascii="Times New Roman" w:hAnsi="Times New Roman" w:cs="Times New Roman"/>
          <w:sz w:val="22"/>
        </w:rPr>
      </w:pPr>
      <w:r>
        <w:rPr>
          <w:rFonts w:hint="eastAsia" w:ascii="Times New Roman" w:hAnsi="Times New Roman" w:cs="Times New Roman"/>
          <w:sz w:val="22"/>
        </w:rPr>
        <w:t>2. Deeply understand and master the important frontier issues in the development of accounting standards.</w:t>
      </w:r>
    </w:p>
    <w:p>
      <w:pPr>
        <w:spacing w:line="300" w:lineRule="auto"/>
        <w:ind w:firstLine="440" w:firstLineChars="200"/>
        <w:rPr>
          <w:rFonts w:hint="eastAsia" w:ascii="Times New Roman" w:hAnsi="Times New Roman" w:cs="Times New Roman"/>
          <w:sz w:val="22"/>
        </w:rPr>
      </w:pPr>
      <w:r>
        <w:rPr>
          <w:rFonts w:hint="eastAsia" w:ascii="Times New Roman" w:hAnsi="Times New Roman" w:cs="Times New Roman"/>
          <w:sz w:val="22"/>
        </w:rPr>
        <w:t>3. Focus on the important frontier issues in the development of financial accounting.</w:t>
      </w:r>
    </w:p>
    <w:p>
      <w:pPr>
        <w:rPr>
          <w:rFonts w:ascii="Times New Roman" w:hAnsi="Times New Roman" w:eastAsia="黑体" w:cs="Times New Roman"/>
          <w:b/>
          <w:szCs w:val="21"/>
          <w:lang w:val="en-GB"/>
        </w:rPr>
      </w:pPr>
      <w:r>
        <w:rPr>
          <w:rFonts w:ascii="Times New Roman" w:hAnsi="Times New Roman" w:eastAsia="黑体" w:cs="Times New Roman"/>
          <w:b/>
          <w:szCs w:val="21"/>
          <w:lang w:val="en-GB"/>
        </w:rPr>
        <w:t xml:space="preserve">IV. Contents </w:t>
      </w:r>
      <w:r>
        <w:rPr>
          <w:rFonts w:ascii="Times New Roman" w:hAnsi="Times New Roman" w:eastAsia="仿宋" w:cs="Times New Roman"/>
          <w:b/>
          <w:szCs w:val="21"/>
          <w:lang w:val="en-GB"/>
        </w:rPr>
        <w:t>and</w:t>
      </w:r>
      <w:r>
        <w:rPr>
          <w:rFonts w:ascii="Times New Roman" w:hAnsi="Times New Roman" w:eastAsia="黑体" w:cs="Times New Roman"/>
          <w:b/>
          <w:szCs w:val="21"/>
          <w:lang w:val="en-GB"/>
        </w:rPr>
        <w:t xml:space="preserve"> Requirements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814"/>
        <w:gridCol w:w="3030"/>
        <w:gridCol w:w="567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tblHeader/>
          <w:jc w:val="center"/>
        </w:trPr>
        <w:tc>
          <w:tcPr>
            <w:tcW w:w="30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sz w:val="18"/>
                <w:szCs w:val="18"/>
                <w:lang w:val="zh-CN"/>
              </w:rPr>
            </w:pPr>
            <w:r>
              <w:rPr>
                <w:rFonts w:ascii="Times New Roman" w:hAnsi="Times New Roman" w:eastAsia="仿宋" w:cs="Times New Roman"/>
                <w:b/>
                <w:sz w:val="18"/>
                <w:szCs w:val="18"/>
                <w:lang w:val="zh-CN"/>
              </w:rPr>
              <w:t>Chapter/Unit</w:t>
            </w:r>
          </w:p>
        </w:tc>
        <w:tc>
          <w:tcPr>
            <w:tcW w:w="303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sz w:val="18"/>
                <w:szCs w:val="18"/>
                <w:lang w:val="zh-CN"/>
              </w:rPr>
            </w:pPr>
            <w:r>
              <w:rPr>
                <w:rFonts w:ascii="Times New Roman" w:hAnsi="Times New Roman" w:eastAsia="仿宋" w:cs="Times New Roman"/>
                <w:b/>
                <w:sz w:val="18"/>
                <w:szCs w:val="18"/>
                <w:lang w:val="zh-CN"/>
              </w:rPr>
              <w:t>Contents and Key Points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sz w:val="18"/>
                <w:szCs w:val="18"/>
                <w:lang w:val="zh-CN"/>
              </w:rPr>
            </w:pPr>
            <w:r>
              <w:rPr>
                <w:rFonts w:ascii="Times New Roman" w:hAnsi="Times New Roman" w:eastAsia="仿宋" w:cs="Times New Roman"/>
                <w:b/>
                <w:sz w:val="18"/>
                <w:szCs w:val="18"/>
                <w:lang w:val="zh-CN"/>
              </w:rPr>
              <w:t>hrs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sz w:val="18"/>
                <w:szCs w:val="18"/>
                <w:lang w:val="zh-CN"/>
              </w:rPr>
            </w:pPr>
            <w:r>
              <w:rPr>
                <w:rFonts w:ascii="Times New Roman" w:hAnsi="Times New Roman" w:eastAsia="仿宋" w:cs="Times New Roman"/>
                <w:b/>
                <w:sz w:val="18"/>
                <w:szCs w:val="18"/>
                <w:lang w:val="zh-CN"/>
              </w:rPr>
              <w:t>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1247" w:type="dxa"/>
            <w:vAlign w:val="center"/>
          </w:tcPr>
          <w:p>
            <w:pP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</w:rPr>
              <w:t xml:space="preserve">Topic </w:t>
            </w: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t>1</w:t>
            </w:r>
          </w:p>
        </w:tc>
        <w:tc>
          <w:tcPr>
            <w:tcW w:w="1814" w:type="dxa"/>
            <w:vAlign w:val="center"/>
          </w:tcPr>
          <w:p>
            <w:pP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en-GB"/>
              </w:rPr>
              <w:t>Frontier of accounting practice</w:t>
            </w:r>
          </w:p>
        </w:tc>
        <w:tc>
          <w:tcPr>
            <w:tcW w:w="3030" w:type="dxa"/>
            <w:vAlign w:val="center"/>
          </w:tcPr>
          <w:p>
            <w:pP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  <w:t>Teaching content: background of financial transformation; Financial transformation trend; Financial Sharing and case sharing.</w:t>
            </w:r>
          </w:p>
          <w:p>
            <w:pP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  <w:t>Teaching focus: case analysis of financial transformation</w:t>
            </w:r>
          </w:p>
          <w:p>
            <w:pP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  <w:t>Teaching difficulty: application of information technology in accounting</w:t>
            </w:r>
          </w:p>
          <w:p>
            <w:pP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  <w:t>Course ideology and Politics: China's information technology continues to develop, showing the strength of a big country.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619" w:type="dxa"/>
            <w:vAlign w:val="center"/>
          </w:tcPr>
          <w:p>
            <w:pP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t>Comprehension</w:t>
            </w:r>
          </w:p>
          <w:p>
            <w:pP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t>Application</w:t>
            </w:r>
          </w:p>
          <w:p>
            <w:pP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t>Comprehensive Analysis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1247" w:type="dxa"/>
            <w:vAlign w:val="center"/>
          </w:tcPr>
          <w:p>
            <w:pPr>
              <w:rPr>
                <w:rFonts w:ascii="Times New Roman" w:hAnsi="Times New Roman" w:eastAsia="仿宋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</w:rPr>
              <w:t>Topic 2</w:t>
            </w:r>
          </w:p>
        </w:tc>
        <w:tc>
          <w:tcPr>
            <w:tcW w:w="1814" w:type="dxa"/>
            <w:vAlign w:val="center"/>
          </w:tcPr>
          <w:p>
            <w:pP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en-GB"/>
              </w:rPr>
              <w:t>Frontier of accounting theory</w:t>
            </w:r>
          </w:p>
        </w:tc>
        <w:tc>
          <w:tcPr>
            <w:tcW w:w="3030" w:type="dxa"/>
            <w:vAlign w:val="center"/>
          </w:tcPr>
          <w:p>
            <w:pP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  <w:t>Teaching content: the latest development of ESG and international sustainable disclosure standards, and the impact of double carbon policy on the development of accounting industry.</w:t>
            </w:r>
          </w:p>
          <w:p>
            <w:pP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  <w:t>Key and difficult points in Teaching: understanding of the relationship between the double carbon policy and the accounting industry.</w:t>
            </w:r>
          </w:p>
          <w:p>
            <w:pP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zh-CN"/>
              </w:rPr>
              <w:t>Curriculum thinking and Politics: the proposal of China's double carbon goal shows the responsibility of a big country</w:t>
            </w:r>
          </w:p>
        </w:tc>
        <w:tc>
          <w:tcPr>
            <w:tcW w:w="567" w:type="dxa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619" w:type="dxa"/>
            <w:vAlign w:val="center"/>
          </w:tcPr>
          <w:p>
            <w:pP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t>Comprehension</w:t>
            </w:r>
          </w:p>
          <w:p>
            <w:pP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t>Application</w:t>
            </w:r>
          </w:p>
          <w:p>
            <w:pP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</w:pP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Times New Roman" w:hAnsi="Times New Roman" w:eastAsia="仿宋" w:cs="Times New Roman"/>
                <w:sz w:val="18"/>
                <w:szCs w:val="18"/>
                <w:lang w:val="zh-CN"/>
              </w:rPr>
              <w:t>Comprehensive Analysis</w:t>
            </w:r>
          </w:p>
        </w:tc>
      </w:tr>
    </w:tbl>
    <w:p>
      <w:pPr>
        <w:rPr>
          <w:rFonts w:ascii="Times New Roman" w:hAnsi="Times New Roman" w:eastAsia="黑体" w:cs="Times New Roman"/>
          <w:b/>
          <w:szCs w:val="21"/>
          <w:lang w:val="en-GB"/>
        </w:rPr>
      </w:pPr>
      <w:r>
        <w:rPr>
          <w:rFonts w:ascii="Times New Roman" w:hAnsi="Times New Roman" w:eastAsia="黑体" w:cs="Times New Roman"/>
          <w:b/>
          <w:szCs w:val="21"/>
          <w:lang w:val="en-GB"/>
        </w:rPr>
        <w:t>V. Teaching Method</w:t>
      </w:r>
    </w:p>
    <w:p>
      <w:pPr>
        <w:pStyle w:val="14"/>
        <w:spacing w:line="300" w:lineRule="auto"/>
        <w:ind w:firstLine="440"/>
        <w:jc w:val="left"/>
        <w:rPr>
          <w:rFonts w:ascii="Times New Roman" w:hAnsi="Times New Roman" w:eastAsia="仿宋" w:cs="Times New Roman"/>
          <w:szCs w:val="21"/>
          <w:lang w:val="en-GB"/>
        </w:rPr>
      </w:pPr>
      <w:r>
        <w:rPr>
          <w:rFonts w:hint="eastAsia" w:ascii="Times New Roman" w:hAnsi="Times New Roman" w:cs="Times New Roman"/>
          <w:sz w:val="22"/>
        </w:rPr>
        <w:t>This course mainly adopts case teaching method and discussion teaching method.</w:t>
      </w:r>
    </w:p>
    <w:p>
      <w:pPr>
        <w:rPr>
          <w:rFonts w:ascii="Times New Roman" w:hAnsi="Times New Roman" w:eastAsia="黑体" w:cs="Times New Roman"/>
          <w:b/>
          <w:szCs w:val="21"/>
          <w:lang w:val="en-GB"/>
        </w:rPr>
      </w:pPr>
      <w:r>
        <w:rPr>
          <w:rFonts w:ascii="Times New Roman" w:hAnsi="Times New Roman" w:eastAsia="黑体" w:cs="Times New Roman"/>
          <w:b/>
          <w:szCs w:val="21"/>
          <w:lang w:val="en-GB"/>
        </w:rPr>
        <w:t>VI. Evaluation</w:t>
      </w:r>
    </w:p>
    <w:p>
      <w:pPr>
        <w:ind w:firstLine="440" w:firstLineChars="200"/>
        <w:rPr>
          <w:rFonts w:hint="eastAsia" w:ascii="Times New Roman" w:hAnsi="Times New Roman" w:cs="Times New Roman"/>
          <w:sz w:val="22"/>
        </w:rPr>
      </w:pPr>
      <w:r>
        <w:rPr>
          <w:rFonts w:hint="eastAsia" w:ascii="Times New Roman" w:hAnsi="Times New Roman" w:cs="Times New Roman"/>
          <w:sz w:val="22"/>
        </w:rPr>
        <w:t>This course adopts the open book examination method to assess the completion of the course. The assessment methods are as follows:</w:t>
      </w:r>
    </w:p>
    <w:p>
      <w:pPr>
        <w:ind w:firstLine="440" w:firstLineChars="200"/>
        <w:rPr>
          <w:rFonts w:hint="eastAsia" w:ascii="Times New Roman" w:hAnsi="Times New Roman" w:cs="Times New Roman"/>
          <w:sz w:val="22"/>
        </w:rPr>
      </w:pPr>
      <w:r>
        <w:rPr>
          <w:rFonts w:hint="eastAsia" w:ascii="Times New Roman" w:hAnsi="Times New Roman" w:cs="Times New Roman"/>
          <w:sz w:val="22"/>
        </w:rPr>
        <w:t>Process score 50% + final report 50%</w:t>
      </w:r>
    </w:p>
    <w:p>
      <w:pPr>
        <w:ind w:firstLine="440" w:firstLineChars="200"/>
        <w:rPr>
          <w:rFonts w:hint="eastAsia" w:ascii="Times New Roman" w:hAnsi="Times New Roman" w:cs="Times New Roman"/>
          <w:sz w:val="22"/>
        </w:rPr>
      </w:pPr>
      <w:r>
        <w:rPr>
          <w:rFonts w:hint="eastAsia" w:ascii="Times New Roman" w:hAnsi="Times New Roman" w:cs="Times New Roman"/>
          <w:sz w:val="22"/>
        </w:rPr>
        <w:t>Where: process score = attendance 10% + usual homework 30% + Classroom Performance 10%</w:t>
      </w:r>
    </w:p>
    <w:p>
      <w:pPr>
        <w:rPr>
          <w:rFonts w:ascii="Times New Roman" w:hAnsi="Times New Roman" w:eastAsia="黑体" w:cs="Times New Roman"/>
          <w:b/>
          <w:szCs w:val="21"/>
          <w:lang w:val="en-GB"/>
        </w:rPr>
      </w:pPr>
      <w:r>
        <w:rPr>
          <w:rFonts w:ascii="Times New Roman" w:hAnsi="Times New Roman" w:eastAsia="黑体" w:cs="Times New Roman"/>
          <w:b/>
          <w:szCs w:val="21"/>
          <w:lang w:val="en-GB"/>
        </w:rPr>
        <w:t>VII. Textbook and Reference</w:t>
      </w:r>
    </w:p>
    <w:p>
      <w:pPr>
        <w:ind w:firstLine="422" w:firstLineChars="200"/>
        <w:rPr>
          <w:rFonts w:ascii="Times New Roman" w:hAnsi="Times New Roman" w:eastAsia="仿宋" w:cs="Times New Roman"/>
          <w:b/>
          <w:szCs w:val="21"/>
          <w:lang w:val="en-GB"/>
        </w:rPr>
      </w:pPr>
      <w:r>
        <w:rPr>
          <w:rFonts w:ascii="Times New Roman" w:hAnsi="Times New Roman" w:eastAsia="仿宋" w:cs="Times New Roman"/>
          <w:b/>
          <w:szCs w:val="21"/>
          <w:lang w:val="en-GB"/>
        </w:rPr>
        <w:t>(1) Textbook</w:t>
      </w:r>
    </w:p>
    <w:p>
      <w:pPr>
        <w:spacing w:line="300" w:lineRule="auto"/>
        <w:ind w:firstLine="420" w:firstLineChars="200"/>
        <w:rPr>
          <w:rFonts w:ascii="Times New Roman" w:hAnsi="Times New Roman" w:eastAsia="仿宋" w:cs="Times New Roman"/>
          <w:color w:val="000000"/>
          <w:szCs w:val="21"/>
        </w:rPr>
      </w:pPr>
      <w:r>
        <w:rPr>
          <w:rFonts w:hint="eastAsia" w:ascii="Times New Roman" w:hAnsi="Times New Roman" w:eastAsia="仿宋" w:cs="Times New Roman"/>
          <w:color w:val="000000"/>
          <w:szCs w:val="21"/>
        </w:rPr>
        <w:t>The lecture notes</w:t>
      </w:r>
      <w:r>
        <w:rPr>
          <w:rFonts w:ascii="Times New Roman" w:hAnsi="Times New Roman" w:eastAsia="仿宋" w:cs="Times New Roman"/>
          <w:color w:val="000000"/>
          <w:szCs w:val="21"/>
        </w:rPr>
        <w:t>.</w:t>
      </w:r>
    </w:p>
    <w:p>
      <w:pPr>
        <w:ind w:firstLine="422" w:firstLineChars="200"/>
        <w:rPr>
          <w:rFonts w:ascii="Times New Roman" w:hAnsi="Times New Roman" w:eastAsia="仿宋" w:cs="Times New Roman"/>
          <w:b/>
          <w:szCs w:val="21"/>
          <w:lang w:val="en-GB"/>
        </w:rPr>
      </w:pPr>
      <w:r>
        <w:rPr>
          <w:rFonts w:ascii="Times New Roman" w:hAnsi="Times New Roman" w:eastAsia="仿宋" w:cs="Times New Roman"/>
          <w:b/>
          <w:szCs w:val="21"/>
          <w:lang w:val="en-GB"/>
        </w:rPr>
        <w:t>(2) Reference</w:t>
      </w:r>
    </w:p>
    <w:p>
      <w:pPr>
        <w:snapToGrid w:val="0"/>
        <w:spacing w:line="360" w:lineRule="auto"/>
        <w:ind w:firstLine="420" w:firstLineChars="200"/>
        <w:rPr>
          <w:rFonts w:hint="eastAsia" w:ascii="Times New Roman" w:hAnsi="Times New Roman" w:eastAsia="仿宋" w:cs="Times New Roman"/>
          <w:color w:val="000000"/>
          <w:szCs w:val="21"/>
        </w:rPr>
      </w:pPr>
      <w:r>
        <w:rPr>
          <w:rFonts w:hint="eastAsia" w:ascii="Times New Roman" w:hAnsi="Times New Roman" w:eastAsia="仿宋" w:cs="Times New Roman"/>
          <w:color w:val="000000"/>
          <w:szCs w:val="21"/>
        </w:rPr>
        <w:t>Finance is it, Edition: 1, editor: Chen Hu, publishing house: China financial and Economic Publishing House, year of publication: 2017, ISBN: 9787509574003.</w:t>
      </w:r>
    </w:p>
    <w:p>
      <w:pPr>
        <w:snapToGrid w:val="0"/>
        <w:spacing w:line="360" w:lineRule="auto"/>
        <w:ind w:firstLine="420" w:firstLineChars="200"/>
        <w:rPr>
          <w:rFonts w:hint="eastAsia" w:ascii="Times New Roman" w:hAnsi="Times New Roman" w:eastAsia="仿宋" w:cs="Times New Roman"/>
          <w:color w:val="000000"/>
          <w:szCs w:val="21"/>
        </w:rPr>
      </w:pPr>
      <w:r>
        <w:rPr>
          <w:rFonts w:hint="eastAsia" w:ascii="Times New Roman" w:hAnsi="Times New Roman" w:eastAsia="仿宋" w:cs="Times New Roman"/>
          <w:color w:val="000000"/>
          <w:szCs w:val="21"/>
        </w:rPr>
        <w:t>Case collection of financial sharing service, Edition: 1, edited by: Chen Hu, Chen Dongsheng, published by: China financial and Economic Publishing House, year of publication: 2014, ISBN: 9787509555453.</w:t>
      </w:r>
    </w:p>
    <w:p>
      <w:pPr>
        <w:snapToGrid w:val="0"/>
        <w:spacing w:line="360" w:lineRule="auto"/>
        <w:ind w:firstLine="420" w:firstLineChars="200"/>
        <w:rPr>
          <w:rFonts w:hint="eastAsia" w:ascii="Times New Roman" w:hAnsi="Times New Roman" w:eastAsia="仿宋" w:cs="Times New Roman"/>
          <w:color w:val="000000"/>
          <w:szCs w:val="21"/>
        </w:rPr>
      </w:pPr>
      <w:r>
        <w:rPr>
          <w:rFonts w:hint="eastAsia" w:ascii="Times New Roman" w:hAnsi="Times New Roman" w:eastAsia="仿宋" w:cs="Times New Roman"/>
          <w:color w:val="000000"/>
          <w:szCs w:val="21"/>
        </w:rPr>
        <w:t>Automation, intelligence and digitization of finance, edited by ZTE Xinyun, etc., published in 2020.</w:t>
      </w:r>
    </w:p>
    <w:p>
      <w:pPr>
        <w:snapToGrid w:val="0"/>
        <w:spacing w:line="360" w:lineRule="auto"/>
        <w:ind w:firstLine="420" w:firstLineChars="200"/>
        <w:rPr>
          <w:rFonts w:ascii="仿宋" w:hAnsi="仿宋" w:eastAsia="仿宋"/>
          <w:szCs w:val="21"/>
        </w:rPr>
      </w:pPr>
      <w:r>
        <w:rPr>
          <w:rFonts w:hint="eastAsia" w:ascii="Times New Roman" w:hAnsi="Times New Roman" w:eastAsia="仿宋" w:cs="Times New Roman"/>
          <w:color w:val="000000"/>
          <w:szCs w:val="21"/>
        </w:rPr>
        <w:t>ESG investment, Edition: 1, editor: Mark Mobius, etc., press: CITIC Publishing Group Co., Ltd., publication year: 2021, ISBN: 9787521731439.</w:t>
      </w:r>
    </w:p>
    <w:p>
      <w:pPr>
        <w:ind w:firstLine="420" w:firstLineChars="200"/>
        <w:rPr>
          <w:rFonts w:ascii="Times New Roman" w:hAnsi="Times New Roman" w:eastAsia="仿宋" w:cs="Times New Roman"/>
          <w:szCs w:val="21"/>
          <w:lang w:val="en-GB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yMjhiNTgxMzUwN2VlMGU3NDUzMDgxNmJkM2I2MmUifQ=="/>
  </w:docVars>
  <w:rsids>
    <w:rsidRoot w:val="00BC67B7"/>
    <w:rsid w:val="000012F6"/>
    <w:rsid w:val="0002163E"/>
    <w:rsid w:val="000225C6"/>
    <w:rsid w:val="00024024"/>
    <w:rsid w:val="00063270"/>
    <w:rsid w:val="00097821"/>
    <w:rsid w:val="000A206D"/>
    <w:rsid w:val="000A6985"/>
    <w:rsid w:val="000B586C"/>
    <w:rsid w:val="000F1964"/>
    <w:rsid w:val="000F3B78"/>
    <w:rsid w:val="00120828"/>
    <w:rsid w:val="0012261C"/>
    <w:rsid w:val="00135B87"/>
    <w:rsid w:val="00152FF0"/>
    <w:rsid w:val="00157375"/>
    <w:rsid w:val="00164A0A"/>
    <w:rsid w:val="001753DB"/>
    <w:rsid w:val="00191AC2"/>
    <w:rsid w:val="001C7304"/>
    <w:rsid w:val="001E1D14"/>
    <w:rsid w:val="001E7080"/>
    <w:rsid w:val="00213E0A"/>
    <w:rsid w:val="00224CDE"/>
    <w:rsid w:val="00232D6E"/>
    <w:rsid w:val="002342D8"/>
    <w:rsid w:val="002376A3"/>
    <w:rsid w:val="0024262F"/>
    <w:rsid w:val="002626E5"/>
    <w:rsid w:val="0028273B"/>
    <w:rsid w:val="002A408B"/>
    <w:rsid w:val="002F257A"/>
    <w:rsid w:val="002F7478"/>
    <w:rsid w:val="00301FA0"/>
    <w:rsid w:val="003066C2"/>
    <w:rsid w:val="00312ED9"/>
    <w:rsid w:val="00323C78"/>
    <w:rsid w:val="00347821"/>
    <w:rsid w:val="00367F49"/>
    <w:rsid w:val="00397C67"/>
    <w:rsid w:val="003B15CF"/>
    <w:rsid w:val="003B38A8"/>
    <w:rsid w:val="0043026A"/>
    <w:rsid w:val="004570C3"/>
    <w:rsid w:val="00464C96"/>
    <w:rsid w:val="004904BB"/>
    <w:rsid w:val="004A0FBE"/>
    <w:rsid w:val="004A4A83"/>
    <w:rsid w:val="004A514A"/>
    <w:rsid w:val="004C3A3A"/>
    <w:rsid w:val="004C4F8B"/>
    <w:rsid w:val="004C62F2"/>
    <w:rsid w:val="004E09C9"/>
    <w:rsid w:val="004E2539"/>
    <w:rsid w:val="00503321"/>
    <w:rsid w:val="00571584"/>
    <w:rsid w:val="00577F32"/>
    <w:rsid w:val="005A2D7B"/>
    <w:rsid w:val="005C0AEB"/>
    <w:rsid w:val="005C2583"/>
    <w:rsid w:val="005D0EB7"/>
    <w:rsid w:val="005D55D3"/>
    <w:rsid w:val="0060338A"/>
    <w:rsid w:val="00613316"/>
    <w:rsid w:val="00613396"/>
    <w:rsid w:val="006177D4"/>
    <w:rsid w:val="006230CE"/>
    <w:rsid w:val="00646053"/>
    <w:rsid w:val="00661093"/>
    <w:rsid w:val="00695B84"/>
    <w:rsid w:val="006A5CB0"/>
    <w:rsid w:val="006E3C90"/>
    <w:rsid w:val="006E6047"/>
    <w:rsid w:val="006E61EC"/>
    <w:rsid w:val="006F22B1"/>
    <w:rsid w:val="00725486"/>
    <w:rsid w:val="007430B6"/>
    <w:rsid w:val="00744447"/>
    <w:rsid w:val="007512F6"/>
    <w:rsid w:val="00753477"/>
    <w:rsid w:val="00784BB5"/>
    <w:rsid w:val="007937E3"/>
    <w:rsid w:val="007A25CB"/>
    <w:rsid w:val="007D1E51"/>
    <w:rsid w:val="007E37D9"/>
    <w:rsid w:val="007E7088"/>
    <w:rsid w:val="00807D2F"/>
    <w:rsid w:val="00817338"/>
    <w:rsid w:val="00846B4E"/>
    <w:rsid w:val="008A41F6"/>
    <w:rsid w:val="008B46CE"/>
    <w:rsid w:val="008B5CCB"/>
    <w:rsid w:val="008C3341"/>
    <w:rsid w:val="008F46EA"/>
    <w:rsid w:val="00946A20"/>
    <w:rsid w:val="009631F6"/>
    <w:rsid w:val="00970FC4"/>
    <w:rsid w:val="009823A0"/>
    <w:rsid w:val="00983FCC"/>
    <w:rsid w:val="00992EA1"/>
    <w:rsid w:val="009C135F"/>
    <w:rsid w:val="009E1BA1"/>
    <w:rsid w:val="00A5411F"/>
    <w:rsid w:val="00A639D1"/>
    <w:rsid w:val="00A65CD2"/>
    <w:rsid w:val="00A869CB"/>
    <w:rsid w:val="00A93E4B"/>
    <w:rsid w:val="00AB7E60"/>
    <w:rsid w:val="00AC5BFF"/>
    <w:rsid w:val="00AD3D23"/>
    <w:rsid w:val="00AD6D17"/>
    <w:rsid w:val="00B03799"/>
    <w:rsid w:val="00B041B7"/>
    <w:rsid w:val="00B10112"/>
    <w:rsid w:val="00B3682A"/>
    <w:rsid w:val="00B36916"/>
    <w:rsid w:val="00B67FBB"/>
    <w:rsid w:val="00BC67B7"/>
    <w:rsid w:val="00BD7624"/>
    <w:rsid w:val="00C15464"/>
    <w:rsid w:val="00C25C32"/>
    <w:rsid w:val="00C42886"/>
    <w:rsid w:val="00C450FB"/>
    <w:rsid w:val="00CE1C18"/>
    <w:rsid w:val="00D06787"/>
    <w:rsid w:val="00D1344C"/>
    <w:rsid w:val="00D2634B"/>
    <w:rsid w:val="00D769CC"/>
    <w:rsid w:val="00D816BB"/>
    <w:rsid w:val="00D81961"/>
    <w:rsid w:val="00D8667E"/>
    <w:rsid w:val="00DA6167"/>
    <w:rsid w:val="00DF0653"/>
    <w:rsid w:val="00E10ABD"/>
    <w:rsid w:val="00E23736"/>
    <w:rsid w:val="00E53C11"/>
    <w:rsid w:val="00E6041B"/>
    <w:rsid w:val="00E816B4"/>
    <w:rsid w:val="00E97447"/>
    <w:rsid w:val="00EA1986"/>
    <w:rsid w:val="00EA66BF"/>
    <w:rsid w:val="00EB7E26"/>
    <w:rsid w:val="00F1749D"/>
    <w:rsid w:val="00F52F38"/>
    <w:rsid w:val="00FA70BB"/>
    <w:rsid w:val="00FE6015"/>
    <w:rsid w:val="29BFCC4E"/>
    <w:rsid w:val="2E493728"/>
    <w:rsid w:val="3C5B1CDD"/>
    <w:rsid w:val="4A1B51EC"/>
    <w:rsid w:val="5617767E"/>
    <w:rsid w:val="63E10EA7"/>
    <w:rsid w:val="6FF9302F"/>
    <w:rsid w:val="7C5F257C"/>
    <w:rsid w:val="7CFD3659"/>
    <w:rsid w:val="7EF35851"/>
    <w:rsid w:val="B94E9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table" w:customStyle="1" w:styleId="13">
    <w:name w:val="网格型1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_Style 2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15">
    <w:name w:val="_Style 1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1809</Words>
  <Characters>4496</Characters>
  <Lines>28</Lines>
  <Paragraphs>7</Paragraphs>
  <TotalTime>0</TotalTime>
  <ScaleCrop>false</ScaleCrop>
  <LinksUpToDate>false</LinksUpToDate>
  <CharactersWithSpaces>4930</CharactersWithSpaces>
  <Application>WPS Office_6.0.2.8225_F1E327BC-269C-435d-A152-05C5408002CA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2021-11-12T20:01:00Z</dcterms:created>
  <dc:creator>Admin</dc:creator>
  <cp:lastModifiedBy>WPS_1668151825</cp:lastModifiedBy>
  <dcterms:modified xsi:type="dcterms:W3CDTF">2023-09-02T21:39:38Z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7D8AFDFA874D4639B458490191587594</vt:lpwstr>
  </property>
</Properties>
</file>