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A3144">
      <w:pPr>
        <w:jc w:val="center"/>
        <w:rPr>
          <w:rFonts w:ascii="方正小标宋简体" w:hAnsi="黑体" w:eastAsia="方正小标宋简体"/>
          <w:sz w:val="32"/>
          <w:szCs w:val="21"/>
          <w:lang w:val="en-GB"/>
        </w:rPr>
      </w:pPr>
      <w:bookmarkStart w:id="0" w:name="OLE_LINK1"/>
      <w:r>
        <w:rPr>
          <w:rFonts w:hint="eastAsia" w:ascii="方正小标宋简体" w:hAnsi="黑体" w:eastAsia="方正小标宋简体"/>
          <w:sz w:val="32"/>
          <w:szCs w:val="21"/>
          <w:lang w:val="en-GB"/>
        </w:rPr>
        <w:t>《中国石油文化概论》</w:t>
      </w:r>
      <w:bookmarkEnd w:id="0"/>
      <w:r>
        <w:rPr>
          <w:rFonts w:hint="eastAsia" w:ascii="方正小标宋简体" w:hAnsi="黑体" w:eastAsia="方正小标宋简体"/>
          <w:sz w:val="32"/>
          <w:szCs w:val="21"/>
          <w:lang w:val="en-GB"/>
        </w:rPr>
        <w:t>教学大纲</w:t>
      </w:r>
    </w:p>
    <w:p w14:paraId="31FC56CE">
      <w:pPr>
        <w:rPr>
          <w:rFonts w:ascii="黑体" w:hAnsi="黑体" w:eastAsia="黑体"/>
          <w:szCs w:val="21"/>
          <w:lang w:val="en-GB"/>
        </w:rPr>
      </w:pPr>
      <w:r>
        <w:rPr>
          <w:rFonts w:hint="eastAsia" w:ascii="黑体" w:hAnsi="黑体" w:eastAsia="黑体"/>
          <w:szCs w:val="21"/>
          <w:lang w:val="en-GB"/>
        </w:rPr>
        <w:t>一、基本信息</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7B6DC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6990B71">
            <w:pPr>
              <w:rPr>
                <w:rFonts w:ascii="黑体" w:hAnsi="黑体" w:eastAsia="黑体"/>
                <w:szCs w:val="21"/>
                <w:lang w:val="en-GB"/>
              </w:rPr>
            </w:pPr>
            <w:r>
              <w:rPr>
                <w:rFonts w:hint="eastAsia" w:ascii="仿宋" w:hAnsi="仿宋" w:eastAsia="仿宋"/>
                <w:szCs w:val="21"/>
                <w:lang w:val="en-GB"/>
              </w:rPr>
              <w:t>课程名称：中国石油文化概论</w:t>
            </w:r>
          </w:p>
        </w:tc>
        <w:tc>
          <w:tcPr>
            <w:tcW w:w="3969" w:type="dxa"/>
            <w:vAlign w:val="center"/>
          </w:tcPr>
          <w:p w14:paraId="5F5DE8B2">
            <w:pPr>
              <w:rPr>
                <w:rFonts w:ascii="黑体" w:hAnsi="黑体" w:eastAsia="黑体"/>
                <w:szCs w:val="21"/>
                <w:lang w:val="en-GB"/>
              </w:rPr>
            </w:pPr>
            <w:r>
              <w:rPr>
                <w:rFonts w:hint="eastAsia" w:ascii="仿宋" w:hAnsi="仿宋" w:eastAsia="仿宋"/>
                <w:szCs w:val="21"/>
                <w:lang w:val="en-GB"/>
              </w:rPr>
              <w:t>英文课程名称：Chinese Petroleum Culture</w:t>
            </w:r>
          </w:p>
        </w:tc>
      </w:tr>
      <w:tr w14:paraId="23354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695964E">
            <w:pPr>
              <w:rPr>
                <w:rFonts w:ascii="黑体" w:hAnsi="黑体" w:eastAsia="黑体"/>
                <w:szCs w:val="21"/>
                <w:lang w:val="en-GB"/>
              </w:rPr>
            </w:pPr>
            <w:r>
              <w:rPr>
                <w:rFonts w:hint="eastAsia" w:ascii="仿宋" w:hAnsi="仿宋" w:eastAsia="仿宋"/>
                <w:szCs w:val="21"/>
                <w:lang w:val="en-GB"/>
              </w:rPr>
              <w:t>课程代码：160838G013</w:t>
            </w:r>
          </w:p>
        </w:tc>
        <w:tc>
          <w:tcPr>
            <w:tcW w:w="3969" w:type="dxa"/>
            <w:vAlign w:val="center"/>
          </w:tcPr>
          <w:p w14:paraId="555E569F">
            <w:pPr>
              <w:rPr>
                <w:rFonts w:hint="eastAsia" w:ascii="黑体" w:hAnsi="黑体" w:eastAsia="仿宋"/>
                <w:szCs w:val="21"/>
                <w:lang w:val="en-US" w:eastAsia="zh-CN"/>
              </w:rPr>
            </w:pPr>
            <w:r>
              <w:rPr>
                <w:rFonts w:hint="eastAsia" w:ascii="仿宋" w:hAnsi="仿宋" w:eastAsia="仿宋"/>
                <w:szCs w:val="21"/>
                <w:lang w:val="en-GB"/>
              </w:rPr>
              <w:t>总学分：</w:t>
            </w:r>
            <w:r>
              <w:rPr>
                <w:rFonts w:hint="eastAsia" w:ascii="仿宋" w:hAnsi="仿宋" w:eastAsia="仿宋"/>
                <w:szCs w:val="21"/>
                <w:lang w:val="en-US" w:eastAsia="zh-CN"/>
              </w:rPr>
              <w:t>2</w:t>
            </w:r>
          </w:p>
        </w:tc>
      </w:tr>
      <w:tr w14:paraId="0E9C0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E72297F">
            <w:pPr>
              <w:rPr>
                <w:rFonts w:hint="default" w:ascii="黑体" w:hAnsi="黑体" w:eastAsia="仿宋"/>
                <w:szCs w:val="21"/>
                <w:lang w:val="en-US" w:eastAsia="zh-CN"/>
              </w:rPr>
            </w:pPr>
            <w:r>
              <w:rPr>
                <w:rFonts w:hint="eastAsia" w:ascii="仿宋" w:hAnsi="仿宋" w:eastAsia="仿宋"/>
                <w:szCs w:val="21"/>
                <w:lang w:val="en-GB"/>
              </w:rPr>
              <w:t>总学时：</w:t>
            </w:r>
            <w:r>
              <w:rPr>
                <w:rFonts w:hint="eastAsia" w:ascii="仿宋" w:hAnsi="仿宋" w:eastAsia="仿宋"/>
                <w:szCs w:val="21"/>
                <w:lang w:val="en-US" w:eastAsia="zh-CN"/>
              </w:rPr>
              <w:t>32</w:t>
            </w:r>
          </w:p>
        </w:tc>
        <w:tc>
          <w:tcPr>
            <w:tcW w:w="3969" w:type="dxa"/>
            <w:vAlign w:val="center"/>
          </w:tcPr>
          <w:p w14:paraId="71E465DC">
            <w:pPr>
              <w:rPr>
                <w:rFonts w:hint="default" w:ascii="黑体" w:hAnsi="黑体" w:eastAsia="仿宋"/>
                <w:szCs w:val="21"/>
                <w:lang w:val="en-US" w:eastAsia="zh-CN"/>
              </w:rPr>
            </w:pPr>
            <w:r>
              <w:rPr>
                <w:rFonts w:hint="eastAsia" w:ascii="仿宋" w:hAnsi="仿宋" w:eastAsia="仿宋"/>
                <w:szCs w:val="21"/>
                <w:lang w:val="en-GB"/>
              </w:rPr>
              <w:t>课内</w:t>
            </w:r>
            <w:r>
              <w:rPr>
                <w:rFonts w:ascii="仿宋" w:hAnsi="仿宋" w:eastAsia="仿宋"/>
                <w:szCs w:val="21"/>
                <w:lang w:val="en-GB"/>
              </w:rPr>
              <w:t>学时</w:t>
            </w:r>
            <w:r>
              <w:rPr>
                <w:rFonts w:hint="eastAsia" w:ascii="仿宋" w:hAnsi="仿宋" w:eastAsia="仿宋"/>
                <w:szCs w:val="21"/>
                <w:lang w:val="en-GB"/>
              </w:rPr>
              <w:t>：</w:t>
            </w:r>
            <w:r>
              <w:rPr>
                <w:rFonts w:hint="eastAsia" w:ascii="仿宋" w:hAnsi="仿宋" w:eastAsia="仿宋"/>
                <w:szCs w:val="21"/>
                <w:lang w:val="en-US" w:eastAsia="zh-CN"/>
              </w:rPr>
              <w:t>32</w:t>
            </w:r>
          </w:p>
        </w:tc>
      </w:tr>
      <w:tr w14:paraId="0D9F9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5AB56FC">
            <w:pPr>
              <w:rPr>
                <w:rFonts w:hint="eastAsia" w:ascii="仿宋" w:hAnsi="仿宋" w:eastAsia="仿宋"/>
                <w:szCs w:val="21"/>
                <w:lang w:val="en-US" w:eastAsia="zh-CN"/>
              </w:rPr>
            </w:pPr>
            <w:r>
              <w:rPr>
                <w:rFonts w:hint="eastAsia" w:ascii="仿宋" w:hAnsi="仿宋" w:eastAsia="仿宋"/>
                <w:szCs w:val="21"/>
                <w:lang w:val="en-GB"/>
              </w:rPr>
              <w:t>实验学时：</w:t>
            </w:r>
            <w:r>
              <w:rPr>
                <w:rFonts w:hint="eastAsia" w:ascii="仿宋" w:hAnsi="仿宋" w:eastAsia="仿宋"/>
                <w:szCs w:val="21"/>
                <w:lang w:val="en-US" w:eastAsia="zh-CN"/>
              </w:rPr>
              <w:t>0</w:t>
            </w:r>
          </w:p>
        </w:tc>
        <w:tc>
          <w:tcPr>
            <w:tcW w:w="3969" w:type="dxa"/>
            <w:vAlign w:val="center"/>
          </w:tcPr>
          <w:p w14:paraId="47C24B13">
            <w:pPr>
              <w:rPr>
                <w:rFonts w:hint="eastAsia" w:ascii="仿宋" w:hAnsi="仿宋" w:eastAsia="仿宋"/>
                <w:szCs w:val="21"/>
                <w:lang w:val="en-US" w:eastAsia="zh-CN"/>
              </w:rPr>
            </w:pPr>
            <w:r>
              <w:rPr>
                <w:rFonts w:hint="eastAsia" w:ascii="仿宋" w:hAnsi="仿宋" w:eastAsia="仿宋"/>
                <w:szCs w:val="21"/>
                <w:lang w:val="en-GB"/>
              </w:rPr>
              <w:t>上机学时：</w:t>
            </w:r>
            <w:r>
              <w:rPr>
                <w:rFonts w:hint="eastAsia" w:ascii="仿宋" w:hAnsi="仿宋" w:eastAsia="仿宋"/>
                <w:szCs w:val="21"/>
                <w:lang w:val="en-US" w:eastAsia="zh-CN"/>
              </w:rPr>
              <w:t>0</w:t>
            </w:r>
          </w:p>
        </w:tc>
      </w:tr>
      <w:tr w14:paraId="7F0CB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EFFA27A">
            <w:pPr>
              <w:rPr>
                <w:rFonts w:ascii="黑体" w:hAnsi="黑体" w:eastAsia="黑体"/>
                <w:szCs w:val="21"/>
                <w:lang w:val="en-GB"/>
              </w:rPr>
            </w:pPr>
            <w:r>
              <w:rPr>
                <w:rFonts w:hint="eastAsia" w:ascii="仿宋" w:hAnsi="仿宋" w:eastAsia="仿宋"/>
                <w:szCs w:val="21"/>
                <w:lang w:val="en-GB"/>
              </w:rPr>
              <w:t>开课学院：工商管理学院/马克思主义学院</w:t>
            </w:r>
          </w:p>
        </w:tc>
        <w:tc>
          <w:tcPr>
            <w:tcW w:w="3969" w:type="dxa"/>
            <w:vAlign w:val="center"/>
          </w:tcPr>
          <w:p w14:paraId="46F9A9D4">
            <w:pPr>
              <w:rPr>
                <w:rFonts w:hint="eastAsia" w:ascii="黑体" w:hAnsi="黑体" w:eastAsia="仿宋"/>
                <w:szCs w:val="21"/>
                <w:lang w:val="en-US" w:eastAsia="zh-CN"/>
              </w:rPr>
            </w:pPr>
            <w:r>
              <w:rPr>
                <w:rFonts w:hint="eastAsia" w:ascii="仿宋" w:hAnsi="仿宋" w:eastAsia="仿宋"/>
                <w:szCs w:val="21"/>
                <w:lang w:val="en-GB"/>
              </w:rPr>
              <w:t>适用专业：</w:t>
            </w:r>
            <w:r>
              <w:rPr>
                <w:rFonts w:hint="eastAsia" w:ascii="仿宋" w:hAnsi="仿宋" w:eastAsia="仿宋"/>
                <w:szCs w:val="21"/>
                <w:lang w:val="en-US" w:eastAsia="zh-CN"/>
              </w:rPr>
              <w:t>全校各专业本科生</w:t>
            </w:r>
          </w:p>
        </w:tc>
      </w:tr>
      <w:tr w14:paraId="1906C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6BECE71">
            <w:pPr>
              <w:rPr>
                <w:rFonts w:hint="eastAsia" w:ascii="黑体" w:hAnsi="黑体" w:eastAsia="仿宋"/>
                <w:szCs w:val="21"/>
                <w:lang w:val="en-US" w:eastAsia="zh-CN"/>
              </w:rPr>
            </w:pPr>
            <w:r>
              <w:rPr>
                <w:rFonts w:hint="eastAsia" w:ascii="仿宋" w:hAnsi="仿宋" w:eastAsia="仿宋"/>
                <w:szCs w:val="21"/>
                <w:lang w:val="en-GB"/>
              </w:rPr>
              <w:t>课程性质：</w:t>
            </w:r>
            <w:r>
              <w:rPr>
                <w:rFonts w:hint="eastAsia" w:ascii="仿宋" w:hAnsi="仿宋" w:eastAsia="仿宋"/>
                <w:szCs w:val="21"/>
                <w:lang w:val="en-US" w:eastAsia="zh-CN"/>
              </w:rPr>
              <w:t>公共选</w:t>
            </w:r>
            <w:r>
              <w:rPr>
                <w:rFonts w:hint="eastAsia" w:ascii="仿宋" w:hAnsi="仿宋" w:eastAsia="仿宋"/>
                <w:szCs w:val="21"/>
                <w:lang w:val="en-GB"/>
              </w:rPr>
              <w:t>修</w:t>
            </w:r>
            <w:r>
              <w:rPr>
                <w:rFonts w:hint="eastAsia" w:ascii="仿宋" w:hAnsi="仿宋" w:eastAsia="仿宋"/>
                <w:szCs w:val="21"/>
                <w:lang w:val="en-US" w:eastAsia="zh-CN"/>
              </w:rPr>
              <w:t>课</w:t>
            </w:r>
          </w:p>
        </w:tc>
        <w:tc>
          <w:tcPr>
            <w:tcW w:w="3969" w:type="dxa"/>
            <w:vAlign w:val="center"/>
          </w:tcPr>
          <w:p w14:paraId="1BF6B07D">
            <w:pPr>
              <w:rPr>
                <w:rFonts w:hint="eastAsia" w:ascii="黑体" w:hAnsi="黑体" w:eastAsia="仿宋"/>
                <w:szCs w:val="21"/>
                <w:lang w:val="en-US" w:eastAsia="zh-CN"/>
              </w:rPr>
            </w:pPr>
            <w:r>
              <w:rPr>
                <w:rFonts w:hint="eastAsia" w:ascii="仿宋" w:hAnsi="仿宋" w:eastAsia="仿宋"/>
                <w:szCs w:val="21"/>
                <w:lang w:val="en-GB"/>
              </w:rPr>
              <w:t>先修课程：</w:t>
            </w:r>
            <w:r>
              <w:rPr>
                <w:rFonts w:hint="eastAsia" w:ascii="仿宋" w:hAnsi="仿宋" w:eastAsia="仿宋"/>
                <w:szCs w:val="21"/>
                <w:lang w:val="en-US" w:eastAsia="zh-CN"/>
              </w:rPr>
              <w:t>无</w:t>
            </w:r>
          </w:p>
        </w:tc>
      </w:tr>
    </w:tbl>
    <w:p w14:paraId="79976246">
      <w:pPr>
        <w:rPr>
          <w:rFonts w:ascii="黑体" w:hAnsi="黑体" w:eastAsia="黑体"/>
          <w:szCs w:val="21"/>
          <w:lang w:val="en-GB"/>
        </w:rPr>
      </w:pPr>
      <w:r>
        <w:rPr>
          <w:rFonts w:hint="eastAsia" w:ascii="黑体" w:hAnsi="黑体" w:eastAsia="黑体"/>
          <w:szCs w:val="21"/>
          <w:lang w:val="en-GB"/>
        </w:rPr>
        <w:t>二、课程简介</w:t>
      </w:r>
    </w:p>
    <w:p w14:paraId="45A2D78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 w:hAnsi="仿宋" w:eastAsia="仿宋"/>
          <w:szCs w:val="21"/>
          <w:lang w:val="en-GB"/>
        </w:rPr>
      </w:pPr>
      <w:r>
        <w:rPr>
          <w:rFonts w:hint="eastAsia" w:ascii="仿宋" w:hAnsi="仿宋" w:eastAsia="仿宋"/>
          <w:szCs w:val="21"/>
          <w:lang w:val="en-GB"/>
        </w:rPr>
        <w:t>本课程是为校区本科生全面了解石油文化而开设的人文素养通识课程。本课程在中国石油工业发展的历程中，提炼出家国情怀、奋斗精神、创新活力的中国石油文化内核；在全球化的国际比较视野下，以中石油、中石化、中海油企业文化为例，概括出石油企业发展的国际化战略、自主创新战略、“竞合”战略；从文化的底层逻辑中，抽象出石油工程伦理规范。</w:t>
      </w:r>
    </w:p>
    <w:p w14:paraId="631CAE24">
      <w:pPr>
        <w:rPr>
          <w:rFonts w:ascii="黑体" w:hAnsi="黑体" w:eastAsia="黑体"/>
          <w:szCs w:val="21"/>
          <w:lang w:val="en-GB"/>
        </w:rPr>
      </w:pPr>
      <w:r>
        <w:rPr>
          <w:rFonts w:hint="eastAsia" w:ascii="黑体" w:hAnsi="黑体" w:eastAsia="黑体"/>
          <w:szCs w:val="21"/>
          <w:lang w:val="en-GB"/>
        </w:rPr>
        <w:t>三、教学目标</w:t>
      </w:r>
    </w:p>
    <w:p w14:paraId="46924153">
      <w:pPr>
        <w:ind w:firstLine="420" w:firstLineChars="200"/>
        <w:rPr>
          <w:rFonts w:ascii="仿宋" w:hAnsi="仿宋" w:eastAsia="仿宋"/>
          <w:szCs w:val="21"/>
          <w:lang w:val="en-GB"/>
        </w:rPr>
      </w:pPr>
      <w:r>
        <w:rPr>
          <w:rFonts w:hint="eastAsia" w:ascii="仿宋" w:hAnsi="仿宋" w:eastAsia="仿宋"/>
          <w:szCs w:val="21"/>
          <w:lang w:val="en-GB"/>
        </w:rPr>
        <w:t>目标1：了解石油文化的内涵、发展历程、特点</w:t>
      </w:r>
    </w:p>
    <w:p w14:paraId="7593405A">
      <w:pPr>
        <w:ind w:firstLine="420" w:firstLineChars="200"/>
        <w:rPr>
          <w:rFonts w:ascii="仿宋" w:hAnsi="仿宋" w:eastAsia="仿宋"/>
          <w:szCs w:val="21"/>
          <w:lang w:val="en-GB"/>
        </w:rPr>
      </w:pPr>
      <w:r>
        <w:rPr>
          <w:rFonts w:hint="eastAsia" w:ascii="仿宋" w:hAnsi="仿宋" w:eastAsia="仿宋"/>
          <w:szCs w:val="21"/>
          <w:lang w:val="en-GB"/>
        </w:rPr>
        <w:t>目标2：掌握石油企业发展的国际化战略、自主创新战略、“竞合”战略</w:t>
      </w:r>
    </w:p>
    <w:p w14:paraId="1D2740B0">
      <w:pPr>
        <w:ind w:firstLine="420" w:firstLineChars="200"/>
        <w:rPr>
          <w:rFonts w:hint="eastAsia" w:ascii="仿宋" w:hAnsi="仿宋" w:eastAsia="仿宋"/>
          <w:szCs w:val="21"/>
          <w:lang w:val="en-GB"/>
        </w:rPr>
      </w:pPr>
      <w:r>
        <w:rPr>
          <w:rFonts w:hint="eastAsia" w:ascii="仿宋" w:hAnsi="仿宋" w:eastAsia="仿宋"/>
          <w:szCs w:val="21"/>
          <w:lang w:val="en-GB"/>
        </w:rPr>
        <w:t>目标</w:t>
      </w:r>
      <w:r>
        <w:rPr>
          <w:rFonts w:ascii="仿宋" w:hAnsi="仿宋" w:eastAsia="仿宋"/>
          <w:szCs w:val="21"/>
          <w:lang w:val="en-GB"/>
        </w:rPr>
        <w:t>3</w:t>
      </w:r>
      <w:r>
        <w:rPr>
          <w:rFonts w:hint="eastAsia" w:ascii="仿宋" w:hAnsi="仿宋" w:eastAsia="仿宋"/>
          <w:szCs w:val="21"/>
          <w:lang w:val="en-GB"/>
        </w:rPr>
        <w:t>：遵守石油工程伦理规范</w:t>
      </w:r>
    </w:p>
    <w:p w14:paraId="42467EC7">
      <w:pPr>
        <w:ind w:firstLine="420" w:firstLineChars="200"/>
        <w:rPr>
          <w:rFonts w:hint="eastAsia" w:ascii="仿宋" w:hAnsi="仿宋" w:eastAsia="仿宋"/>
          <w:szCs w:val="21"/>
          <w:lang w:val="en-GB"/>
        </w:rPr>
      </w:pPr>
      <w:r>
        <w:rPr>
          <w:rFonts w:hint="eastAsia" w:ascii="仿宋" w:hAnsi="仿宋" w:eastAsia="仿宋"/>
          <w:szCs w:val="21"/>
          <w:lang w:val="en-GB"/>
        </w:rPr>
        <w:t>目标</w:t>
      </w:r>
      <w:r>
        <w:rPr>
          <w:rFonts w:hint="eastAsia" w:ascii="仿宋" w:hAnsi="仿宋" w:eastAsia="仿宋"/>
          <w:szCs w:val="21"/>
          <w:lang w:val="en-US" w:eastAsia="zh-CN"/>
        </w:rPr>
        <w:t>4</w:t>
      </w:r>
      <w:r>
        <w:rPr>
          <w:rFonts w:hint="eastAsia" w:ascii="仿宋" w:hAnsi="仿宋" w:eastAsia="仿宋"/>
          <w:szCs w:val="21"/>
          <w:lang w:val="en-GB"/>
        </w:rPr>
        <w:t>：涵养家国情怀，传承石油精神</w:t>
      </w:r>
    </w:p>
    <w:p w14:paraId="5891F137">
      <w:pPr>
        <w:ind w:firstLine="420" w:firstLineChars="200"/>
        <w:rPr>
          <w:rFonts w:hint="eastAsia" w:ascii="仿宋" w:hAnsi="仿宋" w:eastAsia="仿宋"/>
          <w:szCs w:val="21"/>
          <w:lang w:val="en-GB"/>
        </w:rPr>
      </w:pPr>
      <w:r>
        <w:rPr>
          <w:rFonts w:hint="eastAsia" w:ascii="仿宋" w:hAnsi="仿宋" w:eastAsia="仿宋"/>
          <w:szCs w:val="21"/>
          <w:lang w:val="en-GB"/>
        </w:rPr>
        <w:t>目标</w:t>
      </w:r>
      <w:r>
        <w:rPr>
          <w:rFonts w:hint="eastAsia" w:ascii="仿宋" w:hAnsi="仿宋" w:eastAsia="仿宋"/>
          <w:szCs w:val="21"/>
          <w:lang w:val="en-US" w:eastAsia="zh-CN"/>
        </w:rPr>
        <w:t>5</w:t>
      </w:r>
      <w:r>
        <w:rPr>
          <w:rFonts w:hint="eastAsia" w:ascii="仿宋" w:hAnsi="仿宋" w:eastAsia="仿宋"/>
          <w:szCs w:val="21"/>
          <w:lang w:val="en-GB"/>
        </w:rPr>
        <w:t>：通过对论文写作要领的讲解和合作学习的实践，让学生掌握论文写作的技能</w:t>
      </w:r>
    </w:p>
    <w:p w14:paraId="7E9DAC48">
      <w:pPr>
        <w:rPr>
          <w:rFonts w:ascii="黑体" w:hAnsi="黑体" w:eastAsia="黑体"/>
          <w:szCs w:val="21"/>
          <w:lang w:val="en-GB"/>
        </w:rPr>
      </w:pPr>
      <w:r>
        <w:rPr>
          <w:rFonts w:hint="eastAsia" w:ascii="黑体" w:hAnsi="黑体" w:eastAsia="黑体"/>
          <w:szCs w:val="21"/>
          <w:lang w:val="en-GB"/>
        </w:rPr>
        <w:t>四、教学内容与学习要求</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531"/>
        <w:gridCol w:w="3685"/>
        <w:gridCol w:w="397"/>
        <w:gridCol w:w="1134"/>
      </w:tblGrid>
      <w:tr w14:paraId="60746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30348AA7">
            <w:pPr>
              <w:jc w:val="center"/>
              <w:rPr>
                <w:rFonts w:ascii="仿宋" w:hAnsi="仿宋" w:eastAsia="仿宋"/>
                <w:b/>
                <w:sz w:val="18"/>
                <w:szCs w:val="18"/>
                <w:lang w:val="zh-CN"/>
              </w:rPr>
            </w:pPr>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3685" w:type="dxa"/>
            <w:vAlign w:val="center"/>
          </w:tcPr>
          <w:p w14:paraId="49B57750">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397" w:type="dxa"/>
            <w:vAlign w:val="center"/>
          </w:tcPr>
          <w:p w14:paraId="2360A481">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1134" w:type="dxa"/>
            <w:vAlign w:val="center"/>
          </w:tcPr>
          <w:p w14:paraId="3BFE5994">
            <w:pPr>
              <w:jc w:val="center"/>
              <w:rPr>
                <w:rFonts w:ascii="仿宋" w:hAnsi="仿宋" w:eastAsia="仿宋"/>
                <w:b/>
                <w:sz w:val="18"/>
                <w:szCs w:val="18"/>
                <w:lang w:val="zh-CN"/>
              </w:rPr>
            </w:pPr>
            <w:r>
              <w:rPr>
                <w:rFonts w:hint="eastAsia" w:ascii="仿宋" w:hAnsi="仿宋" w:eastAsia="仿宋"/>
                <w:b/>
                <w:sz w:val="18"/>
                <w:szCs w:val="18"/>
                <w:lang w:val="zh-CN"/>
              </w:rPr>
              <w:t>学习要求</w:t>
            </w:r>
          </w:p>
        </w:tc>
      </w:tr>
      <w:tr w14:paraId="5504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61" w:type="dxa"/>
            <w:gridSpan w:val="2"/>
            <w:vAlign w:val="center"/>
          </w:tcPr>
          <w:p w14:paraId="7BA10405">
            <w:pPr>
              <w:jc w:val="center"/>
              <w:rPr>
                <w:rFonts w:ascii="仿宋" w:hAnsi="仿宋" w:eastAsia="仿宋"/>
                <w:sz w:val="18"/>
                <w:szCs w:val="18"/>
                <w:lang w:val="zh-CN"/>
              </w:rPr>
            </w:pPr>
            <w:bookmarkStart w:id="1" w:name="OLE_LINK2"/>
            <w:r>
              <w:rPr>
                <w:rFonts w:hint="eastAsia" w:ascii="仿宋" w:hAnsi="仿宋" w:eastAsia="仿宋"/>
                <w:sz w:val="18"/>
                <w:szCs w:val="18"/>
                <w:lang w:val="en-US" w:eastAsia="zh-CN"/>
              </w:rPr>
              <w:t>绪论 走进石油</w:t>
            </w:r>
            <w:bookmarkEnd w:id="1"/>
          </w:p>
        </w:tc>
        <w:tc>
          <w:tcPr>
            <w:tcW w:w="3685" w:type="dxa"/>
            <w:vAlign w:val="center"/>
          </w:tcPr>
          <w:p w14:paraId="4D8EAFBF">
            <w:pPr>
              <w:rPr>
                <w:rFonts w:hint="default" w:ascii="仿宋" w:hAnsi="仿宋" w:eastAsia="仿宋"/>
                <w:sz w:val="18"/>
                <w:szCs w:val="18"/>
                <w:lang w:val="en-US" w:eastAsia="zh-CN"/>
              </w:rPr>
            </w:pPr>
            <w:r>
              <w:rPr>
                <w:rFonts w:hint="eastAsia" w:ascii="仿宋" w:hAnsi="仿宋" w:eastAsia="仿宋"/>
                <w:sz w:val="18"/>
                <w:szCs w:val="18"/>
                <w:lang w:val="en-US" w:eastAsia="zh-CN"/>
              </w:rPr>
              <w:t>认识石油何为及其对生产、生活的重要意义</w:t>
            </w:r>
            <w:r>
              <w:rPr>
                <w:rFonts w:hint="eastAsia" w:ascii="仿宋" w:hAnsi="仿宋" w:eastAsia="仿宋"/>
                <w:sz w:val="18"/>
                <w:szCs w:val="18"/>
                <w:lang w:val="zh-CN"/>
              </w:rPr>
              <w:t>；</w:t>
            </w:r>
            <w:r>
              <w:rPr>
                <w:rFonts w:hint="eastAsia" w:ascii="仿宋" w:hAnsi="仿宋" w:eastAsia="仿宋"/>
                <w:sz w:val="18"/>
                <w:szCs w:val="18"/>
                <w:lang w:val="en-US" w:eastAsia="zh-CN"/>
              </w:rPr>
              <w:t>了解世界能源概况、我国能源概况，全球能源治理变革与我国“碳中和”发展战略；了解课程体系、授课方式及考核要求等。</w:t>
            </w:r>
          </w:p>
        </w:tc>
        <w:tc>
          <w:tcPr>
            <w:tcW w:w="397" w:type="dxa"/>
            <w:vAlign w:val="center"/>
          </w:tcPr>
          <w:p w14:paraId="158C60AB">
            <w:pPr>
              <w:jc w:val="center"/>
              <w:rPr>
                <w:rFonts w:ascii="仿宋" w:hAnsi="仿宋" w:eastAsia="仿宋"/>
                <w:sz w:val="18"/>
                <w:szCs w:val="18"/>
                <w:lang w:val="zh-CN"/>
              </w:rPr>
            </w:pPr>
            <w:r>
              <w:rPr>
                <w:rFonts w:hint="eastAsia" w:ascii="仿宋" w:hAnsi="仿宋" w:eastAsia="仿宋"/>
                <w:sz w:val="18"/>
                <w:szCs w:val="18"/>
                <w:lang w:val="en-US" w:eastAsia="zh-CN"/>
              </w:rPr>
              <w:t>2</w:t>
            </w:r>
          </w:p>
        </w:tc>
        <w:tc>
          <w:tcPr>
            <w:tcW w:w="1134" w:type="dxa"/>
            <w:vAlign w:val="center"/>
          </w:tcPr>
          <w:p w14:paraId="229588E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6641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restart"/>
            <w:vAlign w:val="center"/>
          </w:tcPr>
          <w:p w14:paraId="45E2815C">
            <w:pPr>
              <w:rPr>
                <w:rFonts w:hint="eastAsia" w:ascii="仿宋" w:hAnsi="仿宋" w:eastAsia="仿宋"/>
                <w:sz w:val="18"/>
                <w:szCs w:val="18"/>
                <w:lang w:val="zh-CN"/>
              </w:rPr>
            </w:pPr>
            <w:bookmarkStart w:id="2" w:name="OLE_LINK3"/>
            <w:r>
              <w:rPr>
                <w:rFonts w:hint="eastAsia" w:ascii="仿宋" w:hAnsi="仿宋" w:eastAsia="仿宋"/>
                <w:sz w:val="18"/>
                <w:szCs w:val="18"/>
                <w:lang w:val="en-US" w:eastAsia="zh-CN"/>
              </w:rPr>
              <w:t>第一章 石油工业的发展历史</w:t>
            </w:r>
            <w:bookmarkEnd w:id="2"/>
            <w:r>
              <w:rPr>
                <w:rFonts w:hint="eastAsia" w:ascii="仿宋" w:hAnsi="仿宋" w:eastAsia="仿宋"/>
                <w:sz w:val="18"/>
                <w:szCs w:val="18"/>
                <w:lang w:val="en-US" w:eastAsia="zh-CN"/>
              </w:rPr>
              <w:t xml:space="preserve"> </w:t>
            </w:r>
          </w:p>
        </w:tc>
        <w:tc>
          <w:tcPr>
            <w:tcW w:w="1531" w:type="dxa"/>
            <w:vAlign w:val="center"/>
          </w:tcPr>
          <w:p w14:paraId="7609099C">
            <w:pPr>
              <w:rPr>
                <w:rFonts w:hint="eastAsia" w:ascii="仿宋" w:hAnsi="仿宋" w:eastAsia="仿宋"/>
                <w:sz w:val="18"/>
                <w:szCs w:val="18"/>
                <w:lang w:val="zh-CN"/>
              </w:rPr>
            </w:pPr>
            <w:r>
              <w:rPr>
                <w:rFonts w:hint="eastAsia" w:ascii="仿宋" w:hAnsi="仿宋" w:eastAsia="仿宋"/>
                <w:sz w:val="18"/>
                <w:szCs w:val="18"/>
                <w:lang w:val="zh-CN"/>
              </w:rPr>
              <w:t>1.1</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古代石油工业发展概况</w:t>
            </w:r>
          </w:p>
        </w:tc>
        <w:tc>
          <w:tcPr>
            <w:tcW w:w="3685" w:type="dxa"/>
            <w:vMerge w:val="restart"/>
            <w:vAlign w:val="center"/>
          </w:tcPr>
          <w:p w14:paraId="7668A6E9">
            <w:pPr>
              <w:rPr>
                <w:rFonts w:hint="eastAsia" w:ascii="仿宋" w:hAnsi="仿宋" w:eastAsia="仿宋"/>
                <w:sz w:val="18"/>
                <w:szCs w:val="18"/>
                <w:lang w:val="zh-CN"/>
              </w:rPr>
            </w:pPr>
            <w:r>
              <w:rPr>
                <w:rFonts w:hint="eastAsia" w:ascii="仿宋" w:hAnsi="仿宋" w:eastAsia="仿宋"/>
                <w:sz w:val="18"/>
                <w:szCs w:val="18"/>
                <w:lang w:val="zh-CN"/>
              </w:rPr>
              <w:t>了解中外石油工业发展的历史脉络，体会石油工业发展与社会生活之间的相互作用；深刻体会科学技术在石油工业每一个历史阶段的跃迁中所发挥的重要作用；反思政治和经济在石油工业中扮演的角色，思考这种角色在历史上曾如何建构石油工业发展的方向和轨迹，并如何影响和制约石油工业的未来。</w:t>
            </w:r>
          </w:p>
        </w:tc>
        <w:tc>
          <w:tcPr>
            <w:tcW w:w="397" w:type="dxa"/>
            <w:vMerge w:val="restart"/>
            <w:vAlign w:val="center"/>
          </w:tcPr>
          <w:p w14:paraId="504E2ACA">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8</w:t>
            </w:r>
          </w:p>
        </w:tc>
        <w:tc>
          <w:tcPr>
            <w:tcW w:w="1134" w:type="dxa"/>
            <w:vMerge w:val="restart"/>
            <w:vAlign w:val="center"/>
          </w:tcPr>
          <w:p w14:paraId="5B5E392D">
            <w:pPr>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024F6739">
            <w:pPr>
              <w:rPr>
                <w:rFonts w:hint="eastAsia"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tc>
      </w:tr>
      <w:tr w14:paraId="21C7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continue"/>
            <w:vAlign w:val="center"/>
          </w:tcPr>
          <w:p w14:paraId="0CFA29A8">
            <w:pPr>
              <w:rPr>
                <w:rFonts w:hint="eastAsia" w:ascii="仿宋" w:hAnsi="仿宋" w:eastAsia="仿宋"/>
                <w:sz w:val="18"/>
                <w:szCs w:val="18"/>
                <w:lang w:val="en-US" w:eastAsia="zh-CN"/>
              </w:rPr>
            </w:pPr>
          </w:p>
        </w:tc>
        <w:tc>
          <w:tcPr>
            <w:tcW w:w="1531" w:type="dxa"/>
            <w:vAlign w:val="center"/>
          </w:tcPr>
          <w:p w14:paraId="1FAA1388">
            <w:pPr>
              <w:rPr>
                <w:rFonts w:hint="eastAsia" w:ascii="仿宋" w:hAnsi="仿宋" w:eastAsia="仿宋"/>
                <w:sz w:val="18"/>
                <w:szCs w:val="18"/>
                <w:lang w:val="zh-CN"/>
              </w:rPr>
            </w:pPr>
            <w:r>
              <w:rPr>
                <w:rFonts w:ascii="仿宋" w:hAnsi="仿宋" w:eastAsia="仿宋"/>
                <w:sz w:val="18"/>
                <w:szCs w:val="18"/>
                <w:lang w:val="zh-CN"/>
              </w:rPr>
              <w:t>1.2</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近代石油工业发展史</w:t>
            </w:r>
          </w:p>
        </w:tc>
        <w:tc>
          <w:tcPr>
            <w:tcW w:w="3685" w:type="dxa"/>
            <w:vMerge w:val="continue"/>
            <w:vAlign w:val="center"/>
          </w:tcPr>
          <w:p w14:paraId="59AD8DF3">
            <w:pPr>
              <w:rPr>
                <w:rFonts w:hint="eastAsia" w:ascii="仿宋" w:hAnsi="仿宋" w:eastAsia="仿宋"/>
                <w:sz w:val="18"/>
                <w:szCs w:val="18"/>
                <w:lang w:val="zh-CN"/>
              </w:rPr>
            </w:pPr>
          </w:p>
        </w:tc>
        <w:tc>
          <w:tcPr>
            <w:tcW w:w="397" w:type="dxa"/>
            <w:vMerge w:val="continue"/>
            <w:vAlign w:val="center"/>
          </w:tcPr>
          <w:p w14:paraId="11738D91">
            <w:pPr>
              <w:jc w:val="center"/>
              <w:rPr>
                <w:rFonts w:hint="eastAsia" w:ascii="仿宋" w:hAnsi="仿宋" w:eastAsia="仿宋"/>
                <w:sz w:val="18"/>
                <w:szCs w:val="18"/>
                <w:lang w:val="en-US" w:eastAsia="zh-CN"/>
              </w:rPr>
            </w:pPr>
          </w:p>
        </w:tc>
        <w:tc>
          <w:tcPr>
            <w:tcW w:w="1134" w:type="dxa"/>
            <w:vMerge w:val="continue"/>
            <w:vAlign w:val="center"/>
          </w:tcPr>
          <w:p w14:paraId="7AF1D36A">
            <w:pPr>
              <w:rPr>
                <w:rFonts w:hint="eastAsia" w:ascii="仿宋" w:hAnsi="仿宋" w:eastAsia="仿宋"/>
                <w:sz w:val="18"/>
                <w:szCs w:val="18"/>
                <w:lang w:val="zh-CN"/>
              </w:rPr>
            </w:pPr>
          </w:p>
        </w:tc>
      </w:tr>
      <w:tr w14:paraId="1D093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continue"/>
            <w:vAlign w:val="center"/>
          </w:tcPr>
          <w:p w14:paraId="50C288AF">
            <w:pPr>
              <w:rPr>
                <w:rFonts w:hint="eastAsia" w:ascii="仿宋" w:hAnsi="仿宋" w:eastAsia="仿宋"/>
                <w:sz w:val="18"/>
                <w:szCs w:val="18"/>
                <w:lang w:val="en-US" w:eastAsia="zh-CN"/>
              </w:rPr>
            </w:pPr>
          </w:p>
        </w:tc>
        <w:tc>
          <w:tcPr>
            <w:tcW w:w="1531" w:type="dxa"/>
            <w:vAlign w:val="center"/>
          </w:tcPr>
          <w:p w14:paraId="4C73EAD0">
            <w:pPr>
              <w:rPr>
                <w:rFonts w:hint="eastAsia" w:ascii="仿宋" w:hAnsi="仿宋" w:eastAsia="仿宋"/>
                <w:sz w:val="18"/>
                <w:szCs w:val="18"/>
                <w:lang w:val="zh-CN"/>
              </w:rPr>
            </w:pPr>
            <w:r>
              <w:rPr>
                <w:rFonts w:hint="eastAsia" w:ascii="仿宋" w:hAnsi="仿宋" w:eastAsia="仿宋"/>
                <w:sz w:val="18"/>
                <w:szCs w:val="18"/>
                <w:lang w:val="zh-CN"/>
              </w:rPr>
              <w:t>1.3</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中国石油工业发展史</w:t>
            </w:r>
          </w:p>
        </w:tc>
        <w:tc>
          <w:tcPr>
            <w:tcW w:w="3685" w:type="dxa"/>
            <w:vMerge w:val="continue"/>
            <w:vAlign w:val="center"/>
          </w:tcPr>
          <w:p w14:paraId="40428352">
            <w:pPr>
              <w:rPr>
                <w:rFonts w:hint="eastAsia" w:ascii="仿宋" w:hAnsi="仿宋" w:eastAsia="仿宋"/>
                <w:sz w:val="18"/>
                <w:szCs w:val="18"/>
                <w:lang w:val="zh-CN"/>
              </w:rPr>
            </w:pPr>
          </w:p>
        </w:tc>
        <w:tc>
          <w:tcPr>
            <w:tcW w:w="397" w:type="dxa"/>
            <w:vMerge w:val="continue"/>
            <w:vAlign w:val="center"/>
          </w:tcPr>
          <w:p w14:paraId="16890087">
            <w:pPr>
              <w:jc w:val="center"/>
              <w:rPr>
                <w:rFonts w:hint="eastAsia" w:ascii="仿宋" w:hAnsi="仿宋" w:eastAsia="仿宋"/>
                <w:sz w:val="18"/>
                <w:szCs w:val="18"/>
                <w:lang w:val="en-US" w:eastAsia="zh-CN"/>
              </w:rPr>
            </w:pPr>
          </w:p>
        </w:tc>
        <w:tc>
          <w:tcPr>
            <w:tcW w:w="1134" w:type="dxa"/>
            <w:vMerge w:val="continue"/>
            <w:vAlign w:val="center"/>
          </w:tcPr>
          <w:p w14:paraId="6AE75C7F">
            <w:pPr>
              <w:rPr>
                <w:rFonts w:hint="eastAsia" w:ascii="仿宋" w:hAnsi="仿宋" w:eastAsia="仿宋"/>
                <w:sz w:val="18"/>
                <w:szCs w:val="18"/>
                <w:lang w:val="zh-CN"/>
              </w:rPr>
            </w:pPr>
          </w:p>
        </w:tc>
      </w:tr>
      <w:tr w14:paraId="2091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restart"/>
            <w:vAlign w:val="center"/>
          </w:tcPr>
          <w:p w14:paraId="029C1F38">
            <w:pPr>
              <w:rPr>
                <w:rFonts w:hint="eastAsia" w:ascii="仿宋" w:hAnsi="仿宋" w:eastAsia="仿宋"/>
                <w:sz w:val="18"/>
                <w:szCs w:val="18"/>
                <w:lang w:val="en-US" w:eastAsia="zh-CN"/>
              </w:rPr>
            </w:pPr>
            <w:bookmarkStart w:id="3" w:name="OLE_LINK4"/>
            <w:r>
              <w:rPr>
                <w:rFonts w:hint="eastAsia" w:ascii="仿宋" w:hAnsi="仿宋" w:eastAsia="仿宋"/>
                <w:sz w:val="18"/>
                <w:szCs w:val="18"/>
                <w:lang w:val="en-US" w:eastAsia="zh-CN"/>
              </w:rPr>
              <w:t xml:space="preserve">第二章 中国石油文化的内涵与产生背景 </w:t>
            </w:r>
            <w:bookmarkEnd w:id="3"/>
          </w:p>
        </w:tc>
        <w:tc>
          <w:tcPr>
            <w:tcW w:w="1531" w:type="dxa"/>
            <w:vAlign w:val="center"/>
          </w:tcPr>
          <w:p w14:paraId="056FAAD7">
            <w:pPr>
              <w:rPr>
                <w:rFonts w:hint="eastAsia" w:ascii="仿宋" w:hAnsi="仿宋" w:eastAsia="仿宋"/>
                <w:sz w:val="18"/>
                <w:szCs w:val="18"/>
                <w:lang w:val="zh-CN"/>
              </w:rPr>
            </w:pPr>
            <w:r>
              <w:rPr>
                <w:rFonts w:hint="eastAsia" w:ascii="仿宋" w:hAnsi="仿宋" w:eastAsia="仿宋"/>
                <w:sz w:val="18"/>
                <w:szCs w:val="18"/>
                <w:lang w:val="zh-CN"/>
              </w:rPr>
              <w:t>2.1</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中国石油文化的内涵</w:t>
            </w:r>
          </w:p>
        </w:tc>
        <w:tc>
          <w:tcPr>
            <w:tcW w:w="3685" w:type="dxa"/>
            <w:vMerge w:val="restart"/>
            <w:vAlign w:val="center"/>
          </w:tcPr>
          <w:p w14:paraId="1CC7F0D7">
            <w:pPr>
              <w:rPr>
                <w:rFonts w:hint="eastAsia" w:ascii="仿宋" w:hAnsi="仿宋" w:eastAsia="仿宋"/>
                <w:sz w:val="18"/>
                <w:szCs w:val="18"/>
                <w:lang w:val="zh-CN"/>
              </w:rPr>
            </w:pPr>
            <w:r>
              <w:rPr>
                <w:rFonts w:hint="eastAsia" w:ascii="仿宋" w:hAnsi="仿宋" w:eastAsia="仿宋"/>
                <w:sz w:val="18"/>
                <w:szCs w:val="18"/>
                <w:lang w:val="zh-CN"/>
              </w:rPr>
              <w:t>了解文化与文化的发展、中国石油文化的基本内涵，掌握传统石油企业文化的核心和灵魂；明确中国石油文化产生的背景与条件，培养民族自豪感；理解、传播新时代背景下的中国石油文化。</w:t>
            </w:r>
          </w:p>
        </w:tc>
        <w:tc>
          <w:tcPr>
            <w:tcW w:w="397" w:type="dxa"/>
            <w:vMerge w:val="restart"/>
            <w:vAlign w:val="center"/>
          </w:tcPr>
          <w:p w14:paraId="44413E07">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4</w:t>
            </w:r>
          </w:p>
        </w:tc>
        <w:tc>
          <w:tcPr>
            <w:tcW w:w="1134" w:type="dxa"/>
            <w:vMerge w:val="restart"/>
            <w:vAlign w:val="center"/>
          </w:tcPr>
          <w:p w14:paraId="09269F1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124EBE3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5E5390D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14E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continue"/>
            <w:vAlign w:val="center"/>
          </w:tcPr>
          <w:p w14:paraId="4A79C1E1">
            <w:pPr>
              <w:rPr>
                <w:rFonts w:hint="eastAsia" w:ascii="仿宋" w:hAnsi="仿宋" w:eastAsia="仿宋"/>
                <w:sz w:val="18"/>
                <w:szCs w:val="18"/>
                <w:lang w:val="zh-CN"/>
              </w:rPr>
            </w:pPr>
          </w:p>
        </w:tc>
        <w:tc>
          <w:tcPr>
            <w:tcW w:w="1531" w:type="dxa"/>
            <w:vAlign w:val="center"/>
          </w:tcPr>
          <w:p w14:paraId="1933D675">
            <w:pPr>
              <w:rPr>
                <w:rFonts w:hint="eastAsia" w:ascii="仿宋" w:hAnsi="仿宋" w:eastAsia="仿宋"/>
                <w:sz w:val="18"/>
                <w:szCs w:val="18"/>
                <w:lang w:val="zh-CN"/>
              </w:rPr>
            </w:pPr>
            <w:r>
              <w:rPr>
                <w:rFonts w:hint="eastAsia" w:ascii="仿宋" w:hAnsi="仿宋" w:eastAsia="仿宋"/>
                <w:sz w:val="18"/>
                <w:szCs w:val="18"/>
                <w:lang w:val="zh-CN"/>
              </w:rPr>
              <w:t>2.</w:t>
            </w:r>
            <w:r>
              <w:rPr>
                <w:rFonts w:hint="eastAsia" w:ascii="仿宋" w:hAnsi="仿宋" w:eastAsia="仿宋"/>
                <w:sz w:val="18"/>
                <w:szCs w:val="18"/>
                <w:lang w:val="en-US" w:eastAsia="zh-CN"/>
              </w:rPr>
              <w:t xml:space="preserve">2 </w:t>
            </w:r>
            <w:r>
              <w:rPr>
                <w:rFonts w:hint="eastAsia" w:ascii="仿宋" w:hAnsi="仿宋" w:eastAsia="仿宋"/>
                <w:sz w:val="18"/>
                <w:szCs w:val="18"/>
                <w:lang w:val="zh-CN"/>
              </w:rPr>
              <w:t>中国石油文化产生的背景</w:t>
            </w:r>
          </w:p>
        </w:tc>
        <w:tc>
          <w:tcPr>
            <w:tcW w:w="3685" w:type="dxa"/>
            <w:vMerge w:val="continue"/>
            <w:vAlign w:val="center"/>
          </w:tcPr>
          <w:p w14:paraId="579C53FB">
            <w:pPr>
              <w:rPr>
                <w:rFonts w:hint="eastAsia" w:ascii="仿宋" w:hAnsi="仿宋" w:eastAsia="仿宋"/>
                <w:sz w:val="18"/>
                <w:szCs w:val="18"/>
                <w:lang w:val="zh-CN"/>
              </w:rPr>
            </w:pPr>
          </w:p>
        </w:tc>
        <w:tc>
          <w:tcPr>
            <w:tcW w:w="397" w:type="dxa"/>
            <w:vMerge w:val="continue"/>
            <w:vAlign w:val="center"/>
          </w:tcPr>
          <w:p w14:paraId="408AC89A">
            <w:pPr>
              <w:jc w:val="center"/>
              <w:rPr>
                <w:rFonts w:hint="eastAsia" w:ascii="仿宋" w:hAnsi="仿宋" w:eastAsia="仿宋"/>
                <w:sz w:val="18"/>
                <w:szCs w:val="18"/>
                <w:lang w:val="en-US" w:eastAsia="zh-CN"/>
              </w:rPr>
            </w:pPr>
          </w:p>
        </w:tc>
        <w:tc>
          <w:tcPr>
            <w:tcW w:w="1134" w:type="dxa"/>
            <w:vMerge w:val="continue"/>
            <w:vAlign w:val="center"/>
          </w:tcPr>
          <w:p w14:paraId="542E785B">
            <w:pPr>
              <w:rPr>
                <w:rFonts w:ascii="仿宋" w:hAnsi="仿宋" w:eastAsia="仿宋"/>
                <w:sz w:val="18"/>
                <w:szCs w:val="18"/>
                <w:lang w:val="zh-CN"/>
              </w:rPr>
            </w:pPr>
          </w:p>
        </w:tc>
      </w:tr>
      <w:tr w14:paraId="7941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restart"/>
            <w:vAlign w:val="center"/>
          </w:tcPr>
          <w:p w14:paraId="14DA6EE9">
            <w:pPr>
              <w:rPr>
                <w:rFonts w:hint="eastAsia" w:ascii="仿宋" w:hAnsi="仿宋" w:eastAsia="仿宋"/>
                <w:sz w:val="18"/>
                <w:szCs w:val="18"/>
                <w:lang w:val="zh-CN"/>
              </w:rPr>
            </w:pPr>
            <w:bookmarkStart w:id="4" w:name="OLE_LINK5"/>
            <w:r>
              <w:rPr>
                <w:rFonts w:hint="eastAsia" w:ascii="仿宋" w:hAnsi="仿宋" w:eastAsia="仿宋"/>
                <w:sz w:val="18"/>
                <w:szCs w:val="18"/>
                <w:lang w:val="en-US" w:eastAsia="zh-CN"/>
              </w:rPr>
              <w:t>第三章 中国石油文化发展的阶段与基本特质</w:t>
            </w:r>
            <w:bookmarkEnd w:id="4"/>
            <w:r>
              <w:rPr>
                <w:rFonts w:hint="eastAsia" w:ascii="仿宋" w:hAnsi="仿宋" w:eastAsia="仿宋"/>
                <w:sz w:val="18"/>
                <w:szCs w:val="18"/>
                <w:lang w:val="en-US" w:eastAsia="zh-CN"/>
              </w:rPr>
              <w:t xml:space="preserve"> </w:t>
            </w:r>
          </w:p>
        </w:tc>
        <w:tc>
          <w:tcPr>
            <w:tcW w:w="1531" w:type="dxa"/>
            <w:vAlign w:val="center"/>
          </w:tcPr>
          <w:p w14:paraId="317D4A53">
            <w:pPr>
              <w:rPr>
                <w:rFonts w:hint="eastAsia" w:ascii="仿宋" w:hAnsi="仿宋" w:eastAsia="仿宋"/>
                <w:sz w:val="18"/>
                <w:szCs w:val="18"/>
                <w:lang w:val="zh-CN"/>
              </w:rPr>
            </w:pPr>
            <w:r>
              <w:rPr>
                <w:rFonts w:hint="eastAsia" w:ascii="仿宋" w:hAnsi="仿宋" w:eastAsia="仿宋"/>
                <w:sz w:val="18"/>
                <w:szCs w:val="18"/>
                <w:lang w:val="en-US" w:eastAsia="zh-CN"/>
              </w:rPr>
              <w:t>3</w:t>
            </w:r>
            <w:r>
              <w:rPr>
                <w:rFonts w:hint="eastAsia" w:ascii="仿宋" w:hAnsi="仿宋" w:eastAsia="仿宋"/>
                <w:sz w:val="18"/>
                <w:szCs w:val="18"/>
                <w:lang w:val="zh-CN"/>
              </w:rPr>
              <w:t>.1</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中国石油文化的发展阶段</w:t>
            </w:r>
          </w:p>
        </w:tc>
        <w:tc>
          <w:tcPr>
            <w:tcW w:w="3685" w:type="dxa"/>
            <w:vMerge w:val="restart"/>
            <w:vAlign w:val="center"/>
          </w:tcPr>
          <w:p w14:paraId="4F4A3752">
            <w:pPr>
              <w:rPr>
                <w:rFonts w:hint="eastAsia" w:ascii="仿宋" w:hAnsi="仿宋" w:eastAsia="仿宋"/>
                <w:sz w:val="18"/>
                <w:szCs w:val="18"/>
                <w:lang w:val="zh-CN"/>
              </w:rPr>
            </w:pPr>
            <w:r>
              <w:rPr>
                <w:rFonts w:hint="eastAsia" w:ascii="仿宋" w:hAnsi="仿宋" w:eastAsia="仿宋"/>
                <w:sz w:val="18"/>
                <w:szCs w:val="18"/>
                <w:lang w:val="zh-CN"/>
              </w:rPr>
              <w:t>了解中国石油文化经历的萌芽、形成、曲折发展、迅速发展四个阶段；理解中国石油文化具有的准军事的组织文化、融合的多元文化、特有的政治文化、独特的会战文化、典型的榜样文化、乐观的英雄主义文化和艰苦的创业文化等基本特征。</w:t>
            </w:r>
          </w:p>
        </w:tc>
        <w:tc>
          <w:tcPr>
            <w:tcW w:w="397" w:type="dxa"/>
            <w:vMerge w:val="restart"/>
            <w:vAlign w:val="center"/>
          </w:tcPr>
          <w:p w14:paraId="7FB654EC">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8</w:t>
            </w:r>
          </w:p>
        </w:tc>
        <w:tc>
          <w:tcPr>
            <w:tcW w:w="1134" w:type="dxa"/>
            <w:vMerge w:val="restart"/>
            <w:vAlign w:val="center"/>
          </w:tcPr>
          <w:p w14:paraId="61A0C85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27CB170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1961D80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77B9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continue"/>
            <w:vAlign w:val="center"/>
          </w:tcPr>
          <w:p w14:paraId="1E8F7DCA">
            <w:pPr>
              <w:rPr>
                <w:rFonts w:hint="eastAsia" w:ascii="仿宋" w:hAnsi="仿宋" w:eastAsia="仿宋"/>
                <w:sz w:val="18"/>
                <w:szCs w:val="18"/>
                <w:lang w:val="zh-CN"/>
              </w:rPr>
            </w:pPr>
          </w:p>
        </w:tc>
        <w:tc>
          <w:tcPr>
            <w:tcW w:w="1531" w:type="dxa"/>
            <w:vAlign w:val="center"/>
          </w:tcPr>
          <w:p w14:paraId="34FCB1D3">
            <w:pPr>
              <w:rPr>
                <w:rFonts w:hint="eastAsia" w:ascii="仿宋" w:hAnsi="仿宋" w:eastAsia="仿宋"/>
                <w:sz w:val="18"/>
                <w:szCs w:val="18"/>
                <w:lang w:val="zh-CN"/>
              </w:rPr>
            </w:pPr>
            <w:r>
              <w:rPr>
                <w:rFonts w:hint="eastAsia" w:ascii="仿宋" w:hAnsi="仿宋" w:eastAsia="仿宋"/>
                <w:sz w:val="18"/>
                <w:szCs w:val="18"/>
                <w:lang w:val="en-US" w:eastAsia="zh-CN"/>
              </w:rPr>
              <w:t>3</w:t>
            </w:r>
            <w:r>
              <w:rPr>
                <w:rFonts w:hint="eastAsia" w:ascii="仿宋" w:hAnsi="仿宋" w:eastAsia="仿宋"/>
                <w:sz w:val="18"/>
                <w:szCs w:val="18"/>
                <w:lang w:val="zh-CN"/>
              </w:rPr>
              <w:t>.</w:t>
            </w:r>
            <w:r>
              <w:rPr>
                <w:rFonts w:hint="eastAsia" w:ascii="仿宋" w:hAnsi="仿宋" w:eastAsia="仿宋"/>
                <w:sz w:val="18"/>
                <w:szCs w:val="18"/>
                <w:lang w:val="en-US" w:eastAsia="zh-CN"/>
              </w:rPr>
              <w:t xml:space="preserve">2 </w:t>
            </w:r>
            <w:r>
              <w:rPr>
                <w:rFonts w:hint="eastAsia" w:ascii="仿宋" w:hAnsi="仿宋" w:eastAsia="仿宋"/>
                <w:sz w:val="18"/>
                <w:szCs w:val="18"/>
                <w:lang w:val="zh-CN"/>
              </w:rPr>
              <w:t>中国石油文化的基本特征</w:t>
            </w:r>
          </w:p>
        </w:tc>
        <w:tc>
          <w:tcPr>
            <w:tcW w:w="3685" w:type="dxa"/>
            <w:vMerge w:val="continue"/>
            <w:vAlign w:val="center"/>
          </w:tcPr>
          <w:p w14:paraId="45497F17">
            <w:pPr>
              <w:rPr>
                <w:rFonts w:hint="eastAsia" w:ascii="仿宋" w:hAnsi="仿宋" w:eastAsia="仿宋"/>
                <w:sz w:val="18"/>
                <w:szCs w:val="18"/>
                <w:lang w:val="zh-CN"/>
              </w:rPr>
            </w:pPr>
          </w:p>
        </w:tc>
        <w:tc>
          <w:tcPr>
            <w:tcW w:w="397" w:type="dxa"/>
            <w:vMerge w:val="continue"/>
            <w:vAlign w:val="center"/>
          </w:tcPr>
          <w:p w14:paraId="03767E38">
            <w:pPr>
              <w:jc w:val="center"/>
              <w:rPr>
                <w:rFonts w:hint="eastAsia" w:ascii="仿宋" w:hAnsi="仿宋" w:eastAsia="仿宋"/>
                <w:sz w:val="18"/>
                <w:szCs w:val="18"/>
                <w:lang w:val="en-US" w:eastAsia="zh-CN"/>
              </w:rPr>
            </w:pPr>
          </w:p>
        </w:tc>
        <w:tc>
          <w:tcPr>
            <w:tcW w:w="1134" w:type="dxa"/>
            <w:vMerge w:val="continue"/>
            <w:vAlign w:val="center"/>
          </w:tcPr>
          <w:p w14:paraId="7788FA65">
            <w:pPr>
              <w:rPr>
                <w:rFonts w:ascii="仿宋" w:hAnsi="仿宋" w:eastAsia="仿宋"/>
                <w:sz w:val="18"/>
                <w:szCs w:val="18"/>
                <w:lang w:val="zh-CN"/>
              </w:rPr>
            </w:pPr>
          </w:p>
        </w:tc>
      </w:tr>
      <w:tr w14:paraId="5EA2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530" w:type="dxa"/>
            <w:vMerge w:val="restart"/>
            <w:vAlign w:val="center"/>
          </w:tcPr>
          <w:p w14:paraId="18B81FAC">
            <w:pPr>
              <w:rPr>
                <w:rFonts w:ascii="仿宋" w:hAnsi="仿宋" w:eastAsia="仿宋"/>
                <w:sz w:val="18"/>
                <w:szCs w:val="18"/>
                <w:lang w:val="zh-CN"/>
              </w:rPr>
            </w:pPr>
            <w:bookmarkStart w:id="5" w:name="OLE_LINK6"/>
            <w:r>
              <w:rPr>
                <w:rFonts w:hint="eastAsia" w:ascii="仿宋" w:hAnsi="仿宋" w:eastAsia="仿宋"/>
                <w:sz w:val="18"/>
                <w:szCs w:val="18"/>
                <w:lang w:val="en-US" w:eastAsia="zh-CN"/>
              </w:rPr>
              <w:t>第四章 中国石油文化的表现形态</w:t>
            </w:r>
            <w:bookmarkEnd w:id="5"/>
          </w:p>
        </w:tc>
        <w:tc>
          <w:tcPr>
            <w:tcW w:w="1531" w:type="dxa"/>
            <w:vAlign w:val="center"/>
          </w:tcPr>
          <w:p w14:paraId="0556CB79">
            <w:pPr>
              <w:rPr>
                <w:rFonts w:hint="eastAsia" w:ascii="仿宋" w:hAnsi="仿宋" w:eastAsia="仿宋"/>
                <w:sz w:val="18"/>
                <w:szCs w:val="18"/>
                <w:lang w:val="zh-CN"/>
              </w:rPr>
            </w:pPr>
            <w:r>
              <w:rPr>
                <w:rFonts w:hint="eastAsia" w:ascii="仿宋" w:hAnsi="仿宋" w:eastAsia="仿宋"/>
                <w:sz w:val="18"/>
                <w:szCs w:val="18"/>
                <w:lang w:val="zh-CN"/>
              </w:rPr>
              <w:t>4.1 中国石油企业文化</w:t>
            </w:r>
          </w:p>
        </w:tc>
        <w:tc>
          <w:tcPr>
            <w:tcW w:w="3685" w:type="dxa"/>
            <w:vMerge w:val="restart"/>
            <w:vAlign w:val="center"/>
          </w:tcPr>
          <w:p w14:paraId="36BB6EBC">
            <w:pPr>
              <w:rPr>
                <w:rFonts w:ascii="仿宋" w:hAnsi="仿宋" w:eastAsia="仿宋"/>
                <w:sz w:val="18"/>
                <w:szCs w:val="18"/>
                <w:lang w:val="zh-CN"/>
              </w:rPr>
            </w:pPr>
            <w:r>
              <w:rPr>
                <w:rFonts w:hint="eastAsia" w:ascii="仿宋" w:hAnsi="仿宋" w:eastAsia="仿宋"/>
                <w:sz w:val="18"/>
                <w:szCs w:val="18"/>
                <w:lang w:val="zh-CN"/>
              </w:rPr>
              <w:t>掌握中国石油企业文化的具体形态；明确加强石油企业文化建设的现实意义；了解中国石油高校的发展，新时代石油高校如何传承石油文化；</w:t>
            </w:r>
            <w:r>
              <w:rPr>
                <w:rFonts w:hint="eastAsia" w:ascii="仿宋" w:hAnsi="仿宋" w:eastAsia="仿宋"/>
                <w:sz w:val="18"/>
                <w:szCs w:val="18"/>
                <w:lang w:val="en-US" w:eastAsia="zh-CN"/>
              </w:rPr>
              <w:t>传承</w:t>
            </w:r>
            <w:r>
              <w:rPr>
                <w:rFonts w:hint="eastAsia" w:ascii="仿宋" w:hAnsi="仿宋" w:eastAsia="仿宋"/>
                <w:sz w:val="18"/>
                <w:szCs w:val="18"/>
                <w:lang w:val="zh-CN"/>
              </w:rPr>
              <w:t>李四光精神、侯祥麟精神、闵恩泽精神、陈俊武精神、王德民精神、顾心怿精神</w:t>
            </w:r>
          </w:p>
        </w:tc>
        <w:tc>
          <w:tcPr>
            <w:tcW w:w="397" w:type="dxa"/>
            <w:vMerge w:val="restart"/>
            <w:vAlign w:val="center"/>
          </w:tcPr>
          <w:p w14:paraId="2AA1B305">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4</w:t>
            </w:r>
          </w:p>
        </w:tc>
        <w:tc>
          <w:tcPr>
            <w:tcW w:w="1134" w:type="dxa"/>
            <w:vMerge w:val="restart"/>
            <w:vAlign w:val="center"/>
          </w:tcPr>
          <w:p w14:paraId="2734436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49E6BC7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26239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530" w:type="dxa"/>
            <w:vMerge w:val="continue"/>
            <w:vAlign w:val="center"/>
          </w:tcPr>
          <w:p w14:paraId="18E1D2D9">
            <w:pPr>
              <w:rPr>
                <w:rFonts w:ascii="仿宋" w:hAnsi="仿宋" w:eastAsia="仿宋"/>
                <w:sz w:val="18"/>
                <w:szCs w:val="18"/>
                <w:lang w:val="zh-CN"/>
              </w:rPr>
            </w:pPr>
          </w:p>
        </w:tc>
        <w:tc>
          <w:tcPr>
            <w:tcW w:w="1531" w:type="dxa"/>
            <w:vAlign w:val="center"/>
          </w:tcPr>
          <w:p w14:paraId="680C6B4D">
            <w:pPr>
              <w:rPr>
                <w:rFonts w:ascii="仿宋" w:hAnsi="仿宋" w:eastAsia="仿宋"/>
                <w:sz w:val="18"/>
                <w:szCs w:val="18"/>
                <w:lang w:val="zh-CN"/>
              </w:rPr>
            </w:pPr>
            <w:r>
              <w:rPr>
                <w:rFonts w:hint="eastAsia" w:ascii="仿宋" w:hAnsi="仿宋" w:eastAsia="仿宋"/>
                <w:sz w:val="18"/>
                <w:szCs w:val="18"/>
                <w:lang w:val="zh-CN"/>
              </w:rPr>
              <w:t>4.2 石油高校文化</w:t>
            </w:r>
          </w:p>
        </w:tc>
        <w:tc>
          <w:tcPr>
            <w:tcW w:w="3685" w:type="dxa"/>
            <w:vMerge w:val="continue"/>
            <w:vAlign w:val="center"/>
          </w:tcPr>
          <w:p w14:paraId="6504D54E">
            <w:pPr>
              <w:rPr>
                <w:rFonts w:ascii="仿宋" w:hAnsi="仿宋" w:eastAsia="仿宋"/>
                <w:sz w:val="18"/>
                <w:szCs w:val="18"/>
                <w:lang w:val="zh-CN"/>
              </w:rPr>
            </w:pPr>
          </w:p>
        </w:tc>
        <w:tc>
          <w:tcPr>
            <w:tcW w:w="397" w:type="dxa"/>
            <w:vMerge w:val="continue"/>
            <w:vAlign w:val="center"/>
          </w:tcPr>
          <w:p w14:paraId="6F7B2A58">
            <w:pPr>
              <w:jc w:val="center"/>
              <w:rPr>
                <w:rFonts w:hint="eastAsia" w:ascii="仿宋" w:hAnsi="仿宋" w:eastAsia="仿宋"/>
                <w:sz w:val="18"/>
                <w:szCs w:val="18"/>
                <w:lang w:val="en-US" w:eastAsia="zh-CN"/>
              </w:rPr>
            </w:pPr>
          </w:p>
        </w:tc>
        <w:tc>
          <w:tcPr>
            <w:tcW w:w="1134" w:type="dxa"/>
            <w:vMerge w:val="continue"/>
            <w:vAlign w:val="center"/>
          </w:tcPr>
          <w:p w14:paraId="62BCAC06">
            <w:pPr>
              <w:rPr>
                <w:rFonts w:ascii="仿宋" w:hAnsi="仿宋" w:eastAsia="仿宋"/>
                <w:sz w:val="18"/>
                <w:szCs w:val="18"/>
                <w:lang w:val="zh-CN"/>
              </w:rPr>
            </w:pPr>
          </w:p>
        </w:tc>
      </w:tr>
      <w:tr w14:paraId="0AB2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530" w:type="dxa"/>
            <w:vMerge w:val="restart"/>
            <w:vAlign w:val="center"/>
          </w:tcPr>
          <w:p w14:paraId="54832D61">
            <w:pPr>
              <w:rPr>
                <w:rFonts w:ascii="仿宋" w:hAnsi="仿宋" w:eastAsia="仿宋"/>
                <w:sz w:val="18"/>
                <w:szCs w:val="18"/>
                <w:lang w:val="zh-CN"/>
              </w:rPr>
            </w:pPr>
            <w:bookmarkStart w:id="6" w:name="OLE_LINK7"/>
            <w:r>
              <w:rPr>
                <w:rFonts w:hint="eastAsia" w:ascii="仿宋" w:hAnsi="仿宋" w:eastAsia="仿宋"/>
                <w:sz w:val="18"/>
                <w:szCs w:val="18"/>
                <w:lang w:val="en-US" w:eastAsia="zh-CN"/>
              </w:rPr>
              <w:t>第五章 中国石油文化的创新与发展</w:t>
            </w:r>
            <w:bookmarkEnd w:id="6"/>
          </w:p>
        </w:tc>
        <w:tc>
          <w:tcPr>
            <w:tcW w:w="1531" w:type="dxa"/>
            <w:vAlign w:val="center"/>
          </w:tcPr>
          <w:p w14:paraId="07AB5D04">
            <w:pPr>
              <w:rPr>
                <w:rFonts w:hint="default" w:ascii="仿宋" w:hAnsi="仿宋" w:eastAsia="仿宋" w:cstheme="minorBidi"/>
                <w:kern w:val="2"/>
                <w:sz w:val="18"/>
                <w:szCs w:val="18"/>
                <w:lang w:val="en-US" w:eastAsia="zh-CN" w:bidi="ar-SA"/>
              </w:rPr>
            </w:pPr>
            <w:r>
              <w:rPr>
                <w:rFonts w:hint="eastAsia" w:ascii="仿宋" w:hAnsi="仿宋" w:eastAsia="仿宋"/>
                <w:sz w:val="18"/>
                <w:szCs w:val="18"/>
                <w:lang w:val="en-US" w:eastAsia="zh-CN"/>
              </w:rPr>
              <w:t>5</w:t>
            </w:r>
            <w:r>
              <w:rPr>
                <w:rFonts w:hint="eastAsia" w:ascii="仿宋" w:hAnsi="仿宋" w:eastAsia="仿宋"/>
                <w:sz w:val="18"/>
                <w:szCs w:val="18"/>
                <w:lang w:val="zh-CN"/>
              </w:rPr>
              <w:t>.1 中国石油企业文化</w:t>
            </w:r>
            <w:r>
              <w:rPr>
                <w:rFonts w:hint="eastAsia" w:ascii="仿宋" w:hAnsi="仿宋" w:eastAsia="仿宋"/>
                <w:sz w:val="18"/>
                <w:szCs w:val="18"/>
                <w:lang w:val="en-US" w:eastAsia="zh-CN"/>
              </w:rPr>
              <w:t>创新发展的意义和动力</w:t>
            </w:r>
          </w:p>
        </w:tc>
        <w:tc>
          <w:tcPr>
            <w:tcW w:w="3685" w:type="dxa"/>
            <w:vMerge w:val="restart"/>
            <w:vAlign w:val="center"/>
          </w:tcPr>
          <w:p w14:paraId="7A7DB19E">
            <w:pPr>
              <w:rPr>
                <w:rFonts w:ascii="仿宋" w:hAnsi="仿宋" w:eastAsia="仿宋"/>
                <w:sz w:val="18"/>
                <w:szCs w:val="18"/>
                <w:lang w:val="zh-CN"/>
              </w:rPr>
            </w:pPr>
            <w:r>
              <w:rPr>
                <w:rFonts w:hint="eastAsia" w:ascii="仿宋" w:hAnsi="仿宋" w:eastAsia="仿宋"/>
                <w:sz w:val="18"/>
                <w:szCs w:val="18"/>
                <w:lang w:val="zh-CN"/>
              </w:rPr>
              <w:t>了解中国石油企业文化创新发展的意义和动力；明确中国石油企业文化创新发展的内外部条件；把握中国石油企业文化创新发展的趋势和方向。</w:t>
            </w:r>
          </w:p>
        </w:tc>
        <w:tc>
          <w:tcPr>
            <w:tcW w:w="397" w:type="dxa"/>
            <w:vMerge w:val="restart"/>
            <w:vAlign w:val="center"/>
          </w:tcPr>
          <w:p w14:paraId="72EDAA1A">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restart"/>
            <w:vAlign w:val="center"/>
          </w:tcPr>
          <w:p w14:paraId="725336F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27ECA3D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5AF06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530" w:type="dxa"/>
            <w:vMerge w:val="continue"/>
            <w:vAlign w:val="center"/>
          </w:tcPr>
          <w:p w14:paraId="5FD9DF96">
            <w:pPr>
              <w:rPr>
                <w:rFonts w:hint="eastAsia" w:ascii="仿宋" w:hAnsi="仿宋" w:eastAsia="仿宋"/>
                <w:sz w:val="18"/>
                <w:szCs w:val="18"/>
                <w:lang w:val="en-US" w:eastAsia="zh-CN"/>
              </w:rPr>
            </w:pPr>
          </w:p>
        </w:tc>
        <w:tc>
          <w:tcPr>
            <w:tcW w:w="1531" w:type="dxa"/>
            <w:vAlign w:val="center"/>
          </w:tcPr>
          <w:p w14:paraId="293EAA83">
            <w:pPr>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5</w:t>
            </w:r>
            <w:r>
              <w:rPr>
                <w:rFonts w:hint="eastAsia" w:ascii="仿宋" w:hAnsi="仿宋" w:eastAsia="仿宋"/>
                <w:sz w:val="18"/>
                <w:szCs w:val="18"/>
                <w:lang w:val="zh-CN"/>
              </w:rPr>
              <w:t>.2 中国石油企业文化</w:t>
            </w:r>
            <w:r>
              <w:rPr>
                <w:rFonts w:hint="eastAsia" w:ascii="仿宋" w:hAnsi="仿宋" w:eastAsia="仿宋"/>
                <w:sz w:val="18"/>
                <w:szCs w:val="18"/>
                <w:lang w:val="en-US" w:eastAsia="zh-CN"/>
              </w:rPr>
              <w:t>创新发展的条件</w:t>
            </w:r>
          </w:p>
        </w:tc>
        <w:tc>
          <w:tcPr>
            <w:tcW w:w="3685" w:type="dxa"/>
            <w:vMerge w:val="continue"/>
            <w:vAlign w:val="center"/>
          </w:tcPr>
          <w:p w14:paraId="0F6F973C">
            <w:pPr>
              <w:rPr>
                <w:rFonts w:hint="eastAsia" w:ascii="仿宋" w:hAnsi="仿宋" w:eastAsia="仿宋"/>
                <w:sz w:val="18"/>
                <w:szCs w:val="18"/>
                <w:lang w:val="en-US" w:eastAsia="zh-CN"/>
              </w:rPr>
            </w:pPr>
          </w:p>
        </w:tc>
        <w:tc>
          <w:tcPr>
            <w:tcW w:w="397" w:type="dxa"/>
            <w:vMerge w:val="continue"/>
            <w:vAlign w:val="center"/>
          </w:tcPr>
          <w:p w14:paraId="19349807">
            <w:pPr>
              <w:rPr>
                <w:rFonts w:hint="eastAsia" w:ascii="仿宋" w:hAnsi="仿宋" w:eastAsia="仿宋"/>
                <w:sz w:val="18"/>
                <w:szCs w:val="18"/>
                <w:lang w:val="en-US" w:eastAsia="zh-CN"/>
              </w:rPr>
            </w:pPr>
          </w:p>
        </w:tc>
        <w:tc>
          <w:tcPr>
            <w:tcW w:w="1134" w:type="dxa"/>
            <w:vMerge w:val="continue"/>
            <w:vAlign w:val="center"/>
          </w:tcPr>
          <w:p w14:paraId="258CC0D9">
            <w:pPr>
              <w:rPr>
                <w:rFonts w:hint="eastAsia" w:ascii="仿宋" w:hAnsi="仿宋" w:eastAsia="仿宋"/>
                <w:sz w:val="18"/>
                <w:szCs w:val="18"/>
                <w:lang w:val="en-US" w:eastAsia="zh-CN"/>
              </w:rPr>
            </w:pPr>
          </w:p>
        </w:tc>
      </w:tr>
      <w:tr w14:paraId="22D3D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530" w:type="dxa"/>
            <w:vMerge w:val="continue"/>
            <w:vAlign w:val="center"/>
          </w:tcPr>
          <w:p w14:paraId="52B624F8">
            <w:pPr>
              <w:rPr>
                <w:rFonts w:hint="eastAsia" w:ascii="仿宋" w:hAnsi="仿宋" w:eastAsia="仿宋"/>
                <w:sz w:val="18"/>
                <w:szCs w:val="18"/>
                <w:lang w:val="en-US" w:eastAsia="zh-CN"/>
              </w:rPr>
            </w:pPr>
          </w:p>
        </w:tc>
        <w:tc>
          <w:tcPr>
            <w:tcW w:w="1531" w:type="dxa"/>
            <w:vAlign w:val="center"/>
          </w:tcPr>
          <w:p w14:paraId="201124BB">
            <w:pPr>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5</w:t>
            </w:r>
            <w:r>
              <w:rPr>
                <w:rFonts w:hint="eastAsia" w:ascii="仿宋" w:hAnsi="仿宋" w:eastAsia="仿宋"/>
                <w:sz w:val="18"/>
                <w:szCs w:val="18"/>
                <w:lang w:val="zh-CN"/>
              </w:rPr>
              <w:t>.</w:t>
            </w:r>
            <w:r>
              <w:rPr>
                <w:rFonts w:hint="eastAsia" w:ascii="仿宋" w:hAnsi="仿宋" w:eastAsia="仿宋"/>
                <w:sz w:val="18"/>
                <w:szCs w:val="18"/>
                <w:lang w:val="en-US" w:eastAsia="zh-CN"/>
              </w:rPr>
              <w:t>3</w:t>
            </w:r>
            <w:r>
              <w:rPr>
                <w:rFonts w:hint="eastAsia" w:ascii="仿宋" w:hAnsi="仿宋" w:eastAsia="仿宋"/>
                <w:sz w:val="18"/>
                <w:szCs w:val="18"/>
                <w:lang w:val="zh-CN"/>
              </w:rPr>
              <w:t xml:space="preserve"> </w:t>
            </w:r>
            <w:r>
              <w:rPr>
                <w:rFonts w:hint="eastAsia" w:ascii="仿宋" w:hAnsi="仿宋" w:eastAsia="仿宋"/>
                <w:sz w:val="18"/>
                <w:szCs w:val="18"/>
                <w:lang w:val="en-US" w:eastAsia="zh-CN"/>
              </w:rPr>
              <w:t>新时期</w:t>
            </w:r>
            <w:r>
              <w:rPr>
                <w:rFonts w:hint="eastAsia" w:ascii="仿宋" w:hAnsi="仿宋" w:eastAsia="仿宋"/>
                <w:sz w:val="18"/>
                <w:szCs w:val="18"/>
                <w:lang w:val="zh-CN"/>
              </w:rPr>
              <w:t>石油企业文化</w:t>
            </w:r>
            <w:r>
              <w:rPr>
                <w:rFonts w:hint="eastAsia" w:ascii="仿宋" w:hAnsi="仿宋" w:eastAsia="仿宋"/>
                <w:sz w:val="18"/>
                <w:szCs w:val="18"/>
                <w:lang w:val="en-US" w:eastAsia="zh-CN"/>
              </w:rPr>
              <w:t>内涵创新发展的延伸发展</w:t>
            </w:r>
          </w:p>
        </w:tc>
        <w:tc>
          <w:tcPr>
            <w:tcW w:w="3685" w:type="dxa"/>
            <w:vMerge w:val="continue"/>
            <w:vAlign w:val="center"/>
          </w:tcPr>
          <w:p w14:paraId="6C417380">
            <w:pPr>
              <w:rPr>
                <w:rFonts w:hint="eastAsia" w:ascii="仿宋" w:hAnsi="仿宋" w:eastAsia="仿宋"/>
                <w:sz w:val="18"/>
                <w:szCs w:val="18"/>
                <w:lang w:val="en-US" w:eastAsia="zh-CN"/>
              </w:rPr>
            </w:pPr>
          </w:p>
        </w:tc>
        <w:tc>
          <w:tcPr>
            <w:tcW w:w="397" w:type="dxa"/>
            <w:vMerge w:val="continue"/>
            <w:vAlign w:val="center"/>
          </w:tcPr>
          <w:p w14:paraId="15B2E309">
            <w:pPr>
              <w:rPr>
                <w:rFonts w:hint="eastAsia" w:ascii="仿宋" w:hAnsi="仿宋" w:eastAsia="仿宋"/>
                <w:sz w:val="18"/>
                <w:szCs w:val="18"/>
                <w:lang w:val="en-US" w:eastAsia="zh-CN"/>
              </w:rPr>
            </w:pPr>
          </w:p>
        </w:tc>
        <w:tc>
          <w:tcPr>
            <w:tcW w:w="1134" w:type="dxa"/>
            <w:vMerge w:val="continue"/>
            <w:vAlign w:val="center"/>
          </w:tcPr>
          <w:p w14:paraId="0FF3C6A2">
            <w:pPr>
              <w:rPr>
                <w:rFonts w:hint="eastAsia" w:ascii="仿宋" w:hAnsi="仿宋" w:eastAsia="仿宋"/>
                <w:sz w:val="18"/>
                <w:szCs w:val="18"/>
                <w:lang w:val="en-US" w:eastAsia="zh-CN"/>
              </w:rPr>
            </w:pPr>
          </w:p>
        </w:tc>
      </w:tr>
      <w:tr w14:paraId="5825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530" w:type="dxa"/>
            <w:vMerge w:val="restart"/>
            <w:vAlign w:val="center"/>
          </w:tcPr>
          <w:p w14:paraId="16B5DF9D">
            <w:pPr>
              <w:jc w:val="center"/>
              <w:rPr>
                <w:rFonts w:ascii="仿宋" w:hAnsi="仿宋" w:eastAsia="仿宋"/>
                <w:sz w:val="18"/>
                <w:szCs w:val="18"/>
                <w:lang w:val="zh-CN"/>
              </w:rPr>
            </w:pPr>
            <w:bookmarkStart w:id="7" w:name="OLE_LINK9"/>
            <w:r>
              <w:rPr>
                <w:rFonts w:hint="eastAsia" w:ascii="仿宋" w:hAnsi="仿宋" w:eastAsia="仿宋"/>
                <w:sz w:val="18"/>
                <w:szCs w:val="18"/>
                <w:lang w:val="en-US" w:eastAsia="zh-CN"/>
              </w:rPr>
              <w:t>第六章 经济全球化下中国石油企业的发展战略</w:t>
            </w:r>
            <w:bookmarkEnd w:id="7"/>
          </w:p>
        </w:tc>
        <w:tc>
          <w:tcPr>
            <w:tcW w:w="1531" w:type="dxa"/>
            <w:vAlign w:val="center"/>
          </w:tcPr>
          <w:p w14:paraId="2237D3C7">
            <w:pPr>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6</w:t>
            </w:r>
            <w:r>
              <w:rPr>
                <w:rFonts w:hint="eastAsia" w:ascii="仿宋" w:hAnsi="仿宋" w:eastAsia="仿宋"/>
                <w:sz w:val="18"/>
                <w:szCs w:val="18"/>
                <w:lang w:val="zh-CN"/>
              </w:rPr>
              <w:t xml:space="preserve">.1 </w:t>
            </w:r>
            <w:r>
              <w:rPr>
                <w:rFonts w:hint="eastAsia" w:ascii="仿宋" w:hAnsi="仿宋" w:eastAsia="仿宋"/>
                <w:sz w:val="18"/>
                <w:szCs w:val="18"/>
                <w:lang w:val="en-US" w:eastAsia="zh-CN"/>
              </w:rPr>
              <w:t>国际化发展战略</w:t>
            </w:r>
          </w:p>
        </w:tc>
        <w:tc>
          <w:tcPr>
            <w:tcW w:w="3685" w:type="dxa"/>
            <w:vMerge w:val="restart"/>
            <w:vAlign w:val="center"/>
          </w:tcPr>
          <w:p w14:paraId="49D4C30C">
            <w:pPr>
              <w:rPr>
                <w:rFonts w:ascii="仿宋" w:hAnsi="仿宋" w:eastAsia="仿宋"/>
                <w:sz w:val="18"/>
                <w:szCs w:val="18"/>
                <w:lang w:val="zh-CN"/>
              </w:rPr>
            </w:pPr>
            <w:r>
              <w:rPr>
                <w:rFonts w:hint="eastAsia" w:ascii="仿宋" w:hAnsi="仿宋" w:eastAsia="仿宋"/>
                <w:sz w:val="18"/>
                <w:szCs w:val="18"/>
                <w:lang w:val="zh-CN"/>
              </w:rPr>
              <w:t>了解中国石油企业的国际化发展战略，充分利用好国内、国外两个市场；明确中国石油企业实施自主创新战略的重要性，提高我国石油行业的国际竞争力；理解中国石油企业的“竞合”战略，做到竞争有度、合作共赢。</w:t>
            </w:r>
          </w:p>
        </w:tc>
        <w:tc>
          <w:tcPr>
            <w:tcW w:w="397" w:type="dxa"/>
            <w:vMerge w:val="restart"/>
            <w:vAlign w:val="center"/>
          </w:tcPr>
          <w:p w14:paraId="2916D011">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restart"/>
            <w:vAlign w:val="center"/>
          </w:tcPr>
          <w:p w14:paraId="3E1F1DB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478889F1">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tc>
      </w:tr>
      <w:tr w14:paraId="0417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530" w:type="dxa"/>
            <w:vMerge w:val="continue"/>
            <w:vAlign w:val="center"/>
          </w:tcPr>
          <w:p w14:paraId="0776B50E">
            <w:pPr>
              <w:jc w:val="center"/>
              <w:rPr>
                <w:rFonts w:hint="eastAsia" w:ascii="仿宋" w:hAnsi="仿宋" w:eastAsia="仿宋"/>
                <w:sz w:val="18"/>
                <w:szCs w:val="18"/>
                <w:lang w:val="en-US" w:eastAsia="zh-CN"/>
              </w:rPr>
            </w:pPr>
          </w:p>
        </w:tc>
        <w:tc>
          <w:tcPr>
            <w:tcW w:w="1531" w:type="dxa"/>
            <w:vAlign w:val="center"/>
          </w:tcPr>
          <w:p w14:paraId="7E5A433C">
            <w:pPr>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6</w:t>
            </w:r>
            <w:r>
              <w:rPr>
                <w:rFonts w:hint="eastAsia" w:ascii="仿宋" w:hAnsi="仿宋" w:eastAsia="仿宋"/>
                <w:sz w:val="18"/>
                <w:szCs w:val="18"/>
                <w:lang w:val="zh-CN"/>
              </w:rPr>
              <w:t xml:space="preserve">.2 </w:t>
            </w:r>
            <w:r>
              <w:rPr>
                <w:rFonts w:hint="eastAsia" w:ascii="仿宋" w:hAnsi="仿宋" w:eastAsia="仿宋"/>
                <w:sz w:val="18"/>
                <w:szCs w:val="18"/>
                <w:lang w:val="en-US" w:eastAsia="zh-CN"/>
              </w:rPr>
              <w:t>自主创新战略</w:t>
            </w:r>
          </w:p>
        </w:tc>
        <w:tc>
          <w:tcPr>
            <w:tcW w:w="3685" w:type="dxa"/>
            <w:vMerge w:val="continue"/>
            <w:vAlign w:val="center"/>
          </w:tcPr>
          <w:p w14:paraId="0F5541B8">
            <w:pPr>
              <w:jc w:val="center"/>
              <w:rPr>
                <w:rFonts w:hint="eastAsia" w:ascii="仿宋" w:hAnsi="仿宋" w:eastAsia="仿宋"/>
                <w:sz w:val="18"/>
                <w:szCs w:val="18"/>
                <w:lang w:val="en-US" w:eastAsia="zh-CN"/>
              </w:rPr>
            </w:pPr>
          </w:p>
        </w:tc>
        <w:tc>
          <w:tcPr>
            <w:tcW w:w="397" w:type="dxa"/>
            <w:vMerge w:val="continue"/>
            <w:vAlign w:val="center"/>
          </w:tcPr>
          <w:p w14:paraId="6B181C73">
            <w:pPr>
              <w:jc w:val="center"/>
              <w:rPr>
                <w:rFonts w:hint="eastAsia" w:ascii="仿宋" w:hAnsi="仿宋" w:eastAsia="仿宋"/>
                <w:sz w:val="18"/>
                <w:szCs w:val="18"/>
                <w:lang w:val="en-US" w:eastAsia="zh-CN"/>
              </w:rPr>
            </w:pPr>
          </w:p>
        </w:tc>
        <w:tc>
          <w:tcPr>
            <w:tcW w:w="1134" w:type="dxa"/>
            <w:vMerge w:val="continue"/>
            <w:vAlign w:val="center"/>
          </w:tcPr>
          <w:p w14:paraId="129DB9D3">
            <w:pPr>
              <w:jc w:val="center"/>
              <w:rPr>
                <w:rFonts w:hint="eastAsia" w:ascii="仿宋" w:hAnsi="仿宋" w:eastAsia="仿宋"/>
                <w:sz w:val="18"/>
                <w:szCs w:val="18"/>
                <w:lang w:val="en-US" w:eastAsia="zh-CN"/>
              </w:rPr>
            </w:pPr>
          </w:p>
        </w:tc>
      </w:tr>
      <w:tr w14:paraId="12F1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530" w:type="dxa"/>
            <w:vMerge w:val="continue"/>
            <w:vAlign w:val="center"/>
          </w:tcPr>
          <w:p w14:paraId="598D5F35">
            <w:pPr>
              <w:jc w:val="center"/>
              <w:rPr>
                <w:rFonts w:hint="eastAsia" w:ascii="仿宋" w:hAnsi="仿宋" w:eastAsia="仿宋"/>
                <w:sz w:val="18"/>
                <w:szCs w:val="18"/>
                <w:lang w:val="en-US" w:eastAsia="zh-CN"/>
              </w:rPr>
            </w:pPr>
          </w:p>
        </w:tc>
        <w:tc>
          <w:tcPr>
            <w:tcW w:w="1531" w:type="dxa"/>
            <w:vAlign w:val="center"/>
          </w:tcPr>
          <w:p w14:paraId="53978D71">
            <w:pPr>
              <w:rPr>
                <w:rFonts w:hint="default" w:ascii="仿宋" w:hAnsi="仿宋" w:eastAsia="仿宋" w:cstheme="minorBidi"/>
                <w:kern w:val="2"/>
                <w:sz w:val="18"/>
                <w:szCs w:val="18"/>
                <w:lang w:val="en-US" w:eastAsia="zh-CN" w:bidi="ar-SA"/>
              </w:rPr>
            </w:pPr>
            <w:r>
              <w:rPr>
                <w:rFonts w:hint="eastAsia" w:ascii="仿宋" w:hAnsi="仿宋" w:eastAsia="仿宋"/>
                <w:sz w:val="18"/>
                <w:szCs w:val="18"/>
                <w:lang w:val="en-US" w:eastAsia="zh-CN"/>
              </w:rPr>
              <w:t>6</w:t>
            </w:r>
            <w:r>
              <w:rPr>
                <w:rFonts w:hint="eastAsia" w:ascii="仿宋" w:hAnsi="仿宋" w:eastAsia="仿宋"/>
                <w:sz w:val="18"/>
                <w:szCs w:val="18"/>
                <w:lang w:val="zh-CN"/>
              </w:rPr>
              <w:t>.</w:t>
            </w:r>
            <w:r>
              <w:rPr>
                <w:rFonts w:hint="eastAsia" w:ascii="仿宋" w:hAnsi="仿宋" w:eastAsia="仿宋"/>
                <w:sz w:val="18"/>
                <w:szCs w:val="18"/>
                <w:lang w:val="en-US" w:eastAsia="zh-CN"/>
              </w:rPr>
              <w:t>3</w:t>
            </w:r>
            <w:r>
              <w:rPr>
                <w:rFonts w:hint="eastAsia" w:ascii="仿宋" w:hAnsi="仿宋" w:eastAsia="仿宋"/>
                <w:sz w:val="18"/>
                <w:szCs w:val="18"/>
                <w:lang w:val="zh-CN"/>
              </w:rPr>
              <w:t xml:space="preserve"> </w:t>
            </w:r>
            <w:r>
              <w:rPr>
                <w:rFonts w:hint="eastAsia" w:ascii="仿宋" w:hAnsi="仿宋" w:eastAsia="仿宋"/>
                <w:sz w:val="18"/>
                <w:szCs w:val="18"/>
                <w:lang w:val="en-US" w:eastAsia="zh-CN"/>
              </w:rPr>
              <w:t>现代“竞合”战略</w:t>
            </w:r>
          </w:p>
        </w:tc>
        <w:tc>
          <w:tcPr>
            <w:tcW w:w="3685" w:type="dxa"/>
            <w:vMerge w:val="continue"/>
            <w:vAlign w:val="center"/>
          </w:tcPr>
          <w:p w14:paraId="24386C04">
            <w:pPr>
              <w:jc w:val="center"/>
              <w:rPr>
                <w:rFonts w:hint="eastAsia" w:ascii="仿宋" w:hAnsi="仿宋" w:eastAsia="仿宋"/>
                <w:sz w:val="18"/>
                <w:szCs w:val="18"/>
                <w:lang w:val="en-US" w:eastAsia="zh-CN"/>
              </w:rPr>
            </w:pPr>
          </w:p>
        </w:tc>
        <w:tc>
          <w:tcPr>
            <w:tcW w:w="397" w:type="dxa"/>
            <w:vMerge w:val="continue"/>
            <w:vAlign w:val="center"/>
          </w:tcPr>
          <w:p w14:paraId="430FCDD4">
            <w:pPr>
              <w:jc w:val="center"/>
              <w:rPr>
                <w:rFonts w:hint="eastAsia" w:ascii="仿宋" w:hAnsi="仿宋" w:eastAsia="仿宋"/>
                <w:sz w:val="18"/>
                <w:szCs w:val="18"/>
                <w:lang w:val="en-US" w:eastAsia="zh-CN"/>
              </w:rPr>
            </w:pPr>
          </w:p>
        </w:tc>
        <w:tc>
          <w:tcPr>
            <w:tcW w:w="1134" w:type="dxa"/>
            <w:vMerge w:val="continue"/>
            <w:vAlign w:val="center"/>
          </w:tcPr>
          <w:p w14:paraId="4F41449D">
            <w:pPr>
              <w:jc w:val="center"/>
              <w:rPr>
                <w:rFonts w:hint="eastAsia" w:ascii="仿宋" w:hAnsi="仿宋" w:eastAsia="仿宋"/>
                <w:sz w:val="18"/>
                <w:szCs w:val="18"/>
                <w:lang w:val="en-US" w:eastAsia="zh-CN"/>
              </w:rPr>
            </w:pPr>
          </w:p>
        </w:tc>
      </w:tr>
      <w:tr w14:paraId="10D63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530" w:type="dxa"/>
            <w:vMerge w:val="restart"/>
            <w:vAlign w:val="center"/>
          </w:tcPr>
          <w:p w14:paraId="221B9282">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第七章 石油工程伦理</w:t>
            </w:r>
          </w:p>
        </w:tc>
        <w:tc>
          <w:tcPr>
            <w:tcW w:w="1531" w:type="dxa"/>
            <w:vAlign w:val="center"/>
          </w:tcPr>
          <w:p w14:paraId="62C71587">
            <w:pPr>
              <w:rPr>
                <w:rFonts w:hint="eastAsia" w:ascii="仿宋" w:hAnsi="仿宋" w:eastAsia="仿宋"/>
                <w:sz w:val="18"/>
                <w:szCs w:val="18"/>
                <w:lang w:val="en-US" w:eastAsia="zh-CN"/>
              </w:rPr>
            </w:pPr>
            <w:r>
              <w:rPr>
                <w:rFonts w:hint="eastAsia" w:ascii="仿宋" w:hAnsi="仿宋" w:eastAsia="仿宋"/>
                <w:sz w:val="18"/>
                <w:szCs w:val="18"/>
                <w:lang w:val="en-US" w:eastAsia="zh-CN"/>
              </w:rPr>
              <w:t>7</w:t>
            </w:r>
            <w:r>
              <w:rPr>
                <w:rFonts w:hint="eastAsia" w:ascii="仿宋" w:hAnsi="仿宋" w:eastAsia="仿宋"/>
                <w:sz w:val="18"/>
                <w:szCs w:val="18"/>
                <w:lang w:val="zh-CN"/>
              </w:rPr>
              <w:t xml:space="preserve">.1 </w:t>
            </w:r>
            <w:r>
              <w:rPr>
                <w:rFonts w:hint="eastAsia" w:ascii="仿宋" w:hAnsi="仿宋" w:eastAsia="仿宋"/>
                <w:sz w:val="18"/>
                <w:szCs w:val="18"/>
                <w:lang w:val="en-US" w:eastAsia="zh-CN"/>
              </w:rPr>
              <w:t>石油工程的伦理意蕴</w:t>
            </w:r>
          </w:p>
        </w:tc>
        <w:tc>
          <w:tcPr>
            <w:tcW w:w="3685" w:type="dxa"/>
            <w:vMerge w:val="restart"/>
            <w:vAlign w:val="center"/>
          </w:tcPr>
          <w:p w14:paraId="2CF0C538">
            <w:pPr>
              <w:rPr>
                <w:rFonts w:hint="eastAsia" w:ascii="仿宋" w:hAnsi="仿宋" w:eastAsia="仿宋"/>
                <w:sz w:val="18"/>
                <w:szCs w:val="18"/>
                <w:lang w:val="en-US" w:eastAsia="zh-CN"/>
              </w:rPr>
            </w:pPr>
            <w:r>
              <w:rPr>
                <w:rFonts w:hint="eastAsia" w:ascii="仿宋" w:hAnsi="仿宋" w:eastAsia="仿宋"/>
                <w:sz w:val="18"/>
                <w:szCs w:val="18"/>
                <w:lang w:val="zh-CN"/>
              </w:rPr>
              <w:t>从伦理的角度探讨中国石油文化，从微观层面谈石油工程伦理，关注履行责任的主体—一“石油工程师”，围绕“为什么石油工程要具有伦理视野”“石油工程中存在着哪几层伦理维度”“石油工程师如何履行责任”三个问题展开，</w:t>
            </w:r>
            <w:r>
              <w:rPr>
                <w:rFonts w:hint="eastAsia" w:ascii="仿宋" w:hAnsi="仿宋" w:eastAsia="仿宋"/>
                <w:sz w:val="18"/>
                <w:szCs w:val="18"/>
                <w:lang w:val="en-US" w:eastAsia="zh-CN"/>
              </w:rPr>
              <w:t>从而</w:t>
            </w:r>
            <w:r>
              <w:rPr>
                <w:rFonts w:hint="eastAsia" w:ascii="仿宋" w:hAnsi="仿宋" w:eastAsia="仿宋"/>
                <w:sz w:val="18"/>
                <w:szCs w:val="18"/>
                <w:lang w:val="zh-CN"/>
              </w:rPr>
              <w:t>培养石油工程伦理意识，树立合理的工程伦理价值观。</w:t>
            </w:r>
          </w:p>
        </w:tc>
        <w:tc>
          <w:tcPr>
            <w:tcW w:w="397" w:type="dxa"/>
            <w:vMerge w:val="restart"/>
            <w:vAlign w:val="center"/>
          </w:tcPr>
          <w:p w14:paraId="3BCDC472">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restart"/>
            <w:vAlign w:val="center"/>
          </w:tcPr>
          <w:p w14:paraId="49C2125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5B0FCE18">
            <w:pPr>
              <w:jc w:val="left"/>
              <w:rPr>
                <w:rFonts w:hint="eastAsia" w:ascii="仿宋" w:hAnsi="仿宋" w:eastAsia="仿宋"/>
                <w:sz w:val="18"/>
                <w:szCs w:val="18"/>
                <w:lang w:val="en-US" w:eastAsia="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51A0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530" w:type="dxa"/>
            <w:vMerge w:val="continue"/>
            <w:vAlign w:val="center"/>
          </w:tcPr>
          <w:p w14:paraId="2D1C8DC4">
            <w:pPr>
              <w:jc w:val="center"/>
              <w:rPr>
                <w:rFonts w:hint="eastAsia" w:ascii="仿宋" w:hAnsi="仿宋" w:eastAsia="仿宋"/>
                <w:sz w:val="18"/>
                <w:szCs w:val="18"/>
                <w:lang w:val="en-US" w:eastAsia="zh-CN"/>
              </w:rPr>
            </w:pPr>
          </w:p>
        </w:tc>
        <w:tc>
          <w:tcPr>
            <w:tcW w:w="1531" w:type="dxa"/>
            <w:vAlign w:val="center"/>
          </w:tcPr>
          <w:p w14:paraId="37713AE7">
            <w:pPr>
              <w:rPr>
                <w:rFonts w:hint="eastAsia" w:ascii="仿宋" w:hAnsi="仿宋" w:eastAsia="仿宋"/>
                <w:sz w:val="18"/>
                <w:szCs w:val="18"/>
                <w:lang w:val="en-US" w:eastAsia="zh-CN"/>
              </w:rPr>
            </w:pPr>
            <w:r>
              <w:rPr>
                <w:rFonts w:hint="eastAsia" w:ascii="仿宋" w:hAnsi="仿宋" w:eastAsia="仿宋"/>
                <w:sz w:val="18"/>
                <w:szCs w:val="18"/>
                <w:lang w:val="en-US" w:eastAsia="zh-CN"/>
              </w:rPr>
              <w:t>7</w:t>
            </w:r>
            <w:r>
              <w:rPr>
                <w:rFonts w:hint="eastAsia" w:ascii="仿宋" w:hAnsi="仿宋" w:eastAsia="仿宋"/>
                <w:sz w:val="18"/>
                <w:szCs w:val="18"/>
                <w:lang w:val="zh-CN"/>
              </w:rPr>
              <w:t xml:space="preserve">.2 </w:t>
            </w:r>
            <w:r>
              <w:rPr>
                <w:rFonts w:hint="eastAsia" w:ascii="仿宋" w:hAnsi="仿宋" w:eastAsia="仿宋"/>
                <w:sz w:val="18"/>
                <w:szCs w:val="18"/>
                <w:lang w:val="en-US" w:eastAsia="zh-CN"/>
              </w:rPr>
              <w:t>石油工程伦理的三重维度</w:t>
            </w:r>
          </w:p>
        </w:tc>
        <w:tc>
          <w:tcPr>
            <w:tcW w:w="3685" w:type="dxa"/>
            <w:vMerge w:val="continue"/>
            <w:vAlign w:val="center"/>
          </w:tcPr>
          <w:p w14:paraId="3BA38171">
            <w:pPr>
              <w:jc w:val="center"/>
              <w:rPr>
                <w:rFonts w:hint="eastAsia" w:ascii="仿宋" w:hAnsi="仿宋" w:eastAsia="仿宋"/>
                <w:sz w:val="18"/>
                <w:szCs w:val="18"/>
                <w:lang w:val="en-US" w:eastAsia="zh-CN"/>
              </w:rPr>
            </w:pPr>
          </w:p>
        </w:tc>
        <w:tc>
          <w:tcPr>
            <w:tcW w:w="397" w:type="dxa"/>
            <w:vMerge w:val="continue"/>
            <w:vAlign w:val="center"/>
          </w:tcPr>
          <w:p w14:paraId="64FAB286">
            <w:pPr>
              <w:jc w:val="center"/>
              <w:rPr>
                <w:rFonts w:hint="eastAsia" w:ascii="仿宋" w:hAnsi="仿宋" w:eastAsia="仿宋"/>
                <w:sz w:val="18"/>
                <w:szCs w:val="18"/>
                <w:lang w:val="en-US" w:eastAsia="zh-CN"/>
              </w:rPr>
            </w:pPr>
          </w:p>
        </w:tc>
        <w:tc>
          <w:tcPr>
            <w:tcW w:w="1134" w:type="dxa"/>
            <w:vMerge w:val="continue"/>
            <w:vAlign w:val="center"/>
          </w:tcPr>
          <w:p w14:paraId="6D6383C7">
            <w:pPr>
              <w:jc w:val="center"/>
              <w:rPr>
                <w:rFonts w:hint="eastAsia" w:ascii="仿宋" w:hAnsi="仿宋" w:eastAsia="仿宋"/>
                <w:sz w:val="18"/>
                <w:szCs w:val="18"/>
                <w:lang w:val="en-US" w:eastAsia="zh-CN"/>
              </w:rPr>
            </w:pPr>
          </w:p>
        </w:tc>
      </w:tr>
      <w:tr w14:paraId="6E59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530" w:type="dxa"/>
            <w:vMerge w:val="continue"/>
            <w:vAlign w:val="center"/>
          </w:tcPr>
          <w:p w14:paraId="094FE4B6">
            <w:pPr>
              <w:jc w:val="center"/>
              <w:rPr>
                <w:rFonts w:hint="eastAsia" w:ascii="仿宋" w:hAnsi="仿宋" w:eastAsia="仿宋"/>
                <w:sz w:val="18"/>
                <w:szCs w:val="18"/>
                <w:lang w:val="en-US" w:eastAsia="zh-CN"/>
              </w:rPr>
            </w:pPr>
          </w:p>
        </w:tc>
        <w:tc>
          <w:tcPr>
            <w:tcW w:w="1531" w:type="dxa"/>
            <w:vAlign w:val="center"/>
          </w:tcPr>
          <w:p w14:paraId="23EFFB61">
            <w:pPr>
              <w:rPr>
                <w:rFonts w:hint="eastAsia" w:ascii="仿宋" w:hAnsi="仿宋" w:eastAsia="仿宋"/>
                <w:sz w:val="18"/>
                <w:szCs w:val="18"/>
                <w:lang w:val="en-US" w:eastAsia="zh-CN"/>
              </w:rPr>
            </w:pPr>
            <w:r>
              <w:rPr>
                <w:rFonts w:hint="eastAsia" w:ascii="仿宋" w:hAnsi="仿宋" w:eastAsia="仿宋"/>
                <w:sz w:val="18"/>
                <w:szCs w:val="18"/>
                <w:lang w:val="en-US" w:eastAsia="zh-CN"/>
              </w:rPr>
              <w:t>7</w:t>
            </w:r>
            <w:r>
              <w:rPr>
                <w:rFonts w:hint="eastAsia" w:ascii="仿宋" w:hAnsi="仿宋" w:eastAsia="仿宋"/>
                <w:sz w:val="18"/>
                <w:szCs w:val="18"/>
                <w:lang w:val="zh-CN"/>
              </w:rPr>
              <w:t>.</w:t>
            </w:r>
            <w:r>
              <w:rPr>
                <w:rFonts w:hint="eastAsia" w:ascii="仿宋" w:hAnsi="仿宋" w:eastAsia="仿宋"/>
                <w:sz w:val="18"/>
                <w:szCs w:val="18"/>
                <w:lang w:val="en-US" w:eastAsia="zh-CN"/>
              </w:rPr>
              <w:t>3</w:t>
            </w:r>
            <w:r>
              <w:rPr>
                <w:rFonts w:hint="eastAsia" w:ascii="仿宋" w:hAnsi="仿宋" w:eastAsia="仿宋"/>
                <w:sz w:val="18"/>
                <w:szCs w:val="18"/>
                <w:lang w:val="zh-CN"/>
              </w:rPr>
              <w:t xml:space="preserve"> </w:t>
            </w:r>
            <w:r>
              <w:rPr>
                <w:rFonts w:hint="eastAsia" w:ascii="仿宋" w:hAnsi="仿宋" w:eastAsia="仿宋"/>
                <w:sz w:val="18"/>
                <w:szCs w:val="18"/>
                <w:lang w:val="en-US" w:eastAsia="zh-CN"/>
              </w:rPr>
              <w:t>石油工程师履行的责任</w:t>
            </w:r>
          </w:p>
        </w:tc>
        <w:tc>
          <w:tcPr>
            <w:tcW w:w="3685" w:type="dxa"/>
            <w:vMerge w:val="continue"/>
            <w:vAlign w:val="center"/>
          </w:tcPr>
          <w:p w14:paraId="75BEC860">
            <w:pPr>
              <w:jc w:val="center"/>
              <w:rPr>
                <w:rFonts w:hint="eastAsia" w:ascii="仿宋" w:hAnsi="仿宋" w:eastAsia="仿宋"/>
                <w:sz w:val="18"/>
                <w:szCs w:val="18"/>
                <w:lang w:val="en-US" w:eastAsia="zh-CN"/>
              </w:rPr>
            </w:pPr>
          </w:p>
        </w:tc>
        <w:tc>
          <w:tcPr>
            <w:tcW w:w="397" w:type="dxa"/>
            <w:vMerge w:val="continue"/>
            <w:vAlign w:val="center"/>
          </w:tcPr>
          <w:p w14:paraId="00B78DD4">
            <w:pPr>
              <w:jc w:val="center"/>
              <w:rPr>
                <w:rFonts w:hint="eastAsia" w:ascii="仿宋" w:hAnsi="仿宋" w:eastAsia="仿宋"/>
                <w:sz w:val="18"/>
                <w:szCs w:val="18"/>
                <w:lang w:val="en-US" w:eastAsia="zh-CN"/>
              </w:rPr>
            </w:pPr>
          </w:p>
        </w:tc>
        <w:tc>
          <w:tcPr>
            <w:tcW w:w="1134" w:type="dxa"/>
            <w:vMerge w:val="continue"/>
            <w:vAlign w:val="center"/>
          </w:tcPr>
          <w:p w14:paraId="398790A6">
            <w:pPr>
              <w:jc w:val="center"/>
              <w:rPr>
                <w:rFonts w:hint="eastAsia" w:ascii="仿宋" w:hAnsi="仿宋" w:eastAsia="仿宋"/>
                <w:sz w:val="18"/>
                <w:szCs w:val="18"/>
                <w:lang w:val="en-US" w:eastAsia="zh-CN"/>
              </w:rPr>
            </w:pPr>
          </w:p>
        </w:tc>
      </w:tr>
      <w:tr w14:paraId="4AB47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Align w:val="center"/>
          </w:tcPr>
          <w:p w14:paraId="79A54199">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考试单元</w:t>
            </w:r>
          </w:p>
        </w:tc>
        <w:tc>
          <w:tcPr>
            <w:tcW w:w="1531" w:type="dxa"/>
            <w:vAlign w:val="center"/>
          </w:tcPr>
          <w:p w14:paraId="7DA3274D">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期末综合</w:t>
            </w:r>
          </w:p>
          <w:p w14:paraId="3B7C8CBD">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考核与总结</w:t>
            </w:r>
          </w:p>
        </w:tc>
        <w:tc>
          <w:tcPr>
            <w:tcW w:w="3685" w:type="dxa"/>
            <w:vAlign w:val="center"/>
          </w:tcPr>
          <w:p w14:paraId="0809B18D">
            <w:pPr>
              <w:rPr>
                <w:rFonts w:hint="default" w:ascii="仿宋" w:hAnsi="仿宋" w:eastAsia="仿宋"/>
                <w:sz w:val="18"/>
                <w:szCs w:val="18"/>
                <w:lang w:val="en-US" w:eastAsia="zh-CN"/>
              </w:rPr>
            </w:pPr>
            <w:r>
              <w:rPr>
                <w:rFonts w:hint="eastAsia" w:ascii="仿宋" w:hAnsi="仿宋" w:eastAsia="仿宋"/>
                <w:sz w:val="18"/>
                <w:szCs w:val="18"/>
                <w:lang w:val="en-US" w:eastAsia="zh-CN"/>
              </w:rPr>
              <w:t>学生基于课堂讲授，建构个人知识体系，在一定输入的基础上有效输出，形成个人独立的思考，并且学习如何清晰、凝练地表达个人的观点，提升语言表达能力，锻炼批判性思维能力。</w:t>
            </w:r>
          </w:p>
        </w:tc>
        <w:tc>
          <w:tcPr>
            <w:tcW w:w="397" w:type="dxa"/>
            <w:vAlign w:val="center"/>
          </w:tcPr>
          <w:p w14:paraId="0F097F54">
            <w:pPr>
              <w:jc w:val="center"/>
              <w:rPr>
                <w:rFonts w:hint="default" w:ascii="仿宋" w:hAnsi="仿宋" w:eastAsia="仿宋" w:cstheme="minorBidi"/>
                <w:kern w:val="2"/>
                <w:sz w:val="18"/>
                <w:szCs w:val="18"/>
                <w:lang w:val="en-US" w:eastAsia="zh-CN" w:bidi="ar-SA"/>
              </w:rPr>
            </w:pPr>
            <w:r>
              <w:rPr>
                <w:rFonts w:hint="eastAsia" w:ascii="仿宋" w:hAnsi="仿宋" w:eastAsia="仿宋" w:cstheme="minorBidi"/>
                <w:kern w:val="2"/>
                <w:sz w:val="18"/>
                <w:szCs w:val="18"/>
                <w:lang w:val="en-US" w:eastAsia="zh-CN" w:bidi="ar-SA"/>
              </w:rPr>
              <w:t>3</w:t>
            </w:r>
          </w:p>
        </w:tc>
        <w:tc>
          <w:tcPr>
            <w:tcW w:w="1134" w:type="dxa"/>
            <w:vAlign w:val="center"/>
          </w:tcPr>
          <w:p w14:paraId="2BFC62A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327682DF">
            <w:pPr>
              <w:rPr>
                <w:rFonts w:ascii="仿宋" w:hAnsi="仿宋" w:eastAsia="仿宋" w:cstheme="minorBidi"/>
                <w:kern w:val="2"/>
                <w:sz w:val="18"/>
                <w:szCs w:val="18"/>
                <w:lang w:val="zh-CN" w:eastAsia="zh-CN" w:bidi="ar-SA"/>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bl>
    <w:p w14:paraId="40E4B554">
      <w:pPr>
        <w:ind w:firstLine="360" w:firstLineChars="200"/>
        <w:rPr>
          <w:rFonts w:ascii="仿宋" w:hAnsi="仿宋" w:eastAsia="仿宋"/>
          <w:sz w:val="18"/>
          <w:szCs w:val="18"/>
          <w:lang w:val="zh-CN"/>
        </w:rPr>
      </w:pPr>
      <w:r>
        <w:rPr>
          <w:rFonts w:hint="eastAsia" w:ascii="仿宋" w:hAnsi="仿宋" w:eastAsia="仿宋"/>
          <w:sz w:val="18"/>
          <w:szCs w:val="18"/>
          <w:lang w:val="zh-CN"/>
        </w:rPr>
        <w:t>注：在“学习要求”一栏补充选项，</w:t>
      </w:r>
      <w:r>
        <w:rPr>
          <w:rFonts w:ascii="仿宋" w:hAnsi="仿宋" w:eastAsia="仿宋"/>
          <w:sz w:val="18"/>
          <w:szCs w:val="18"/>
          <w:lang w:val="zh-CN"/>
        </w:rPr>
        <w:t>可以多选</w:t>
      </w:r>
      <w:r>
        <w:rPr>
          <w:rFonts w:hint="eastAsia" w:ascii="仿宋" w:hAnsi="仿宋" w:eastAsia="仿宋"/>
          <w:sz w:val="18"/>
          <w:szCs w:val="18"/>
          <w:lang w:val="zh-CN"/>
        </w:rPr>
        <w:t>，无要求可不填，</w:t>
      </w:r>
      <w:r>
        <w:rPr>
          <w:rFonts w:ascii="仿宋" w:hAnsi="仿宋" w:eastAsia="仿宋"/>
          <w:sz w:val="18"/>
          <w:szCs w:val="18"/>
          <w:lang w:val="zh-CN"/>
        </w:rPr>
        <w:t>也可自定要求</w:t>
      </w:r>
      <w:r>
        <w:rPr>
          <w:rFonts w:hint="eastAsia" w:ascii="仿宋" w:hAnsi="仿宋" w:eastAsia="仿宋"/>
          <w:sz w:val="18"/>
          <w:szCs w:val="18"/>
          <w:lang w:val="zh-CN"/>
        </w:rPr>
        <w:t>。</w:t>
      </w:r>
      <w:r>
        <w:rPr>
          <w:rFonts w:hint="eastAsia" w:ascii="仿宋" w:hAnsi="仿宋" w:eastAsia="仿宋"/>
          <w:b/>
          <w:sz w:val="18"/>
          <w:szCs w:val="18"/>
          <w:lang w:val="zh-CN"/>
        </w:rPr>
        <w:t>记忆，</w:t>
      </w:r>
      <w:r>
        <w:rPr>
          <w:rFonts w:hint="eastAsia" w:ascii="仿宋" w:hAnsi="仿宋" w:eastAsia="仿宋"/>
          <w:sz w:val="18"/>
          <w:szCs w:val="18"/>
          <w:lang w:val="zh-CN"/>
        </w:rPr>
        <w:t>指能从记忆库中找到相关的知识、概念、术语或材料与当前的信息进行比较、确认，能记住并能不加理解的列出、描述这些知识、概念、术语或材料；</w:t>
      </w:r>
      <w:r>
        <w:rPr>
          <w:rFonts w:hint="eastAsia" w:ascii="仿宋" w:hAnsi="仿宋" w:eastAsia="仿宋"/>
          <w:b/>
          <w:sz w:val="18"/>
          <w:szCs w:val="18"/>
          <w:lang w:val="zh-CN"/>
        </w:rPr>
        <w:t>理解，</w:t>
      </w:r>
      <w:r>
        <w:rPr>
          <w:rFonts w:hint="eastAsia" w:ascii="仿宋" w:hAnsi="仿宋" w:eastAsia="仿宋"/>
          <w:sz w:val="18"/>
          <w:szCs w:val="18"/>
          <w:lang w:val="zh-CN"/>
        </w:rPr>
        <w:t>指能对所学的内容作归纳、分类、解释、总结、推断和一定程度的发挥；</w:t>
      </w:r>
      <w:r>
        <w:rPr>
          <w:rFonts w:hint="eastAsia" w:ascii="仿宋" w:hAnsi="仿宋" w:eastAsia="仿宋"/>
          <w:b/>
          <w:sz w:val="18"/>
          <w:szCs w:val="18"/>
          <w:lang w:val="zh-CN"/>
        </w:rPr>
        <w:t>应用，</w:t>
      </w:r>
      <w:r>
        <w:rPr>
          <w:rFonts w:hint="eastAsia" w:ascii="仿宋" w:hAnsi="仿宋" w:eastAsia="仿宋"/>
          <w:sz w:val="18"/>
          <w:szCs w:val="18"/>
          <w:lang w:val="zh-CN"/>
        </w:rPr>
        <w:t>指能选择正确的程序应用、实施所学到的内容，并能进行必要的计算或决断；</w:t>
      </w:r>
      <w:r>
        <w:rPr>
          <w:rFonts w:hint="eastAsia" w:ascii="仿宋" w:hAnsi="仿宋" w:eastAsia="仿宋"/>
          <w:b/>
          <w:sz w:val="18"/>
          <w:szCs w:val="18"/>
          <w:lang w:val="zh-CN"/>
        </w:rPr>
        <w:t>综合分析，</w:t>
      </w:r>
      <w:r>
        <w:rPr>
          <w:rFonts w:hint="eastAsia" w:ascii="仿宋" w:hAnsi="仿宋" w:eastAsia="仿宋"/>
          <w:sz w:val="18"/>
          <w:szCs w:val="18"/>
          <w:lang w:val="zh-CN"/>
        </w:rPr>
        <w:t>指能将所学的内容分解并找出它们的相互关系和构成，或能计划、创造、建造、有改变的重构，或能作评论、总结、估计、预测、评估、论证和答辩。</w:t>
      </w:r>
    </w:p>
    <w:p w14:paraId="1A9B8972">
      <w:pPr>
        <w:rPr>
          <w:rFonts w:ascii="黑体" w:hAnsi="黑体" w:eastAsia="黑体"/>
          <w:szCs w:val="21"/>
          <w:lang w:val="en-GB"/>
        </w:rPr>
      </w:pPr>
      <w:r>
        <w:rPr>
          <w:rFonts w:hint="eastAsia" w:ascii="黑体" w:hAnsi="黑体" w:eastAsia="黑体"/>
          <w:szCs w:val="21"/>
          <w:lang w:val="en-GB"/>
        </w:rPr>
        <w:t>五、教学方法</w:t>
      </w:r>
    </w:p>
    <w:p w14:paraId="3E686CE6">
      <w:pPr>
        <w:ind w:firstLine="420" w:firstLineChars="200"/>
        <w:rPr>
          <w:rFonts w:hint="default" w:ascii="仿宋" w:hAnsi="仿宋" w:eastAsia="仿宋"/>
          <w:szCs w:val="21"/>
          <w:lang w:val="en-US" w:eastAsia="zh-CN"/>
        </w:rPr>
      </w:pPr>
      <w:r>
        <w:rPr>
          <w:rFonts w:hint="eastAsia" w:ascii="仿宋" w:hAnsi="仿宋" w:eastAsia="仿宋"/>
          <w:szCs w:val="21"/>
        </w:rPr>
        <w:t>理论讲授法、案例教学法</w:t>
      </w:r>
      <w:r>
        <w:rPr>
          <w:rFonts w:hint="eastAsia" w:ascii="仿宋" w:hAnsi="仿宋" w:eastAsia="仿宋"/>
          <w:szCs w:val="21"/>
          <w:lang w:eastAsia="zh-CN"/>
        </w:rPr>
        <w:t>、</w:t>
      </w:r>
      <w:r>
        <w:rPr>
          <w:rFonts w:hint="eastAsia" w:ascii="仿宋" w:hAnsi="仿宋" w:eastAsia="仿宋"/>
          <w:szCs w:val="21"/>
          <w:lang w:val="en-US" w:eastAsia="zh-CN"/>
        </w:rPr>
        <w:t>头脑风暴教学法</w:t>
      </w:r>
    </w:p>
    <w:p w14:paraId="51F3CD5F">
      <w:pPr>
        <w:rPr>
          <w:rFonts w:ascii="黑体" w:hAnsi="黑体" w:eastAsia="黑体"/>
          <w:szCs w:val="21"/>
          <w:lang w:val="en-GB"/>
        </w:rPr>
      </w:pPr>
      <w:r>
        <w:rPr>
          <w:rFonts w:hint="eastAsia" w:ascii="黑体" w:hAnsi="黑体" w:eastAsia="黑体"/>
          <w:szCs w:val="21"/>
          <w:lang w:val="en-GB"/>
        </w:rPr>
        <w:t>六、考核方式</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048"/>
      </w:tblGrid>
      <w:tr w14:paraId="5CD61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45EDEDEF">
            <w:pPr>
              <w:rPr>
                <w:rFonts w:hint="eastAsia" w:ascii="仿宋" w:hAnsi="仿宋" w:eastAsia="仿宋"/>
                <w:szCs w:val="21"/>
              </w:rPr>
            </w:pPr>
            <w:r>
              <w:rPr>
                <w:rFonts w:hint="eastAsia" w:ascii="仿宋" w:hAnsi="仿宋" w:eastAsia="仿宋"/>
                <w:szCs w:val="21"/>
              </w:rPr>
              <w:t>是否排考</w:t>
            </w:r>
          </w:p>
        </w:tc>
        <w:tc>
          <w:tcPr>
            <w:tcW w:w="4048" w:type="dxa"/>
          </w:tcPr>
          <w:p w14:paraId="1A30FDCB">
            <w:pPr>
              <w:rPr>
                <w:rFonts w:hint="default" w:ascii="仿宋" w:hAnsi="仿宋" w:eastAsia="仿宋"/>
                <w:szCs w:val="21"/>
                <w:lang w:val="en-US" w:eastAsia="zh-CN"/>
              </w:rPr>
            </w:pPr>
            <w:r>
              <w:rPr>
                <w:rFonts w:hint="eastAsia" w:ascii="仿宋" w:hAnsi="仿宋" w:eastAsia="仿宋"/>
                <w:szCs w:val="21"/>
                <w:lang w:val="en-US" w:eastAsia="zh-CN"/>
              </w:rPr>
              <w:t>否</w:t>
            </w:r>
            <w:bookmarkStart w:id="8" w:name="_GoBack"/>
            <w:bookmarkEnd w:id="8"/>
          </w:p>
        </w:tc>
      </w:tr>
      <w:tr w14:paraId="00E5D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4CA4E624">
            <w:pPr>
              <w:rPr>
                <w:rFonts w:hint="eastAsia" w:ascii="仿宋" w:hAnsi="仿宋" w:eastAsia="仿宋"/>
                <w:szCs w:val="21"/>
              </w:rPr>
            </w:pPr>
            <w:r>
              <w:rPr>
                <w:rFonts w:hint="eastAsia" w:ascii="仿宋" w:hAnsi="仿宋" w:eastAsia="仿宋"/>
                <w:szCs w:val="21"/>
              </w:rPr>
              <w:t>考核形式</w:t>
            </w:r>
          </w:p>
        </w:tc>
        <w:tc>
          <w:tcPr>
            <w:tcW w:w="4048" w:type="dxa"/>
          </w:tcPr>
          <w:p w14:paraId="3EFB8054">
            <w:pPr>
              <w:rPr>
                <w:rFonts w:hint="eastAsia" w:ascii="仿宋" w:hAnsi="仿宋" w:eastAsia="仿宋"/>
                <w:szCs w:val="21"/>
                <w:lang w:eastAsia="zh-CN"/>
              </w:rPr>
            </w:pPr>
            <w:r>
              <w:rPr>
                <w:rFonts w:hint="eastAsia" w:ascii="仿宋" w:hAnsi="仿宋" w:eastAsia="仿宋"/>
                <w:szCs w:val="21"/>
                <w:lang w:val="en-US" w:eastAsia="zh-CN"/>
              </w:rPr>
              <w:t>论文</w:t>
            </w:r>
          </w:p>
        </w:tc>
      </w:tr>
      <w:tr w14:paraId="6569B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1E9EDD19">
            <w:pPr>
              <w:rPr>
                <w:rFonts w:hint="eastAsia" w:ascii="仿宋" w:hAnsi="仿宋" w:eastAsia="仿宋"/>
                <w:szCs w:val="21"/>
              </w:rPr>
            </w:pPr>
            <w:r>
              <w:rPr>
                <w:rFonts w:hint="eastAsia" w:ascii="仿宋" w:hAnsi="仿宋" w:eastAsia="仿宋"/>
                <w:szCs w:val="21"/>
              </w:rPr>
              <w:t>成绩评定方式</w:t>
            </w:r>
          </w:p>
        </w:tc>
        <w:tc>
          <w:tcPr>
            <w:tcW w:w="4048" w:type="dxa"/>
          </w:tcPr>
          <w:p w14:paraId="21BF08C4">
            <w:pPr>
              <w:rPr>
                <w:rFonts w:hint="eastAsia" w:ascii="仿宋" w:hAnsi="仿宋" w:eastAsia="仿宋"/>
                <w:szCs w:val="21"/>
              </w:rPr>
            </w:pPr>
            <w:r>
              <w:rPr>
                <w:rFonts w:hint="eastAsia" w:ascii="仿宋" w:hAnsi="仿宋" w:eastAsia="仿宋"/>
                <w:szCs w:val="21"/>
              </w:rPr>
              <w:t>百分制</w:t>
            </w:r>
          </w:p>
        </w:tc>
      </w:tr>
      <w:tr w14:paraId="4765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4632A7FB">
            <w:pPr>
              <w:rPr>
                <w:rFonts w:ascii="仿宋" w:hAnsi="仿宋" w:eastAsia="仿宋"/>
                <w:szCs w:val="21"/>
              </w:rPr>
            </w:pPr>
            <w:r>
              <w:rPr>
                <w:rFonts w:hint="eastAsia" w:ascii="仿宋" w:hAnsi="仿宋" w:eastAsia="仿宋"/>
                <w:szCs w:val="21"/>
              </w:rPr>
              <w:t>过程成绩/%</w:t>
            </w:r>
          </w:p>
        </w:tc>
        <w:tc>
          <w:tcPr>
            <w:tcW w:w="4048" w:type="dxa"/>
          </w:tcPr>
          <w:p w14:paraId="0DB29B5A">
            <w:pPr>
              <w:rPr>
                <w:rFonts w:hint="default" w:ascii="仿宋" w:hAnsi="仿宋" w:eastAsia="仿宋"/>
                <w:szCs w:val="21"/>
                <w:lang w:val="en-US" w:eastAsia="zh-CN"/>
              </w:rPr>
            </w:pPr>
            <w:r>
              <w:rPr>
                <w:rFonts w:hint="eastAsia" w:ascii="仿宋" w:hAnsi="仿宋" w:eastAsia="仿宋"/>
                <w:szCs w:val="21"/>
                <w:lang w:val="en-US" w:eastAsia="zh-CN"/>
              </w:rPr>
              <w:t>40</w:t>
            </w:r>
          </w:p>
        </w:tc>
      </w:tr>
      <w:tr w14:paraId="7503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1EC7DDEC">
            <w:pPr>
              <w:rPr>
                <w:rFonts w:ascii="仿宋" w:hAnsi="仿宋" w:eastAsia="仿宋"/>
                <w:szCs w:val="21"/>
              </w:rPr>
            </w:pPr>
            <w:r>
              <w:rPr>
                <w:rFonts w:hint="eastAsia" w:ascii="仿宋" w:hAnsi="仿宋" w:eastAsia="仿宋"/>
                <w:szCs w:val="21"/>
              </w:rPr>
              <w:t>实验成绩/%</w:t>
            </w:r>
          </w:p>
        </w:tc>
        <w:tc>
          <w:tcPr>
            <w:tcW w:w="4048" w:type="dxa"/>
          </w:tcPr>
          <w:p w14:paraId="5F0BE7DD">
            <w:pPr>
              <w:rPr>
                <w:rFonts w:hint="eastAsia" w:ascii="仿宋" w:hAnsi="仿宋" w:eastAsia="仿宋"/>
                <w:szCs w:val="21"/>
                <w:lang w:val="en-US" w:eastAsia="zh-CN"/>
              </w:rPr>
            </w:pPr>
            <w:r>
              <w:rPr>
                <w:rFonts w:hint="eastAsia" w:ascii="仿宋" w:hAnsi="仿宋" w:eastAsia="仿宋"/>
                <w:szCs w:val="21"/>
                <w:lang w:val="en-US" w:eastAsia="zh-CN"/>
              </w:rPr>
              <w:t>0</w:t>
            </w:r>
          </w:p>
        </w:tc>
      </w:tr>
      <w:tr w14:paraId="6801A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2FDDABB7">
            <w:pPr>
              <w:rPr>
                <w:rFonts w:ascii="仿宋" w:hAnsi="仿宋" w:eastAsia="仿宋"/>
                <w:szCs w:val="21"/>
              </w:rPr>
            </w:pPr>
            <w:r>
              <w:rPr>
                <w:rFonts w:hint="eastAsia" w:ascii="仿宋" w:hAnsi="仿宋" w:eastAsia="仿宋"/>
                <w:szCs w:val="21"/>
              </w:rPr>
              <w:t>结课考试成绩/%</w:t>
            </w:r>
          </w:p>
        </w:tc>
        <w:tc>
          <w:tcPr>
            <w:tcW w:w="4048" w:type="dxa"/>
          </w:tcPr>
          <w:p w14:paraId="78D2A304">
            <w:pPr>
              <w:rPr>
                <w:rFonts w:hint="default" w:ascii="仿宋" w:hAnsi="仿宋" w:eastAsia="仿宋"/>
                <w:szCs w:val="21"/>
                <w:lang w:val="en-US" w:eastAsia="zh-CN"/>
              </w:rPr>
            </w:pPr>
            <w:r>
              <w:rPr>
                <w:rFonts w:hint="eastAsia" w:ascii="仿宋" w:hAnsi="仿宋" w:eastAsia="仿宋"/>
                <w:szCs w:val="21"/>
                <w:lang w:val="en-US" w:eastAsia="zh-CN"/>
              </w:rPr>
              <w:t>60</w:t>
            </w:r>
          </w:p>
        </w:tc>
      </w:tr>
    </w:tbl>
    <w:p w14:paraId="3EC76E01">
      <w:pPr>
        <w:numPr>
          <w:ilvl w:val="0"/>
          <w:numId w:val="0"/>
        </w:numPr>
        <w:rPr>
          <w:rFonts w:ascii="黑体" w:hAnsi="黑体" w:eastAsia="黑体"/>
          <w:szCs w:val="21"/>
          <w:lang w:val="en-GB"/>
        </w:rPr>
      </w:pPr>
      <w:r>
        <w:rPr>
          <w:rFonts w:hint="eastAsia" w:ascii="黑体" w:hAnsi="黑体" w:eastAsia="黑体"/>
          <w:szCs w:val="21"/>
          <w:lang w:val="en-GB"/>
        </w:rPr>
        <w:t>七、教材与参考书</w:t>
      </w:r>
    </w:p>
    <w:p w14:paraId="3FF4992D">
      <w:pPr>
        <w:ind w:firstLine="422" w:firstLineChars="200"/>
        <w:rPr>
          <w:rFonts w:ascii="仿宋" w:hAnsi="仿宋" w:eastAsia="仿宋"/>
          <w:b/>
          <w:szCs w:val="21"/>
        </w:rPr>
      </w:pPr>
      <w:r>
        <w:rPr>
          <w:rFonts w:hint="eastAsia" w:ascii="仿宋" w:hAnsi="仿宋" w:eastAsia="仿宋"/>
          <w:b/>
          <w:szCs w:val="21"/>
        </w:rPr>
        <w:t>（一）教材</w:t>
      </w:r>
    </w:p>
    <w:p w14:paraId="3FB56FE4">
      <w:pPr>
        <w:keepNext w:val="0"/>
        <w:keepLines w:val="0"/>
        <w:widowControl/>
        <w:suppressLineNumbers w:val="0"/>
        <w:jc w:val="left"/>
        <w:rPr>
          <w:rFonts w:hint="eastAsia" w:ascii="仿宋" w:hAnsi="仿宋" w:eastAsia="仿宋"/>
          <w:szCs w:val="21"/>
        </w:rPr>
      </w:pPr>
      <w:r>
        <w:rPr>
          <w:rFonts w:hint="eastAsia" w:ascii="仿宋" w:hAnsi="仿宋" w:eastAsia="仿宋"/>
          <w:szCs w:val="21"/>
          <w:lang w:val="en-US" w:eastAsia="zh-CN"/>
        </w:rPr>
        <w:t>《中国石油文化》，2019年第1版，方凤玲，机械工业出版社，2019，</w:t>
      </w:r>
      <w:r>
        <w:rPr>
          <w:rFonts w:hint="eastAsia" w:ascii="仿宋" w:hAnsi="仿宋" w:eastAsia="仿宋"/>
          <w:szCs w:val="21"/>
        </w:rPr>
        <w:t>ISBN：</w:t>
      </w:r>
      <w:r>
        <w:rPr>
          <w:rFonts w:hint="eastAsia" w:ascii="仿宋" w:hAnsi="仿宋" w:eastAsia="仿宋"/>
          <w:szCs w:val="21"/>
          <w:lang w:val="en-US" w:eastAsia="zh-CN"/>
        </w:rPr>
        <w:t>978-7-111-62590-2</w:t>
      </w:r>
    </w:p>
    <w:p w14:paraId="35F8F137">
      <w:pPr>
        <w:ind w:firstLine="420" w:firstLineChars="200"/>
        <w:rPr>
          <w:rFonts w:ascii="仿宋" w:hAnsi="仿宋" w:eastAsia="仿宋"/>
          <w:szCs w:val="21"/>
        </w:rPr>
      </w:pPr>
    </w:p>
    <w:p w14:paraId="646D3B50">
      <w:pPr>
        <w:ind w:firstLine="422" w:firstLineChars="200"/>
        <w:rPr>
          <w:rFonts w:ascii="仿宋" w:hAnsi="仿宋" w:eastAsia="仿宋"/>
          <w:b/>
          <w:szCs w:val="21"/>
        </w:rPr>
      </w:pPr>
      <w:r>
        <w:rPr>
          <w:rFonts w:hint="eastAsia" w:ascii="仿宋" w:hAnsi="仿宋" w:eastAsia="仿宋"/>
          <w:b/>
          <w:szCs w:val="21"/>
        </w:rPr>
        <w:t>（二）参考书目或文献</w:t>
      </w:r>
    </w:p>
    <w:p w14:paraId="3E1CBF94">
      <w:pPr>
        <w:keepNext w:val="0"/>
        <w:keepLines w:val="0"/>
        <w:widowControl/>
        <w:suppressLineNumbers w:val="0"/>
        <w:jc w:val="left"/>
        <w:rPr>
          <w:rFonts w:hint="eastAsia" w:ascii="仿宋" w:hAnsi="仿宋" w:eastAsia="仿宋"/>
          <w:szCs w:val="21"/>
          <w:lang w:val="en-US" w:eastAsia="zh-CN"/>
        </w:rPr>
      </w:pPr>
      <w:r>
        <w:rPr>
          <w:rFonts w:hint="eastAsia" w:ascii="仿宋" w:hAnsi="仿宋" w:eastAsia="仿宋"/>
          <w:szCs w:val="21"/>
          <w:lang w:val="en-US" w:eastAsia="zh-CN"/>
        </w:rPr>
        <w:t>《院士与创新》，张乐勇，中国石油大学出版社，2007, ISBN:978-7-5636-2523-9</w:t>
      </w:r>
    </w:p>
    <w:p w14:paraId="5FE939AF">
      <w:pPr>
        <w:keepNext w:val="0"/>
        <w:keepLines w:val="0"/>
        <w:widowControl/>
        <w:suppressLineNumbers w:val="0"/>
        <w:jc w:val="left"/>
        <w:rPr>
          <w:rFonts w:hint="eastAsia" w:ascii="仿宋" w:hAnsi="仿宋" w:eastAsia="仿宋" w:cs="仿宋"/>
          <w:szCs w:val="21"/>
          <w:lang w:val="en-US" w:eastAsia="zh-CN"/>
        </w:rPr>
      </w:pPr>
      <w:r>
        <w:rPr>
          <w:rFonts w:hint="eastAsia" w:ascii="仿宋" w:hAnsi="仿宋" w:eastAsia="仿宋"/>
          <w:szCs w:val="21"/>
          <w:lang w:val="en-GB" w:eastAsia="zh-CN"/>
        </w:rPr>
        <w:t>《</w:t>
      </w:r>
      <w:r>
        <w:rPr>
          <w:rFonts w:hint="eastAsia" w:ascii="仿宋" w:hAnsi="仿宋" w:eastAsia="仿宋"/>
          <w:szCs w:val="21"/>
          <w:lang w:val="en-US" w:eastAsia="zh-CN"/>
        </w:rPr>
        <w:t>石油简史：从科技进步到改变世界</w:t>
      </w:r>
      <w:r>
        <w:rPr>
          <w:rFonts w:hint="eastAsia" w:ascii="仿宋" w:hAnsi="仿宋" w:eastAsia="仿宋"/>
          <w:szCs w:val="21"/>
          <w:lang w:val="en-GB" w:eastAsia="zh-CN"/>
        </w:rPr>
        <w:t>》，（</w:t>
      </w:r>
      <w:r>
        <w:rPr>
          <w:rFonts w:hint="eastAsia" w:ascii="仿宋" w:hAnsi="仿宋" w:eastAsia="仿宋"/>
          <w:szCs w:val="21"/>
          <w:lang w:val="en-US" w:eastAsia="zh-CN"/>
        </w:rPr>
        <w:t>加</w:t>
      </w:r>
      <w:r>
        <w:rPr>
          <w:rFonts w:hint="eastAsia" w:ascii="仿宋" w:hAnsi="仿宋" w:eastAsia="仿宋"/>
          <w:szCs w:val="21"/>
          <w:lang w:val="en-GB" w:eastAsia="zh-CN"/>
        </w:rPr>
        <w:t>）</w:t>
      </w:r>
      <w:r>
        <w:rPr>
          <w:rFonts w:hint="eastAsia" w:ascii="仿宋" w:hAnsi="仿宋" w:eastAsia="仿宋"/>
          <w:szCs w:val="21"/>
          <w:lang w:val="en-US" w:eastAsia="zh-CN"/>
        </w:rPr>
        <w:t>瓦茨拉夫</w:t>
      </w:r>
      <w:r>
        <w:rPr>
          <w:rFonts w:hint="eastAsia" w:ascii="仿宋" w:hAnsi="仿宋" w:eastAsia="仿宋" w:cs="仿宋"/>
          <w:szCs w:val="21"/>
          <w:lang w:val="en-US" w:eastAsia="zh-CN"/>
        </w:rPr>
        <w:t>·斯米尔，石油工业出版社，2020,978-7-5183-3691-3</w:t>
      </w:r>
    </w:p>
    <w:p w14:paraId="60754F73">
      <w:pPr>
        <w:keepNext w:val="0"/>
        <w:keepLines w:val="0"/>
        <w:widowControl/>
        <w:suppressLineNumbers w:val="0"/>
        <w:jc w:val="left"/>
        <w:rPr>
          <w:rFonts w:hint="default" w:ascii="仿宋" w:hAnsi="仿宋" w:eastAsia="仿宋" w:cs="仿宋"/>
          <w:szCs w:val="21"/>
          <w:lang w:val="en-US" w:eastAsia="zh-CN"/>
        </w:rPr>
      </w:pPr>
      <w:r>
        <w:rPr>
          <w:rFonts w:hint="eastAsia" w:ascii="仿宋" w:hAnsi="仿宋" w:eastAsia="仿宋" w:cs="仿宋"/>
          <w:szCs w:val="21"/>
          <w:lang w:val="en-US" w:eastAsia="zh-CN"/>
        </w:rPr>
        <w:t>《新时代的中国能源发展》白皮书，中华人民共和国国务院新闻办公室，2020年12月</w:t>
      </w:r>
    </w:p>
    <w:p w14:paraId="21C20F1F">
      <w:pPr>
        <w:ind w:firstLine="420" w:firstLineChars="200"/>
        <w:rPr>
          <w:rFonts w:ascii="仿宋" w:hAnsi="仿宋" w:eastAsia="仿宋"/>
          <w:szCs w:val="21"/>
          <w:lang w:val="en-GB"/>
        </w:rPr>
      </w:pPr>
    </w:p>
    <w:p w14:paraId="75F12476">
      <w:pPr>
        <w:ind w:firstLine="420" w:firstLineChars="200"/>
        <w:rPr>
          <w:rFonts w:ascii="仿宋" w:hAnsi="仿宋" w:eastAsia="仿宋"/>
          <w:szCs w:val="21"/>
          <w:lang w:val="en-GB"/>
        </w:rPr>
      </w:pP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33A96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4" w:hRule="atLeast"/>
          <w:jc w:val="right"/>
        </w:trPr>
        <w:tc>
          <w:tcPr>
            <w:tcW w:w="4678" w:type="dxa"/>
            <w:vAlign w:val="center"/>
          </w:tcPr>
          <w:p w14:paraId="086C381B">
            <w:pPr>
              <w:rPr>
                <w:rFonts w:ascii="黑体" w:hAnsi="黑体" w:eastAsia="黑体"/>
                <w:szCs w:val="21"/>
                <w:lang w:val="en-GB"/>
              </w:rPr>
            </w:pPr>
          </w:p>
        </w:tc>
        <w:tc>
          <w:tcPr>
            <w:tcW w:w="3316" w:type="dxa"/>
            <w:vAlign w:val="center"/>
          </w:tcPr>
          <w:p w14:paraId="4041BF86">
            <w:pPr>
              <w:rPr>
                <w:rFonts w:hint="default" w:ascii="黑体" w:hAnsi="黑体" w:eastAsia="仿宋"/>
                <w:szCs w:val="21"/>
                <w:lang w:val="en-US" w:eastAsia="zh-CN"/>
              </w:rPr>
            </w:pPr>
            <w:r>
              <w:rPr>
                <w:rFonts w:hint="eastAsia" w:ascii="仿宋" w:hAnsi="仿宋" w:eastAsia="仿宋"/>
                <w:szCs w:val="21"/>
                <w:lang w:val="en-GB"/>
              </w:rPr>
              <w:t>制定人：（课程</w:t>
            </w:r>
            <w:r>
              <w:rPr>
                <w:rFonts w:ascii="仿宋" w:hAnsi="仿宋" w:eastAsia="仿宋"/>
                <w:szCs w:val="21"/>
                <w:lang w:val="en-GB"/>
              </w:rPr>
              <w:t>负责人</w:t>
            </w:r>
            <w:r>
              <w:rPr>
                <w:rFonts w:hint="eastAsia" w:ascii="仿宋" w:hAnsi="仿宋" w:eastAsia="仿宋"/>
                <w:szCs w:val="21"/>
                <w:lang w:val="en-GB"/>
              </w:rPr>
              <w:t>）</w:t>
            </w:r>
            <w:r>
              <w:rPr>
                <w:rFonts w:hint="eastAsia" w:ascii="仿宋" w:hAnsi="仿宋" w:eastAsia="仿宋"/>
                <w:szCs w:val="21"/>
                <w:lang w:val="en-US" w:eastAsia="zh-CN"/>
              </w:rPr>
              <w:t>曾小凡</w:t>
            </w:r>
          </w:p>
        </w:tc>
      </w:tr>
      <w:tr w14:paraId="75340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07F83652">
            <w:pPr>
              <w:rPr>
                <w:rFonts w:ascii="黑体" w:hAnsi="黑体" w:eastAsia="黑体"/>
                <w:szCs w:val="21"/>
                <w:lang w:val="en-GB"/>
              </w:rPr>
            </w:pPr>
          </w:p>
        </w:tc>
        <w:tc>
          <w:tcPr>
            <w:tcW w:w="3316" w:type="dxa"/>
            <w:vAlign w:val="center"/>
          </w:tcPr>
          <w:p w14:paraId="05230409">
            <w:pPr>
              <w:rPr>
                <w:rFonts w:hint="eastAsia" w:ascii="仿宋" w:hAnsi="仿宋" w:eastAsia="仿宋"/>
                <w:szCs w:val="21"/>
                <w:lang w:val="en-US" w:eastAsia="zh-CN"/>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GB"/>
              </w:rPr>
              <w:t>开课系主任</w:t>
            </w:r>
            <w:r>
              <w:rPr>
                <w:rFonts w:ascii="仿宋" w:hAnsi="仿宋" w:eastAsia="仿宋"/>
                <w:szCs w:val="21"/>
                <w:lang w:val="en-GB"/>
              </w:rPr>
              <w:t>）</w:t>
            </w:r>
            <w:r>
              <w:rPr>
                <w:rFonts w:hint="eastAsia" w:ascii="仿宋" w:hAnsi="仿宋" w:eastAsia="仿宋"/>
                <w:szCs w:val="21"/>
                <w:lang w:val="en-US" w:eastAsia="zh-CN"/>
              </w:rPr>
              <w:t>晁娜娜</w:t>
            </w:r>
          </w:p>
        </w:tc>
      </w:tr>
      <w:tr w14:paraId="2E012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4CF0BEDA">
            <w:pPr>
              <w:rPr>
                <w:rFonts w:ascii="黑体" w:hAnsi="黑体" w:eastAsia="黑体"/>
                <w:szCs w:val="21"/>
                <w:lang w:val="en-GB"/>
              </w:rPr>
            </w:pPr>
          </w:p>
        </w:tc>
        <w:tc>
          <w:tcPr>
            <w:tcW w:w="3316" w:type="dxa"/>
            <w:vAlign w:val="center"/>
          </w:tcPr>
          <w:p w14:paraId="65B6D6A7">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hint="eastAsia" w:ascii="仿宋" w:hAnsi="仿宋" w:eastAsia="仿宋"/>
                <w:szCs w:val="21"/>
                <w:lang w:val="en-US" w:eastAsia="zh-CN"/>
              </w:rPr>
              <w:t>8</w:t>
            </w:r>
            <w:r>
              <w:rPr>
                <w:rFonts w:hint="eastAsia" w:ascii="仿宋" w:hAnsi="仿宋" w:eastAsia="仿宋"/>
                <w:szCs w:val="21"/>
                <w:lang w:val="en-GB"/>
              </w:rPr>
              <w:t>月</w:t>
            </w:r>
          </w:p>
        </w:tc>
      </w:tr>
    </w:tbl>
    <w:p w14:paraId="5B57187B">
      <w:pPr>
        <w:widowControl/>
        <w:jc w:val="left"/>
        <w:rPr>
          <w:rFonts w:ascii="仿宋" w:hAnsi="仿宋" w:eastAsia="仿宋"/>
          <w:szCs w:val="21"/>
        </w:rPr>
      </w:pPr>
      <w:r>
        <w:rPr>
          <w:rFonts w:ascii="仿宋" w:hAnsi="仿宋" w:eastAsia="仿宋"/>
          <w:szCs w:val="21"/>
        </w:rPr>
        <w:br w:type="page"/>
      </w:r>
    </w:p>
    <w:p w14:paraId="3DA9BBF9">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lang w:val="en-GB"/>
        </w:rPr>
        <w:t>Chinese Petroleum Culture</w:t>
      </w:r>
      <w:r>
        <w:rPr>
          <w:rFonts w:ascii="Times New Roman" w:hAnsi="Times New Roman" w:eastAsia="黑体" w:cs="Times New Roman"/>
          <w:b/>
          <w:sz w:val="32"/>
          <w:szCs w:val="21"/>
          <w:lang w:val="en-GB"/>
        </w:rPr>
        <w:t>》Syllabus</w:t>
      </w:r>
    </w:p>
    <w:p w14:paraId="7DB7EEFA">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3BE35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17F5061E">
            <w:pPr>
              <w:rPr>
                <w:rFonts w:ascii="Times New Roman" w:hAnsi="Times New Roman" w:eastAsia="黑体" w:cs="Times New Roman"/>
                <w:szCs w:val="21"/>
                <w:lang w:val="en-GB"/>
              </w:rPr>
            </w:pPr>
            <w:r>
              <w:rPr>
                <w:rFonts w:ascii="Times New Roman" w:hAnsi="Times New Roman" w:cs="Times New Roman"/>
              </w:rPr>
              <w:t xml:space="preserve">Course Name: </w:t>
            </w:r>
            <w:r>
              <w:rPr>
                <w:rFonts w:hint="eastAsia" w:ascii="Times New Roman" w:hAnsi="Times New Roman" w:cs="Times New Roman"/>
              </w:rPr>
              <w:t>Chinese Petroleum Culture</w:t>
            </w:r>
          </w:p>
        </w:tc>
        <w:tc>
          <w:tcPr>
            <w:tcW w:w="3969" w:type="dxa"/>
            <w:vAlign w:val="center"/>
          </w:tcPr>
          <w:p w14:paraId="28EF41C3">
            <w:pPr>
              <w:rPr>
                <w:rFonts w:ascii="Times New Roman" w:hAnsi="Times New Roman" w:eastAsia="黑体" w:cs="Times New Roman"/>
                <w:szCs w:val="21"/>
                <w:lang w:val="en-GB"/>
              </w:rPr>
            </w:pPr>
            <w:r>
              <w:rPr>
                <w:rFonts w:ascii="Times New Roman" w:hAnsi="Times New Roman" w:eastAsia="仿宋" w:cs="Times New Roman"/>
                <w:szCs w:val="21"/>
                <w:lang w:val="en-GB"/>
              </w:rPr>
              <w:t xml:space="preserve">Name in Chinese: </w:t>
            </w:r>
            <w:r>
              <w:rPr>
                <w:rFonts w:hint="eastAsia" w:ascii="仿宋" w:hAnsi="仿宋" w:eastAsia="仿宋"/>
                <w:szCs w:val="21"/>
                <w:lang w:val="en-GB"/>
              </w:rPr>
              <w:t>中国石油文化概论</w:t>
            </w:r>
          </w:p>
        </w:tc>
      </w:tr>
      <w:tr w14:paraId="0B2BC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8E2F171">
            <w:pPr>
              <w:rPr>
                <w:rFonts w:ascii="Times New Roman" w:hAnsi="Times New Roman" w:eastAsia="黑体" w:cs="Times New Roman"/>
                <w:szCs w:val="21"/>
                <w:lang w:val="en-GB"/>
              </w:rPr>
            </w:pPr>
            <w:r>
              <w:rPr>
                <w:rFonts w:ascii="Times New Roman" w:hAnsi="Times New Roman" w:cs="Times New Roman"/>
              </w:rPr>
              <w:t xml:space="preserve">Course No.: </w:t>
            </w:r>
            <w:r>
              <w:rPr>
                <w:rFonts w:hint="eastAsia" w:ascii="Times New Roman" w:hAnsi="Times New Roman" w:cs="Times New Roman"/>
              </w:rPr>
              <w:t>160838G013</w:t>
            </w:r>
          </w:p>
        </w:tc>
        <w:tc>
          <w:tcPr>
            <w:tcW w:w="3969" w:type="dxa"/>
            <w:vAlign w:val="center"/>
          </w:tcPr>
          <w:p w14:paraId="68D094DD">
            <w:pPr>
              <w:rPr>
                <w:rFonts w:hint="eastAsia" w:ascii="Times New Roman" w:hAnsi="Times New Roman" w:cs="Times New Roman" w:eastAsiaTheme="minorEastAsia"/>
                <w:szCs w:val="21"/>
                <w:lang w:val="en-US" w:eastAsia="zh-CN"/>
              </w:rPr>
            </w:pPr>
            <w:r>
              <w:rPr>
                <w:rFonts w:ascii="Times New Roman" w:hAnsi="Times New Roman" w:cs="Times New Roman"/>
              </w:rPr>
              <w:t>Total Credits:</w:t>
            </w:r>
            <w:r>
              <w:rPr>
                <w:rFonts w:hint="eastAsia" w:ascii="Times New Roman" w:hAnsi="Times New Roman" w:cs="Times New Roman"/>
                <w:lang w:val="en-US" w:eastAsia="zh-CN"/>
              </w:rPr>
              <w:t>2</w:t>
            </w:r>
          </w:p>
        </w:tc>
      </w:tr>
      <w:tr w14:paraId="34DDA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232D82D">
            <w:pPr>
              <w:rPr>
                <w:rFonts w:hint="default" w:ascii="Times New Roman" w:hAnsi="Times New Roman" w:cs="Times New Roman" w:eastAsiaTheme="minorEastAsia"/>
                <w:szCs w:val="21"/>
                <w:lang w:val="en-US" w:eastAsia="zh-CN"/>
              </w:rPr>
            </w:pPr>
            <w:r>
              <w:rPr>
                <w:rFonts w:ascii="Times New Roman" w:hAnsi="Times New Roman" w:cs="Times New Roman"/>
              </w:rPr>
              <w:t xml:space="preserve">Total Hours: </w:t>
            </w:r>
            <w:r>
              <w:rPr>
                <w:rFonts w:hint="eastAsia" w:ascii="Times New Roman" w:hAnsi="Times New Roman" w:cs="Times New Roman"/>
                <w:lang w:val="en-US" w:eastAsia="zh-CN"/>
              </w:rPr>
              <w:t>32</w:t>
            </w:r>
          </w:p>
        </w:tc>
        <w:tc>
          <w:tcPr>
            <w:tcW w:w="3969" w:type="dxa"/>
            <w:vAlign w:val="center"/>
          </w:tcPr>
          <w:p w14:paraId="08A26B99">
            <w:pPr>
              <w:rPr>
                <w:rFonts w:hint="default" w:ascii="Times New Roman" w:hAnsi="Times New Roman" w:eastAsia="黑体" w:cs="Times New Roman"/>
                <w:szCs w:val="21"/>
                <w:lang w:val="en-US" w:eastAsia="zh-CN"/>
              </w:rPr>
            </w:pPr>
            <w:r>
              <w:rPr>
                <w:rFonts w:ascii="Times New Roman" w:hAnsi="Times New Roman" w:eastAsia="黑体" w:cs="Times New Roman"/>
                <w:szCs w:val="21"/>
                <w:lang w:val="en-GB"/>
              </w:rPr>
              <w:t xml:space="preserve">Lecture Hours: </w:t>
            </w:r>
            <w:r>
              <w:rPr>
                <w:rFonts w:hint="eastAsia" w:ascii="Times New Roman" w:hAnsi="Times New Roman" w:eastAsia="黑体" w:cs="Times New Roman"/>
                <w:szCs w:val="21"/>
                <w:lang w:val="en-US" w:eastAsia="zh-CN"/>
              </w:rPr>
              <w:t>32</w:t>
            </w:r>
          </w:p>
        </w:tc>
      </w:tr>
      <w:tr w14:paraId="56781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186CFFC">
            <w:pPr>
              <w:rPr>
                <w:rFonts w:hint="eastAsia" w:ascii="Times New Roman" w:hAnsi="Times New Roman" w:cs="Times New Roman" w:eastAsiaTheme="minorEastAsia"/>
                <w:szCs w:val="21"/>
                <w:lang w:val="en-US" w:eastAsia="zh-CN"/>
              </w:rPr>
            </w:pPr>
            <w:r>
              <w:rPr>
                <w:rFonts w:ascii="Times New Roman" w:hAnsi="Times New Roman" w:cs="Times New Roman"/>
              </w:rPr>
              <w:t xml:space="preserve">Lab Hours: </w:t>
            </w:r>
            <w:r>
              <w:rPr>
                <w:rFonts w:hint="eastAsia" w:ascii="Times New Roman" w:hAnsi="Times New Roman" w:cs="Times New Roman"/>
                <w:lang w:val="en-US" w:eastAsia="zh-CN"/>
              </w:rPr>
              <w:t>0</w:t>
            </w:r>
          </w:p>
        </w:tc>
        <w:tc>
          <w:tcPr>
            <w:tcW w:w="3969" w:type="dxa"/>
            <w:vAlign w:val="center"/>
          </w:tcPr>
          <w:p w14:paraId="3860D79B">
            <w:pPr>
              <w:rPr>
                <w:rFonts w:hint="eastAsia" w:ascii="Times New Roman" w:hAnsi="Times New Roman" w:cs="Times New Roman" w:eastAsiaTheme="minorEastAsia"/>
                <w:szCs w:val="21"/>
                <w:lang w:val="en-US" w:eastAsia="zh-CN"/>
              </w:rPr>
            </w:pPr>
            <w:r>
              <w:rPr>
                <w:rFonts w:ascii="Times New Roman" w:hAnsi="Times New Roman" w:cs="Times New Roman"/>
              </w:rPr>
              <w:t xml:space="preserve">Computer Lab Hours: </w:t>
            </w:r>
            <w:r>
              <w:rPr>
                <w:rFonts w:hint="eastAsia" w:ascii="Times New Roman" w:hAnsi="Times New Roman" w:cs="Times New Roman"/>
                <w:lang w:val="en-US" w:eastAsia="zh-CN"/>
              </w:rPr>
              <w:t>0</w:t>
            </w:r>
          </w:p>
        </w:tc>
      </w:tr>
      <w:tr w14:paraId="25AEE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DA51A2E">
            <w:pPr>
              <w:rPr>
                <w:rFonts w:ascii="Times New Roman" w:hAnsi="Times New Roman" w:eastAsia="黑体" w:cs="Times New Roman"/>
                <w:szCs w:val="21"/>
                <w:lang w:val="en-GB"/>
              </w:rPr>
            </w:pPr>
            <w:r>
              <w:rPr>
                <w:rFonts w:ascii="Times New Roman" w:hAnsi="Times New Roman" w:cs="Times New Roman"/>
              </w:rPr>
              <w:t xml:space="preserve">Offering College: </w:t>
            </w:r>
            <w:r>
              <w:rPr>
                <w:rFonts w:hint="eastAsia" w:ascii="Times New Roman" w:hAnsi="Times New Roman" w:cs="Times New Roman"/>
              </w:rPr>
              <w:t>Faculty of Business Administration/Faculty of Marxism</w:t>
            </w:r>
          </w:p>
        </w:tc>
        <w:tc>
          <w:tcPr>
            <w:tcW w:w="3969" w:type="dxa"/>
            <w:vAlign w:val="center"/>
          </w:tcPr>
          <w:p w14:paraId="4768E9D5">
            <w:pPr>
              <w:rPr>
                <w:rFonts w:ascii="Times New Roman" w:hAnsi="Times New Roman" w:eastAsia="黑体" w:cs="Times New Roman"/>
                <w:szCs w:val="21"/>
                <w:lang w:val="en-GB"/>
              </w:rPr>
            </w:pPr>
            <w:r>
              <w:rPr>
                <w:rFonts w:ascii="Times New Roman" w:hAnsi="Times New Roman" w:cs="Times New Roman"/>
              </w:rPr>
              <w:t xml:space="preserve">Corresponding Majors: </w:t>
            </w:r>
            <w:r>
              <w:rPr>
                <w:rFonts w:hint="eastAsia" w:ascii="Times New Roman" w:hAnsi="Times New Roman" w:cs="Times New Roman"/>
              </w:rPr>
              <w:t>Undergraduates of all majors</w:t>
            </w:r>
          </w:p>
        </w:tc>
      </w:tr>
      <w:tr w14:paraId="578C5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1946A113">
            <w:pPr>
              <w:rPr>
                <w:rFonts w:ascii="Times New Roman" w:hAnsi="Times New Roman" w:eastAsia="黑体" w:cs="Times New Roman"/>
                <w:szCs w:val="21"/>
                <w:lang w:val="en-GB"/>
              </w:rPr>
            </w:pPr>
            <w:r>
              <w:rPr>
                <w:rFonts w:ascii="Times New Roman" w:hAnsi="Times New Roman" w:cs="Times New Roman"/>
              </w:rPr>
              <w:t xml:space="preserve">Course Type: </w:t>
            </w:r>
            <w:r>
              <w:rPr>
                <w:rFonts w:hint="eastAsia" w:ascii="Times New Roman" w:hAnsi="Times New Roman" w:cs="Times New Roman"/>
              </w:rPr>
              <w:t>Public Elective Courses</w:t>
            </w:r>
          </w:p>
        </w:tc>
        <w:tc>
          <w:tcPr>
            <w:tcW w:w="3969" w:type="dxa"/>
            <w:vAlign w:val="center"/>
          </w:tcPr>
          <w:p w14:paraId="54E000FA">
            <w:pPr>
              <w:rPr>
                <w:rFonts w:hint="default" w:ascii="Times New Roman" w:hAnsi="Times New Roman" w:cs="Times New Roman" w:eastAsiaTheme="minorEastAsia"/>
                <w:szCs w:val="21"/>
                <w:lang w:val="en-US" w:eastAsia="zh-CN"/>
              </w:rPr>
            </w:pPr>
            <w:r>
              <w:rPr>
                <w:rFonts w:ascii="Times New Roman" w:hAnsi="Times New Roman" w:cs="Times New Roman"/>
              </w:rPr>
              <w:t xml:space="preserve">Prerequisite: </w:t>
            </w:r>
            <w:r>
              <w:rPr>
                <w:rFonts w:hint="eastAsia" w:ascii="Times New Roman" w:hAnsi="Times New Roman" w:cs="Times New Roman"/>
                <w:lang w:val="en-US" w:eastAsia="zh-CN"/>
              </w:rPr>
              <w:t>none</w:t>
            </w:r>
          </w:p>
        </w:tc>
      </w:tr>
    </w:tbl>
    <w:p w14:paraId="51A1E866">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159B9A70">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This course is a liberal arts course for campus undergraduates to have a comprehensive understanding of petroleum culture. In the course of the development of China's petroleum industry, this course extracts the kernel of China's petroleum culture, which consists of the national sentiment, the spirit of struggle, and the vitality of innovation; in the international comparative vision of globalization, it summarizes the internationalization strategy, the independent innovation strategy, and the strategy of “competitiveness” for the development of petroleum enterprises by taking the corporate cultures of PetroChina, Sinopec, and CNOOC as examples; From the underlying logic of culture, the ethical norms of petroleum engineering are abstracted.</w:t>
      </w:r>
    </w:p>
    <w:p w14:paraId="0A94DBD8">
      <w:pPr>
        <w:rPr>
          <w:rFonts w:ascii="Times New Roman" w:hAnsi="Times New Roman" w:eastAsia="黑体" w:cs="Times New Roman"/>
          <w:b/>
          <w:szCs w:val="21"/>
          <w:lang w:val="en-GB"/>
        </w:rPr>
      </w:pPr>
    </w:p>
    <w:p w14:paraId="577B1F0D">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7C94216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Objective 1: To understand the connotation, development history and characteristics of oil culture</w:t>
      </w:r>
    </w:p>
    <w:p w14:paraId="23A6B08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Objective 2: To master the internationalization strategy, independent innovation strategy and "competition" strategy for the development of petroleum enterprises</w:t>
      </w:r>
    </w:p>
    <w:p w14:paraId="540DCC9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Objective 3: Abide by the petroleum engineering code of ethics</w:t>
      </w:r>
    </w:p>
    <w:p w14:paraId="6ACD929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Objective 4: To cultivate family sentiment and inherit the spirit of petroleum</w:t>
      </w:r>
    </w:p>
    <w:p w14:paraId="185E294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Objective 5: Through the explanation of the essay writing essentials and the practice of cooperative learning, students can master the essay writing skills</w:t>
      </w:r>
    </w:p>
    <w:p w14:paraId="1BCE91E6">
      <w:pPr>
        <w:rPr>
          <w:rFonts w:hint="eastAsia" w:ascii="Times New Roman" w:hAnsi="Times New Roman" w:eastAsia="仿宋" w:cs="Times New Roman"/>
          <w:szCs w:val="21"/>
          <w:lang w:val="en-GB"/>
        </w:rPr>
      </w:pPr>
    </w:p>
    <w:p w14:paraId="154CAA58">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531"/>
        <w:gridCol w:w="3030"/>
        <w:gridCol w:w="567"/>
        <w:gridCol w:w="1619"/>
      </w:tblGrid>
      <w:tr w14:paraId="58250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13A1942C">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Chapter/Unit</w:t>
            </w:r>
          </w:p>
        </w:tc>
        <w:tc>
          <w:tcPr>
            <w:tcW w:w="3030" w:type="dxa"/>
            <w:vAlign w:val="center"/>
          </w:tcPr>
          <w:p w14:paraId="280CFEF7">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Contents and Key Points</w:t>
            </w:r>
          </w:p>
        </w:tc>
        <w:tc>
          <w:tcPr>
            <w:tcW w:w="567" w:type="dxa"/>
            <w:vAlign w:val="center"/>
          </w:tcPr>
          <w:p w14:paraId="13D13515">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hrs</w:t>
            </w:r>
          </w:p>
        </w:tc>
        <w:tc>
          <w:tcPr>
            <w:tcW w:w="1619" w:type="dxa"/>
            <w:vAlign w:val="center"/>
          </w:tcPr>
          <w:p w14:paraId="74A35545">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Requirements</w:t>
            </w:r>
          </w:p>
        </w:tc>
      </w:tr>
      <w:tr w14:paraId="683F2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61" w:type="dxa"/>
            <w:gridSpan w:val="2"/>
            <w:vAlign w:val="center"/>
          </w:tcPr>
          <w:p w14:paraId="5003B569">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Prolegomenon</w:t>
            </w:r>
            <w:r>
              <w:rPr>
                <w:rFonts w:hint="eastAsia" w:ascii="Times New Roman" w:hAnsi="Times New Roman" w:eastAsia="仿宋" w:cs="Times New Roman"/>
                <w:sz w:val="18"/>
                <w:szCs w:val="18"/>
                <w:lang w:val="en-US" w:eastAsia="zh-CN"/>
              </w:rPr>
              <w:t xml:space="preserve"> </w:t>
            </w:r>
            <w:r>
              <w:rPr>
                <w:rFonts w:hint="eastAsia" w:ascii="Times New Roman" w:hAnsi="Times New Roman" w:eastAsia="仿宋" w:cs="Times New Roman"/>
                <w:sz w:val="18"/>
                <w:szCs w:val="18"/>
                <w:lang w:val="zh-CN"/>
              </w:rPr>
              <w:t>Step into the oil</w:t>
            </w:r>
          </w:p>
        </w:tc>
        <w:tc>
          <w:tcPr>
            <w:tcW w:w="3030" w:type="dxa"/>
            <w:vAlign w:val="center"/>
          </w:tcPr>
          <w:p w14:paraId="3E862DAF">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Understand the importance of petroleum and its importance to production and life; understand the connotation of culture and its significance to life and society; understand the connotation of petroleum culture and improve the awareness of inheriting petroleum culture; understand the curriculum system, teaching methods and assessment requirements.</w:t>
            </w:r>
          </w:p>
        </w:tc>
        <w:tc>
          <w:tcPr>
            <w:tcW w:w="567" w:type="dxa"/>
            <w:vAlign w:val="center"/>
          </w:tcPr>
          <w:p w14:paraId="1D299960">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Align w:val="center"/>
          </w:tcPr>
          <w:p w14:paraId="23F2ABE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tc>
      </w:tr>
      <w:tr w14:paraId="2AA89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restart"/>
            <w:vAlign w:val="center"/>
          </w:tcPr>
          <w:p w14:paraId="27D2BAE0">
            <w:pPr>
              <w:jc w:val="left"/>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1</w:t>
            </w:r>
          </w:p>
          <w:p w14:paraId="642E8E6B">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The history of the development of</w:t>
            </w:r>
            <w:r>
              <w:rPr>
                <w:rFonts w:hint="eastAsia" w:ascii="Times New Roman" w:hAnsi="Times New Roman" w:eastAsia="仿宋" w:cs="Times New Roman"/>
                <w:sz w:val="18"/>
                <w:szCs w:val="18"/>
                <w:lang w:val="en-US" w:eastAsia="zh-CN"/>
              </w:rPr>
              <w:t xml:space="preserve"> </w:t>
            </w:r>
            <w:r>
              <w:rPr>
                <w:rFonts w:hint="eastAsia" w:ascii="Times New Roman" w:hAnsi="Times New Roman" w:eastAsia="仿宋" w:cs="Times New Roman"/>
                <w:sz w:val="18"/>
                <w:szCs w:val="18"/>
                <w:lang w:val="zh-CN"/>
              </w:rPr>
              <w:t>the petroleum industry</w:t>
            </w:r>
          </w:p>
        </w:tc>
        <w:tc>
          <w:tcPr>
            <w:tcW w:w="1531" w:type="dxa"/>
            <w:vAlign w:val="center"/>
          </w:tcPr>
          <w:p w14:paraId="1FA2804D">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1.1 Overview of the development of the ancient petroleum industry</w:t>
            </w:r>
          </w:p>
        </w:tc>
        <w:tc>
          <w:tcPr>
            <w:tcW w:w="3030" w:type="dxa"/>
            <w:vMerge w:val="restart"/>
            <w:vAlign w:val="center"/>
          </w:tcPr>
          <w:p w14:paraId="294CCB75">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Understand the historical context of the development of the petroleum industry at home and abroad, experience the interaction between the development of the petroleum industry and social life; deeply appreciate the important role played by science and technology in the transition of each historical stage of the petroleum industry; reflect on the role of politics and economy in the petroleum industry, and think about how this role has historically constructed the direction and trajectory of the development of the petroleum industry, and how it has affected and restricted the future of the petroleum industry.</w:t>
            </w:r>
          </w:p>
        </w:tc>
        <w:tc>
          <w:tcPr>
            <w:tcW w:w="567" w:type="dxa"/>
            <w:vMerge w:val="restart"/>
            <w:vAlign w:val="center"/>
          </w:tcPr>
          <w:p w14:paraId="2921E76C">
            <w:pPr>
              <w:jc w:val="center"/>
              <w:rPr>
                <w:rFonts w:hint="default"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8</w:t>
            </w:r>
          </w:p>
        </w:tc>
        <w:tc>
          <w:tcPr>
            <w:tcW w:w="1619" w:type="dxa"/>
            <w:vMerge w:val="restart"/>
            <w:vAlign w:val="center"/>
          </w:tcPr>
          <w:p w14:paraId="2FC5568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25B50DB3">
            <w:pPr>
              <w:rPr>
                <w:rFonts w:ascii="Times New Roman" w:hAnsi="Times New Roman" w:eastAsia="仿宋" w:cs="Times New Roman"/>
                <w:sz w:val="18"/>
                <w:szCs w:val="18"/>
                <w:lang w:val="zh-CN"/>
              </w:rPr>
            </w:pPr>
          </w:p>
        </w:tc>
      </w:tr>
      <w:tr w14:paraId="0C65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continue"/>
            <w:vAlign w:val="center"/>
          </w:tcPr>
          <w:p w14:paraId="36935AD6">
            <w:pPr>
              <w:rPr>
                <w:rFonts w:ascii="Times New Roman" w:hAnsi="Times New Roman" w:eastAsia="仿宋" w:cs="Times New Roman"/>
                <w:sz w:val="18"/>
                <w:szCs w:val="18"/>
                <w:lang w:val="zh-CN"/>
              </w:rPr>
            </w:pPr>
          </w:p>
        </w:tc>
        <w:tc>
          <w:tcPr>
            <w:tcW w:w="1531" w:type="dxa"/>
            <w:vAlign w:val="center"/>
          </w:tcPr>
          <w:p w14:paraId="46066003">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1.2 History of the development of the modern petroleum industry</w:t>
            </w:r>
          </w:p>
        </w:tc>
        <w:tc>
          <w:tcPr>
            <w:tcW w:w="3030" w:type="dxa"/>
            <w:vMerge w:val="continue"/>
            <w:vAlign w:val="center"/>
          </w:tcPr>
          <w:p w14:paraId="1535D809">
            <w:pPr>
              <w:jc w:val="left"/>
              <w:rPr>
                <w:rFonts w:ascii="Times New Roman" w:hAnsi="Times New Roman" w:eastAsia="仿宋" w:cs="Times New Roman"/>
                <w:sz w:val="18"/>
                <w:szCs w:val="18"/>
                <w:lang w:val="zh-CN"/>
              </w:rPr>
            </w:pPr>
          </w:p>
        </w:tc>
        <w:tc>
          <w:tcPr>
            <w:tcW w:w="567" w:type="dxa"/>
            <w:vMerge w:val="continue"/>
            <w:vAlign w:val="center"/>
          </w:tcPr>
          <w:p w14:paraId="568E5831">
            <w:pPr>
              <w:jc w:val="center"/>
              <w:rPr>
                <w:rFonts w:ascii="Times New Roman" w:hAnsi="Times New Roman" w:eastAsia="仿宋" w:cs="Times New Roman"/>
                <w:sz w:val="18"/>
                <w:szCs w:val="18"/>
                <w:lang w:val="zh-CN"/>
              </w:rPr>
            </w:pPr>
          </w:p>
        </w:tc>
        <w:tc>
          <w:tcPr>
            <w:tcW w:w="1619" w:type="dxa"/>
            <w:vMerge w:val="continue"/>
            <w:vAlign w:val="center"/>
          </w:tcPr>
          <w:p w14:paraId="2A34D476">
            <w:pPr>
              <w:rPr>
                <w:rFonts w:ascii="Times New Roman" w:hAnsi="Times New Roman" w:eastAsia="仿宋" w:cs="Times New Roman"/>
                <w:sz w:val="18"/>
                <w:szCs w:val="18"/>
                <w:lang w:val="zh-CN"/>
              </w:rPr>
            </w:pPr>
          </w:p>
        </w:tc>
      </w:tr>
      <w:tr w14:paraId="2347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continue"/>
            <w:vAlign w:val="center"/>
          </w:tcPr>
          <w:p w14:paraId="7214D85F">
            <w:pPr>
              <w:rPr>
                <w:rFonts w:ascii="Times New Roman" w:hAnsi="Times New Roman" w:eastAsia="仿宋" w:cs="Times New Roman"/>
                <w:sz w:val="18"/>
                <w:szCs w:val="18"/>
                <w:lang w:val="zh-CN"/>
              </w:rPr>
            </w:pPr>
          </w:p>
        </w:tc>
        <w:tc>
          <w:tcPr>
            <w:tcW w:w="1531" w:type="dxa"/>
            <w:vAlign w:val="center"/>
          </w:tcPr>
          <w:p w14:paraId="43D22FB1">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1.3 History of China's petroleum industry</w:t>
            </w:r>
          </w:p>
        </w:tc>
        <w:tc>
          <w:tcPr>
            <w:tcW w:w="3030" w:type="dxa"/>
            <w:vMerge w:val="continue"/>
            <w:vAlign w:val="center"/>
          </w:tcPr>
          <w:p w14:paraId="34FEB4B7">
            <w:pPr>
              <w:jc w:val="left"/>
              <w:rPr>
                <w:rFonts w:ascii="Times New Roman" w:hAnsi="Times New Roman" w:eastAsia="仿宋" w:cs="Times New Roman"/>
                <w:sz w:val="18"/>
                <w:szCs w:val="18"/>
                <w:lang w:val="zh-CN"/>
              </w:rPr>
            </w:pPr>
          </w:p>
        </w:tc>
        <w:tc>
          <w:tcPr>
            <w:tcW w:w="567" w:type="dxa"/>
            <w:vMerge w:val="continue"/>
            <w:vAlign w:val="center"/>
          </w:tcPr>
          <w:p w14:paraId="4E656715">
            <w:pPr>
              <w:jc w:val="center"/>
              <w:rPr>
                <w:rFonts w:ascii="Times New Roman" w:hAnsi="Times New Roman" w:eastAsia="仿宋" w:cs="Times New Roman"/>
                <w:sz w:val="18"/>
                <w:szCs w:val="18"/>
                <w:lang w:val="zh-CN"/>
              </w:rPr>
            </w:pPr>
          </w:p>
        </w:tc>
        <w:tc>
          <w:tcPr>
            <w:tcW w:w="1619" w:type="dxa"/>
            <w:vMerge w:val="continue"/>
            <w:vAlign w:val="center"/>
          </w:tcPr>
          <w:p w14:paraId="3C645885">
            <w:pPr>
              <w:rPr>
                <w:rFonts w:ascii="Times New Roman" w:hAnsi="Times New Roman" w:eastAsia="仿宋" w:cs="Times New Roman"/>
                <w:sz w:val="18"/>
                <w:szCs w:val="18"/>
                <w:lang w:val="zh-CN"/>
              </w:rPr>
            </w:pPr>
          </w:p>
        </w:tc>
      </w:tr>
      <w:tr w14:paraId="259B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restart"/>
            <w:vAlign w:val="center"/>
          </w:tcPr>
          <w:p w14:paraId="52BFF93F">
            <w:pPr>
              <w:jc w:val="left"/>
              <w:rPr>
                <w:rFonts w:hint="eastAsia" w:ascii="Times New Roman" w:hAnsi="Times New Roman" w:eastAsia="仿宋" w:cs="Times New Roman"/>
                <w:sz w:val="18"/>
                <w:szCs w:val="18"/>
                <w:lang w:val="zh-CN" w:eastAsia="zh-CN"/>
              </w:rPr>
            </w:pPr>
            <w:r>
              <w:rPr>
                <w:rFonts w:ascii="Times New Roman" w:hAnsi="Times New Roman" w:eastAsia="仿宋" w:cs="Times New Roman"/>
                <w:sz w:val="18"/>
                <w:szCs w:val="18"/>
                <w:lang w:val="zh-CN"/>
              </w:rPr>
              <w:t xml:space="preserve">Chapter </w:t>
            </w:r>
            <w:r>
              <w:rPr>
                <w:rFonts w:hint="eastAsia" w:ascii="Times New Roman" w:hAnsi="Times New Roman" w:eastAsia="仿宋" w:cs="Times New Roman"/>
                <w:sz w:val="18"/>
                <w:szCs w:val="18"/>
                <w:lang w:val="en-US" w:eastAsia="zh-CN"/>
              </w:rPr>
              <w:t xml:space="preserve">2  </w:t>
            </w:r>
            <w:r>
              <w:rPr>
                <w:rFonts w:hint="eastAsia" w:ascii="Times New Roman" w:hAnsi="Times New Roman" w:eastAsia="仿宋" w:cs="Times New Roman"/>
                <w:sz w:val="18"/>
                <w:szCs w:val="18"/>
                <w:lang w:val="zh-CN"/>
              </w:rPr>
              <w:t>The Connotation and Background of China's Petroleum Culture</w:t>
            </w:r>
          </w:p>
          <w:p w14:paraId="77CB28D5">
            <w:pPr>
              <w:jc w:val="left"/>
              <w:rPr>
                <w:rFonts w:ascii="Times New Roman" w:hAnsi="Times New Roman" w:eastAsia="仿宋" w:cs="Times New Roman"/>
                <w:kern w:val="2"/>
                <w:sz w:val="18"/>
                <w:szCs w:val="18"/>
                <w:lang w:val="zh-CN" w:eastAsia="zh-CN" w:bidi="ar-SA"/>
              </w:rPr>
            </w:pPr>
          </w:p>
        </w:tc>
        <w:tc>
          <w:tcPr>
            <w:tcW w:w="1531" w:type="dxa"/>
            <w:vAlign w:val="center"/>
          </w:tcPr>
          <w:p w14:paraId="1A8A43B5">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 xml:space="preserve">2.1 </w:t>
            </w:r>
            <w:r>
              <w:rPr>
                <w:rFonts w:hint="eastAsia" w:ascii="Times New Roman" w:hAnsi="Times New Roman" w:eastAsia="仿宋" w:cs="Times New Roman"/>
                <w:sz w:val="18"/>
                <w:szCs w:val="18"/>
                <w:lang w:val="en-US" w:eastAsia="zh-CN"/>
              </w:rPr>
              <w:t xml:space="preserve"> </w:t>
            </w:r>
            <w:r>
              <w:rPr>
                <w:rFonts w:hint="eastAsia" w:ascii="Times New Roman" w:hAnsi="Times New Roman" w:eastAsia="仿宋" w:cs="Times New Roman"/>
                <w:sz w:val="18"/>
                <w:szCs w:val="18"/>
                <w:lang w:val="zh-CN"/>
              </w:rPr>
              <w:t>The Connotation of China's Petroleum Culture</w:t>
            </w:r>
          </w:p>
        </w:tc>
        <w:tc>
          <w:tcPr>
            <w:tcW w:w="3030" w:type="dxa"/>
            <w:vMerge w:val="restart"/>
            <w:vAlign w:val="center"/>
          </w:tcPr>
          <w:p w14:paraId="265EF324">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Understand the development of culture and culture, the basic connotation of Chinese petroleum culture, grasp the core and soul of traditional petroleum enterprise culture, clarify the background and conditions of China's petroleum culture, cultivate national pride, and understand and disseminate Chinese petroleum culture in the context of the new era.</w:t>
            </w:r>
          </w:p>
        </w:tc>
        <w:tc>
          <w:tcPr>
            <w:tcW w:w="567" w:type="dxa"/>
            <w:vMerge w:val="restart"/>
            <w:vAlign w:val="center"/>
          </w:tcPr>
          <w:p w14:paraId="5244F0F0">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w:t>
            </w:r>
          </w:p>
        </w:tc>
        <w:tc>
          <w:tcPr>
            <w:tcW w:w="1619" w:type="dxa"/>
            <w:vMerge w:val="restart"/>
            <w:vAlign w:val="center"/>
          </w:tcPr>
          <w:p w14:paraId="154A9F8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lang w:val="zh-CN"/>
              </w:rPr>
              <w:t>Memory</w:t>
            </w:r>
          </w:p>
          <w:p w14:paraId="34C7FE2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34AEFD73">
            <w:pPr>
              <w:jc w:val="left"/>
              <w:rPr>
                <w:rFonts w:ascii="Times New Roman" w:hAnsi="Times New Roman" w:eastAsia="仿宋" w:cs="Times New Roman"/>
                <w:sz w:val="18"/>
                <w:szCs w:val="18"/>
                <w:lang w:val="zh-CN" w:eastAsia="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Comprehensive Analysis</w:t>
            </w:r>
          </w:p>
        </w:tc>
      </w:tr>
      <w:tr w14:paraId="3463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continue"/>
            <w:vAlign w:val="center"/>
          </w:tcPr>
          <w:p w14:paraId="17D80B57">
            <w:pPr>
              <w:rPr>
                <w:rFonts w:ascii="Times New Roman" w:hAnsi="Times New Roman" w:eastAsia="仿宋" w:cs="Times New Roman"/>
                <w:kern w:val="2"/>
                <w:sz w:val="18"/>
                <w:szCs w:val="18"/>
                <w:lang w:val="zh-CN" w:eastAsia="zh-CN" w:bidi="ar-SA"/>
              </w:rPr>
            </w:pPr>
          </w:p>
        </w:tc>
        <w:tc>
          <w:tcPr>
            <w:tcW w:w="1531" w:type="dxa"/>
            <w:vAlign w:val="center"/>
          </w:tcPr>
          <w:p w14:paraId="4BE5EB2E">
            <w:pPr>
              <w:jc w:val="left"/>
              <w:rPr>
                <w:rFonts w:ascii="Times New Roman" w:hAnsi="Times New Roman" w:eastAsia="仿宋" w:cs="Times New Roman"/>
                <w:kern w:val="2"/>
                <w:sz w:val="18"/>
                <w:szCs w:val="18"/>
                <w:lang w:val="zh-CN" w:eastAsia="zh-CN" w:bidi="ar-SA"/>
              </w:rPr>
            </w:pPr>
            <w:r>
              <w:rPr>
                <w:rFonts w:hint="eastAsia" w:ascii="Times New Roman" w:hAnsi="Times New Roman" w:eastAsia="仿宋" w:cs="Times New Roman"/>
                <w:sz w:val="18"/>
                <w:szCs w:val="18"/>
                <w:lang w:val="zh-CN"/>
              </w:rPr>
              <w:t>2.2</w:t>
            </w:r>
            <w:r>
              <w:rPr>
                <w:rFonts w:hint="eastAsia" w:ascii="Times New Roman" w:hAnsi="Times New Roman" w:eastAsia="仿宋" w:cs="Times New Roman"/>
                <w:sz w:val="18"/>
                <w:szCs w:val="18"/>
                <w:lang w:val="en-US" w:eastAsia="zh-CN"/>
              </w:rPr>
              <w:t xml:space="preserve">  </w:t>
            </w:r>
            <w:r>
              <w:rPr>
                <w:rFonts w:hint="eastAsia" w:ascii="Times New Roman" w:hAnsi="Times New Roman" w:eastAsia="仿宋" w:cs="Times New Roman"/>
                <w:sz w:val="18"/>
                <w:szCs w:val="18"/>
                <w:lang w:val="zh-CN"/>
              </w:rPr>
              <w:t>The background of China's petroleum culture</w:t>
            </w:r>
          </w:p>
        </w:tc>
        <w:tc>
          <w:tcPr>
            <w:tcW w:w="3030" w:type="dxa"/>
            <w:vMerge w:val="continue"/>
            <w:vAlign w:val="center"/>
          </w:tcPr>
          <w:p w14:paraId="3AE0AE4E">
            <w:pPr>
              <w:jc w:val="left"/>
              <w:rPr>
                <w:rFonts w:ascii="Times New Roman" w:hAnsi="Times New Roman" w:eastAsia="仿宋" w:cs="Times New Roman"/>
                <w:kern w:val="2"/>
                <w:sz w:val="18"/>
                <w:szCs w:val="18"/>
                <w:lang w:val="zh-CN" w:eastAsia="zh-CN" w:bidi="ar-SA"/>
              </w:rPr>
            </w:pPr>
          </w:p>
        </w:tc>
        <w:tc>
          <w:tcPr>
            <w:tcW w:w="567" w:type="dxa"/>
            <w:vMerge w:val="continue"/>
            <w:vAlign w:val="center"/>
          </w:tcPr>
          <w:p w14:paraId="0AA603AD">
            <w:pPr>
              <w:jc w:val="center"/>
              <w:rPr>
                <w:rFonts w:ascii="Times New Roman" w:hAnsi="Times New Roman" w:eastAsia="仿宋" w:cs="Times New Roman"/>
                <w:kern w:val="2"/>
                <w:sz w:val="18"/>
                <w:szCs w:val="18"/>
                <w:lang w:val="zh-CN" w:eastAsia="zh-CN" w:bidi="ar-SA"/>
              </w:rPr>
            </w:pPr>
          </w:p>
        </w:tc>
        <w:tc>
          <w:tcPr>
            <w:tcW w:w="1619" w:type="dxa"/>
            <w:vMerge w:val="continue"/>
            <w:vAlign w:val="center"/>
          </w:tcPr>
          <w:p w14:paraId="093C0BF6">
            <w:pPr>
              <w:rPr>
                <w:rFonts w:ascii="Times New Roman" w:hAnsi="Times New Roman" w:eastAsia="仿宋" w:cs="Times New Roman"/>
                <w:kern w:val="2"/>
                <w:sz w:val="18"/>
                <w:szCs w:val="18"/>
                <w:lang w:val="zh-CN" w:eastAsia="zh-CN" w:bidi="ar-SA"/>
              </w:rPr>
            </w:pPr>
          </w:p>
        </w:tc>
      </w:tr>
      <w:tr w14:paraId="0F38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restart"/>
            <w:vAlign w:val="center"/>
          </w:tcPr>
          <w:p w14:paraId="54974D99">
            <w:pPr>
              <w:jc w:val="left"/>
              <w:rPr>
                <w:rFonts w:ascii="Times New Roman" w:hAnsi="Times New Roman" w:eastAsia="仿宋" w:cs="Times New Roman"/>
                <w:sz w:val="18"/>
                <w:szCs w:val="18"/>
                <w:lang w:val="zh-CN"/>
              </w:rPr>
            </w:pPr>
            <w:r>
              <w:rPr>
                <w:rFonts w:hint="eastAsia" w:ascii="Times New Roman" w:hAnsi="Times New Roman" w:eastAsia="仿宋" w:cs="Times New Roman"/>
                <w:kern w:val="2"/>
                <w:sz w:val="18"/>
                <w:szCs w:val="18"/>
                <w:lang w:val="zh-CN" w:eastAsia="zh-CN" w:bidi="ar-SA"/>
              </w:rPr>
              <w:t xml:space="preserve">Chapter </w:t>
            </w:r>
            <w:r>
              <w:rPr>
                <w:rFonts w:hint="eastAsia" w:ascii="Times New Roman" w:hAnsi="Times New Roman" w:eastAsia="仿宋" w:cs="Times New Roman"/>
                <w:kern w:val="2"/>
                <w:sz w:val="18"/>
                <w:szCs w:val="18"/>
                <w:lang w:val="en-US" w:eastAsia="zh-CN" w:bidi="ar-SA"/>
              </w:rPr>
              <w:t xml:space="preserve">3 </w:t>
            </w:r>
            <w:r>
              <w:rPr>
                <w:rFonts w:hint="eastAsia" w:ascii="Times New Roman" w:hAnsi="Times New Roman" w:eastAsia="仿宋" w:cs="Times New Roman"/>
                <w:kern w:val="2"/>
                <w:sz w:val="18"/>
                <w:szCs w:val="18"/>
                <w:lang w:val="zh-CN" w:eastAsia="zh-CN" w:bidi="ar-SA"/>
              </w:rPr>
              <w:t xml:space="preserve">Stages and Basic Characteristics of the Development of China's Petroleum Culture </w:t>
            </w:r>
          </w:p>
        </w:tc>
        <w:tc>
          <w:tcPr>
            <w:tcW w:w="1531" w:type="dxa"/>
            <w:vAlign w:val="center"/>
          </w:tcPr>
          <w:p w14:paraId="2B3F1D54">
            <w:pPr>
              <w:jc w:val="left"/>
              <w:rPr>
                <w:rFonts w:ascii="Times New Roman" w:hAnsi="Times New Roman" w:eastAsia="仿宋" w:cs="Times New Roman"/>
                <w:kern w:val="2"/>
                <w:sz w:val="18"/>
                <w:szCs w:val="18"/>
                <w:lang w:val="zh-CN" w:eastAsia="zh-CN" w:bidi="ar-SA"/>
              </w:rPr>
            </w:pPr>
            <w:r>
              <w:rPr>
                <w:rFonts w:hint="eastAsia" w:ascii="Times New Roman" w:hAnsi="Times New Roman" w:eastAsia="仿宋" w:cs="Times New Roman"/>
                <w:kern w:val="2"/>
                <w:sz w:val="18"/>
                <w:szCs w:val="18"/>
                <w:lang w:val="zh-CN" w:eastAsia="zh-CN" w:bidi="ar-SA"/>
              </w:rPr>
              <w:t xml:space="preserve">3.1 </w:t>
            </w:r>
            <w:r>
              <w:rPr>
                <w:rFonts w:hint="eastAsia" w:ascii="Times New Roman" w:hAnsi="Times New Roman" w:eastAsia="仿宋" w:cs="Times New Roman"/>
                <w:kern w:val="2"/>
                <w:sz w:val="18"/>
                <w:szCs w:val="18"/>
                <w:lang w:val="en-US" w:eastAsia="zh-CN" w:bidi="ar-SA"/>
              </w:rPr>
              <w:t xml:space="preserve"> </w:t>
            </w:r>
            <w:r>
              <w:rPr>
                <w:rFonts w:hint="eastAsia" w:ascii="Times New Roman" w:hAnsi="Times New Roman" w:eastAsia="仿宋" w:cs="Times New Roman"/>
                <w:kern w:val="2"/>
                <w:sz w:val="18"/>
                <w:szCs w:val="18"/>
                <w:lang w:val="zh-CN" w:eastAsia="zh-CN" w:bidi="ar-SA"/>
              </w:rPr>
              <w:t>Stages of Development of China's Petroleum Culture</w:t>
            </w:r>
          </w:p>
        </w:tc>
        <w:tc>
          <w:tcPr>
            <w:tcW w:w="3030" w:type="dxa"/>
            <w:vMerge w:val="restart"/>
            <w:vAlign w:val="center"/>
          </w:tcPr>
          <w:p w14:paraId="0169F07D">
            <w:pPr>
              <w:jc w:val="left"/>
              <w:rPr>
                <w:rFonts w:ascii="Times New Roman" w:hAnsi="Times New Roman" w:eastAsia="仿宋" w:cs="Times New Roman"/>
                <w:kern w:val="2"/>
                <w:sz w:val="18"/>
                <w:szCs w:val="18"/>
                <w:lang w:val="zh-CN" w:eastAsia="zh-CN" w:bidi="ar-SA"/>
              </w:rPr>
            </w:pPr>
            <w:r>
              <w:rPr>
                <w:rFonts w:hint="eastAsia" w:ascii="Times New Roman" w:hAnsi="Times New Roman" w:eastAsia="仿宋" w:cs="Times New Roman"/>
                <w:kern w:val="2"/>
                <w:sz w:val="18"/>
                <w:szCs w:val="18"/>
                <w:lang w:val="zh-CN" w:eastAsia="zh-CN" w:bidi="ar-SA"/>
              </w:rPr>
              <w:t>Understand the four stages of the embryonic, formation, tortuous development, and rapid development of China's petroleum culture; understand the basic characteristics of China's petroleum culture, such as paramilitary organizational culture, integrated multiculturalism, unique political culture, unique battle culture, typical model culture, optimistic heroism culture, and arduous entrepreneurial culture.</w:t>
            </w:r>
          </w:p>
        </w:tc>
        <w:tc>
          <w:tcPr>
            <w:tcW w:w="567" w:type="dxa"/>
            <w:vMerge w:val="restart"/>
            <w:vAlign w:val="center"/>
          </w:tcPr>
          <w:p w14:paraId="0269B66A">
            <w:pPr>
              <w:jc w:val="center"/>
              <w:rPr>
                <w:rFonts w:hint="default" w:ascii="Times New Roman" w:hAnsi="Times New Roman" w:eastAsia="仿宋" w:cs="Times New Roman"/>
                <w:kern w:val="2"/>
                <w:sz w:val="18"/>
                <w:szCs w:val="18"/>
                <w:lang w:val="en-US" w:eastAsia="zh-CN" w:bidi="ar-SA"/>
              </w:rPr>
            </w:pPr>
            <w:r>
              <w:rPr>
                <w:rFonts w:hint="eastAsia" w:ascii="Times New Roman" w:hAnsi="Times New Roman" w:eastAsia="仿宋" w:cs="Times New Roman"/>
                <w:kern w:val="2"/>
                <w:sz w:val="18"/>
                <w:szCs w:val="18"/>
                <w:lang w:val="en-US" w:eastAsia="zh-CN" w:bidi="ar-SA"/>
              </w:rPr>
              <w:t>8</w:t>
            </w:r>
          </w:p>
        </w:tc>
        <w:tc>
          <w:tcPr>
            <w:tcW w:w="1619" w:type="dxa"/>
            <w:vMerge w:val="restart"/>
            <w:vAlign w:val="center"/>
          </w:tcPr>
          <w:p w14:paraId="3A1DD6F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2E6BB29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646DF232">
            <w:pPr>
              <w:jc w:val="left"/>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lang w:val="zh-CN"/>
              </w:rPr>
              <w:t>Comprehensive Analysis</w:t>
            </w:r>
          </w:p>
        </w:tc>
      </w:tr>
      <w:tr w14:paraId="0C307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continue"/>
            <w:vAlign w:val="center"/>
          </w:tcPr>
          <w:p w14:paraId="7E742EC7">
            <w:pPr>
              <w:rPr>
                <w:rFonts w:ascii="Times New Roman" w:hAnsi="Times New Roman" w:eastAsia="仿宋" w:cs="Times New Roman"/>
                <w:sz w:val="18"/>
                <w:szCs w:val="18"/>
                <w:lang w:val="zh-CN"/>
              </w:rPr>
            </w:pPr>
          </w:p>
        </w:tc>
        <w:tc>
          <w:tcPr>
            <w:tcW w:w="1531" w:type="dxa"/>
            <w:vAlign w:val="center"/>
          </w:tcPr>
          <w:p w14:paraId="0E41B2AC">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3.2</w:t>
            </w:r>
            <w:r>
              <w:rPr>
                <w:rFonts w:hint="eastAsia" w:ascii="Times New Roman" w:hAnsi="Times New Roman" w:eastAsia="仿宋" w:cs="Times New Roman"/>
                <w:sz w:val="18"/>
                <w:szCs w:val="18"/>
                <w:lang w:val="en-US" w:eastAsia="zh-CN"/>
              </w:rPr>
              <w:t xml:space="preserve"> </w:t>
            </w:r>
            <w:r>
              <w:rPr>
                <w:rFonts w:hint="eastAsia" w:ascii="Times New Roman" w:hAnsi="Times New Roman" w:eastAsia="仿宋" w:cs="Times New Roman"/>
                <w:sz w:val="18"/>
                <w:szCs w:val="18"/>
                <w:lang w:val="zh-CN"/>
              </w:rPr>
              <w:t xml:space="preserve"> Basic characteristics of China's petroleum culture</w:t>
            </w:r>
          </w:p>
        </w:tc>
        <w:tc>
          <w:tcPr>
            <w:tcW w:w="3030" w:type="dxa"/>
            <w:vMerge w:val="continue"/>
            <w:vAlign w:val="center"/>
          </w:tcPr>
          <w:p w14:paraId="013F47B1">
            <w:pPr>
              <w:jc w:val="left"/>
              <w:rPr>
                <w:rFonts w:ascii="Times New Roman" w:hAnsi="Times New Roman" w:eastAsia="仿宋" w:cs="Times New Roman"/>
                <w:sz w:val="18"/>
                <w:szCs w:val="18"/>
                <w:lang w:val="zh-CN"/>
              </w:rPr>
            </w:pPr>
          </w:p>
        </w:tc>
        <w:tc>
          <w:tcPr>
            <w:tcW w:w="567" w:type="dxa"/>
            <w:vMerge w:val="continue"/>
            <w:vAlign w:val="center"/>
          </w:tcPr>
          <w:p w14:paraId="4CBC3E51">
            <w:pPr>
              <w:jc w:val="center"/>
              <w:rPr>
                <w:rFonts w:ascii="Times New Roman" w:hAnsi="Times New Roman" w:eastAsia="仿宋" w:cs="Times New Roman"/>
                <w:sz w:val="18"/>
                <w:szCs w:val="18"/>
                <w:lang w:val="zh-CN"/>
              </w:rPr>
            </w:pPr>
          </w:p>
        </w:tc>
        <w:tc>
          <w:tcPr>
            <w:tcW w:w="1619" w:type="dxa"/>
            <w:vMerge w:val="continue"/>
            <w:vAlign w:val="center"/>
          </w:tcPr>
          <w:p w14:paraId="1884C9A0">
            <w:pPr>
              <w:rPr>
                <w:rFonts w:ascii="Times New Roman" w:hAnsi="Times New Roman" w:eastAsia="仿宋" w:cs="Times New Roman"/>
                <w:sz w:val="18"/>
                <w:szCs w:val="18"/>
                <w:lang w:val="zh-CN"/>
              </w:rPr>
            </w:pPr>
          </w:p>
        </w:tc>
      </w:tr>
      <w:tr w14:paraId="09245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restart"/>
            <w:vAlign w:val="center"/>
          </w:tcPr>
          <w:p w14:paraId="660CBF35">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 xml:space="preserve">Chapter </w:t>
            </w:r>
            <w:r>
              <w:rPr>
                <w:rFonts w:hint="eastAsia" w:ascii="Times New Roman" w:hAnsi="Times New Roman" w:eastAsia="仿宋" w:cs="Times New Roman"/>
                <w:sz w:val="18"/>
                <w:szCs w:val="18"/>
                <w:lang w:val="en-US" w:eastAsia="zh-CN"/>
              </w:rPr>
              <w:t xml:space="preserve">4  </w:t>
            </w:r>
            <w:r>
              <w:rPr>
                <w:rFonts w:hint="eastAsia" w:ascii="Times New Roman" w:hAnsi="Times New Roman" w:eastAsia="仿宋" w:cs="Times New Roman"/>
                <w:sz w:val="18"/>
                <w:szCs w:val="18"/>
                <w:lang w:val="zh-CN"/>
              </w:rPr>
              <w:t>The Manifestations of China's Petroleum Culture</w:t>
            </w:r>
          </w:p>
        </w:tc>
        <w:tc>
          <w:tcPr>
            <w:tcW w:w="1531" w:type="dxa"/>
            <w:vAlign w:val="center"/>
          </w:tcPr>
          <w:p w14:paraId="3B418C7B">
            <w:pPr>
              <w:jc w:val="left"/>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4.1</w:t>
            </w:r>
            <w:r>
              <w:rPr>
                <w:rFonts w:hint="eastAsia" w:ascii="Times New Roman" w:hAnsi="Times New Roman" w:eastAsia="仿宋" w:cs="Times New Roman"/>
                <w:sz w:val="18"/>
                <w:szCs w:val="18"/>
                <w:lang w:val="en-US" w:eastAsia="zh-CN"/>
              </w:rPr>
              <w:t xml:space="preserve"> </w:t>
            </w:r>
            <w:r>
              <w:rPr>
                <w:rFonts w:hint="eastAsia" w:ascii="Times New Roman" w:hAnsi="Times New Roman" w:eastAsia="仿宋" w:cs="Times New Roman"/>
                <w:sz w:val="18"/>
                <w:szCs w:val="18"/>
                <w:lang w:val="zh-CN"/>
              </w:rPr>
              <w:t xml:space="preserve"> PetroChina corporate culture</w:t>
            </w:r>
          </w:p>
          <w:p w14:paraId="21C0C457">
            <w:pPr>
              <w:jc w:val="left"/>
              <w:rPr>
                <w:rFonts w:ascii="Times New Roman" w:hAnsi="Times New Roman" w:eastAsia="仿宋" w:cs="Times New Roman"/>
                <w:sz w:val="18"/>
                <w:szCs w:val="18"/>
                <w:lang w:val="zh-CN"/>
              </w:rPr>
            </w:pPr>
          </w:p>
        </w:tc>
        <w:tc>
          <w:tcPr>
            <w:tcW w:w="3030" w:type="dxa"/>
            <w:vMerge w:val="restart"/>
            <w:vAlign w:val="center"/>
          </w:tcPr>
          <w:p w14:paraId="61E7CC07">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Grasp the specific form of PetroChina's corporate culture; clarify the practical significance of strengthening the construction of petroleum enterprise culture; understand the development of China's petroleum universities, how petroleum universities inherit petroleum culture in the new era; inherit the spirit of Li Siguang, Hou Xianglin, Min Enze, Chen Junwu, Wang Demin, and Gu Xinyi</w:t>
            </w:r>
          </w:p>
        </w:tc>
        <w:tc>
          <w:tcPr>
            <w:tcW w:w="567" w:type="dxa"/>
            <w:vMerge w:val="restart"/>
            <w:vAlign w:val="center"/>
          </w:tcPr>
          <w:p w14:paraId="30B7862D">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w:t>
            </w:r>
          </w:p>
        </w:tc>
        <w:tc>
          <w:tcPr>
            <w:tcW w:w="1619" w:type="dxa"/>
            <w:vMerge w:val="restart"/>
            <w:vAlign w:val="center"/>
          </w:tcPr>
          <w:p w14:paraId="26B9EAB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65D3786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48EA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continue"/>
            <w:vAlign w:val="center"/>
          </w:tcPr>
          <w:p w14:paraId="2F00A30C">
            <w:pPr>
              <w:rPr>
                <w:rFonts w:ascii="Times New Roman" w:hAnsi="Times New Roman" w:eastAsia="仿宋" w:cs="Times New Roman"/>
                <w:sz w:val="18"/>
                <w:szCs w:val="18"/>
                <w:lang w:val="zh-CN"/>
              </w:rPr>
            </w:pPr>
          </w:p>
        </w:tc>
        <w:tc>
          <w:tcPr>
            <w:tcW w:w="1531" w:type="dxa"/>
            <w:vAlign w:val="center"/>
          </w:tcPr>
          <w:p w14:paraId="6CE23495">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 xml:space="preserve">4.2 </w:t>
            </w:r>
            <w:r>
              <w:rPr>
                <w:rFonts w:hint="eastAsia" w:ascii="Times New Roman" w:hAnsi="Times New Roman" w:eastAsia="仿宋" w:cs="Times New Roman"/>
                <w:sz w:val="18"/>
                <w:szCs w:val="18"/>
                <w:lang w:val="en-US" w:eastAsia="zh-CN"/>
              </w:rPr>
              <w:t xml:space="preserve"> </w:t>
            </w:r>
            <w:r>
              <w:rPr>
                <w:rFonts w:hint="eastAsia" w:ascii="Times New Roman" w:hAnsi="Times New Roman" w:eastAsia="仿宋" w:cs="Times New Roman"/>
                <w:sz w:val="18"/>
                <w:szCs w:val="18"/>
                <w:lang w:val="zh-CN"/>
              </w:rPr>
              <w:t>Petroleum University Culture</w:t>
            </w:r>
          </w:p>
        </w:tc>
        <w:tc>
          <w:tcPr>
            <w:tcW w:w="3030" w:type="dxa"/>
            <w:vMerge w:val="continue"/>
            <w:vAlign w:val="center"/>
          </w:tcPr>
          <w:p w14:paraId="6F9EDAC9">
            <w:pPr>
              <w:jc w:val="left"/>
              <w:rPr>
                <w:rFonts w:ascii="Times New Roman" w:hAnsi="Times New Roman" w:eastAsia="仿宋" w:cs="Times New Roman"/>
                <w:sz w:val="18"/>
                <w:szCs w:val="18"/>
                <w:lang w:val="zh-CN"/>
              </w:rPr>
            </w:pPr>
          </w:p>
        </w:tc>
        <w:tc>
          <w:tcPr>
            <w:tcW w:w="567" w:type="dxa"/>
            <w:vMerge w:val="continue"/>
            <w:vAlign w:val="center"/>
          </w:tcPr>
          <w:p w14:paraId="1979426D">
            <w:pPr>
              <w:jc w:val="center"/>
              <w:rPr>
                <w:rFonts w:ascii="Times New Roman" w:hAnsi="Times New Roman" w:eastAsia="仿宋" w:cs="Times New Roman"/>
                <w:sz w:val="18"/>
                <w:szCs w:val="18"/>
                <w:lang w:val="zh-CN"/>
              </w:rPr>
            </w:pPr>
          </w:p>
        </w:tc>
        <w:tc>
          <w:tcPr>
            <w:tcW w:w="1619" w:type="dxa"/>
            <w:vMerge w:val="continue"/>
            <w:vAlign w:val="center"/>
          </w:tcPr>
          <w:p w14:paraId="789E879C">
            <w:pPr>
              <w:rPr>
                <w:rFonts w:ascii="Times New Roman" w:hAnsi="Times New Roman" w:eastAsia="仿宋" w:cs="Times New Roman"/>
                <w:sz w:val="18"/>
                <w:szCs w:val="18"/>
                <w:lang w:val="zh-CN"/>
              </w:rPr>
            </w:pPr>
          </w:p>
        </w:tc>
      </w:tr>
      <w:tr w14:paraId="06FA7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Merge w:val="continue"/>
            <w:vAlign w:val="center"/>
          </w:tcPr>
          <w:p w14:paraId="15D1D74B">
            <w:pPr>
              <w:rPr>
                <w:rFonts w:ascii="Times New Roman" w:hAnsi="Times New Roman" w:eastAsia="仿宋" w:cs="Times New Roman"/>
                <w:sz w:val="18"/>
                <w:szCs w:val="18"/>
                <w:lang w:val="zh-CN"/>
              </w:rPr>
            </w:pPr>
          </w:p>
        </w:tc>
        <w:tc>
          <w:tcPr>
            <w:tcW w:w="1531" w:type="dxa"/>
            <w:vAlign w:val="center"/>
          </w:tcPr>
          <w:p w14:paraId="20400C82">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4.3</w:t>
            </w:r>
            <w:r>
              <w:rPr>
                <w:rFonts w:hint="eastAsia" w:ascii="Times New Roman" w:hAnsi="Times New Roman" w:eastAsia="仿宋" w:cs="Times New Roman"/>
                <w:sz w:val="18"/>
                <w:szCs w:val="18"/>
                <w:lang w:val="en-US" w:eastAsia="zh-CN"/>
              </w:rPr>
              <w:t xml:space="preserve">  </w:t>
            </w:r>
            <w:r>
              <w:rPr>
                <w:rFonts w:hint="eastAsia" w:ascii="Times New Roman" w:hAnsi="Times New Roman" w:eastAsia="仿宋" w:cs="Times New Roman"/>
                <w:sz w:val="18"/>
                <w:szCs w:val="18"/>
                <w:lang w:val="zh-CN"/>
              </w:rPr>
              <w:t>Academician Culture</w:t>
            </w:r>
          </w:p>
        </w:tc>
        <w:tc>
          <w:tcPr>
            <w:tcW w:w="3030" w:type="dxa"/>
            <w:vMerge w:val="continue"/>
            <w:vAlign w:val="center"/>
          </w:tcPr>
          <w:p w14:paraId="32053AC5">
            <w:pPr>
              <w:jc w:val="left"/>
              <w:rPr>
                <w:rFonts w:ascii="Times New Roman" w:hAnsi="Times New Roman" w:eastAsia="仿宋" w:cs="Times New Roman"/>
                <w:sz w:val="18"/>
                <w:szCs w:val="18"/>
                <w:lang w:val="zh-CN"/>
              </w:rPr>
            </w:pPr>
          </w:p>
        </w:tc>
        <w:tc>
          <w:tcPr>
            <w:tcW w:w="567" w:type="dxa"/>
            <w:vMerge w:val="continue"/>
            <w:vAlign w:val="center"/>
          </w:tcPr>
          <w:p w14:paraId="0E97D6A7">
            <w:pPr>
              <w:jc w:val="center"/>
              <w:rPr>
                <w:rFonts w:ascii="Times New Roman" w:hAnsi="Times New Roman" w:eastAsia="仿宋" w:cs="Times New Roman"/>
                <w:sz w:val="18"/>
                <w:szCs w:val="18"/>
                <w:lang w:val="zh-CN"/>
              </w:rPr>
            </w:pPr>
          </w:p>
        </w:tc>
        <w:tc>
          <w:tcPr>
            <w:tcW w:w="1619" w:type="dxa"/>
            <w:vMerge w:val="continue"/>
            <w:vAlign w:val="center"/>
          </w:tcPr>
          <w:p w14:paraId="2AABE653">
            <w:pPr>
              <w:rPr>
                <w:rFonts w:ascii="Times New Roman" w:hAnsi="Times New Roman" w:eastAsia="仿宋" w:cs="Times New Roman"/>
                <w:sz w:val="18"/>
                <w:szCs w:val="18"/>
                <w:lang w:val="zh-CN"/>
              </w:rPr>
            </w:pPr>
          </w:p>
        </w:tc>
      </w:tr>
      <w:tr w14:paraId="3E6E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1530" w:type="dxa"/>
            <w:vMerge w:val="restart"/>
            <w:vAlign w:val="center"/>
          </w:tcPr>
          <w:p w14:paraId="189BF8A4">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Chapter</w:t>
            </w:r>
            <w:r>
              <w:rPr>
                <w:rFonts w:hint="eastAsia" w:ascii="Times New Roman" w:hAnsi="Times New Roman" w:eastAsia="仿宋" w:cs="Times New Roman"/>
                <w:sz w:val="18"/>
                <w:szCs w:val="18"/>
                <w:lang w:val="en-US" w:eastAsia="zh-CN"/>
              </w:rPr>
              <w:t xml:space="preserve"> 5 </w:t>
            </w:r>
            <w:r>
              <w:rPr>
                <w:rFonts w:hint="eastAsia" w:ascii="Times New Roman" w:hAnsi="Times New Roman" w:eastAsia="仿宋" w:cs="Times New Roman"/>
                <w:sz w:val="18"/>
                <w:szCs w:val="18"/>
                <w:lang w:val="zh-CN"/>
              </w:rPr>
              <w:t xml:space="preserve">Innovation and Development of PetroChina Culture </w:t>
            </w:r>
          </w:p>
        </w:tc>
        <w:tc>
          <w:tcPr>
            <w:tcW w:w="1531" w:type="dxa"/>
            <w:vAlign w:val="center"/>
          </w:tcPr>
          <w:p w14:paraId="10540911">
            <w:pPr>
              <w:jc w:val="left"/>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5.1 The significance and motivation of the innovative development of PetroChina's corporate culture</w:t>
            </w:r>
          </w:p>
        </w:tc>
        <w:tc>
          <w:tcPr>
            <w:tcW w:w="3030" w:type="dxa"/>
            <w:vMerge w:val="restart"/>
            <w:vAlign w:val="center"/>
          </w:tcPr>
          <w:p w14:paraId="3522F746">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Understand the significance and motivation of the innovative development of PetroChina's corporate culture; clarify the internal and external conditions for the innovative development of PetroChina's corporate culture; and grasp the trend and direction of the innovative development of PetroChina's corporate culture.</w:t>
            </w:r>
          </w:p>
        </w:tc>
        <w:tc>
          <w:tcPr>
            <w:tcW w:w="567" w:type="dxa"/>
            <w:vMerge w:val="restart"/>
            <w:vAlign w:val="center"/>
          </w:tcPr>
          <w:p w14:paraId="00FFA136">
            <w:pPr>
              <w:jc w:val="center"/>
              <w:rPr>
                <w:rFonts w:hint="default"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1</w:t>
            </w:r>
          </w:p>
        </w:tc>
        <w:tc>
          <w:tcPr>
            <w:tcW w:w="1619" w:type="dxa"/>
            <w:vMerge w:val="restart"/>
            <w:vAlign w:val="center"/>
          </w:tcPr>
          <w:p w14:paraId="5D4B799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1DAA51D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00341FF1">
            <w:pPr>
              <w:jc w:val="left"/>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A</w:t>
            </w:r>
            <w:r>
              <w:rPr>
                <w:rFonts w:hint="eastAsia" w:ascii="Times New Roman" w:hAnsi="Times New Roman" w:eastAsia="仿宋" w:cs="Times New Roman"/>
                <w:sz w:val="18"/>
                <w:szCs w:val="18"/>
                <w:lang w:val="zh-CN"/>
              </w:rPr>
              <w:t>pplication</w:t>
            </w:r>
          </w:p>
          <w:p w14:paraId="112D52BE">
            <w:pPr>
              <w:jc w:val="left"/>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lang w:val="zh-CN"/>
              </w:rPr>
              <w:t>Comprehensive Analysis</w:t>
            </w:r>
          </w:p>
        </w:tc>
      </w:tr>
      <w:tr w14:paraId="1C72C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1530" w:type="dxa"/>
            <w:vMerge w:val="continue"/>
            <w:vAlign w:val="center"/>
          </w:tcPr>
          <w:p w14:paraId="32A28275">
            <w:pPr>
              <w:jc w:val="left"/>
              <w:rPr>
                <w:rFonts w:hint="eastAsia" w:ascii="Times New Roman" w:hAnsi="Times New Roman" w:eastAsia="仿宋" w:cs="Times New Roman"/>
                <w:sz w:val="18"/>
                <w:szCs w:val="18"/>
                <w:lang w:val="zh-CN"/>
              </w:rPr>
            </w:pPr>
          </w:p>
        </w:tc>
        <w:tc>
          <w:tcPr>
            <w:tcW w:w="1531" w:type="dxa"/>
            <w:vAlign w:val="center"/>
          </w:tcPr>
          <w:p w14:paraId="41FA4BEF">
            <w:pPr>
              <w:jc w:val="left"/>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5.2 Conditions for the innovative development of PetroChina's corporate culture</w:t>
            </w:r>
          </w:p>
        </w:tc>
        <w:tc>
          <w:tcPr>
            <w:tcW w:w="3030" w:type="dxa"/>
            <w:vMerge w:val="continue"/>
            <w:vAlign w:val="center"/>
          </w:tcPr>
          <w:p w14:paraId="330EA727">
            <w:pPr>
              <w:jc w:val="left"/>
              <w:rPr>
                <w:rFonts w:hint="eastAsia" w:ascii="Times New Roman" w:hAnsi="Times New Roman" w:eastAsia="仿宋" w:cs="Times New Roman"/>
                <w:sz w:val="18"/>
                <w:szCs w:val="18"/>
                <w:lang w:val="zh-CN"/>
              </w:rPr>
            </w:pPr>
          </w:p>
        </w:tc>
        <w:tc>
          <w:tcPr>
            <w:tcW w:w="567" w:type="dxa"/>
            <w:vMerge w:val="continue"/>
            <w:vAlign w:val="center"/>
          </w:tcPr>
          <w:p w14:paraId="3707F3DA">
            <w:pPr>
              <w:jc w:val="left"/>
              <w:rPr>
                <w:rFonts w:hint="eastAsia" w:ascii="Times New Roman" w:hAnsi="Times New Roman" w:eastAsia="仿宋" w:cs="Times New Roman"/>
                <w:sz w:val="18"/>
                <w:szCs w:val="18"/>
                <w:lang w:val="zh-CN"/>
              </w:rPr>
            </w:pPr>
          </w:p>
        </w:tc>
        <w:tc>
          <w:tcPr>
            <w:tcW w:w="1619" w:type="dxa"/>
            <w:vMerge w:val="continue"/>
            <w:vAlign w:val="center"/>
          </w:tcPr>
          <w:p w14:paraId="635B05A7">
            <w:pPr>
              <w:jc w:val="left"/>
              <w:rPr>
                <w:rFonts w:hint="eastAsia" w:ascii="Times New Roman" w:hAnsi="Times New Roman" w:eastAsia="仿宋" w:cs="Times New Roman"/>
                <w:sz w:val="18"/>
                <w:szCs w:val="18"/>
                <w:lang w:val="zh-CN"/>
              </w:rPr>
            </w:pPr>
          </w:p>
        </w:tc>
      </w:tr>
      <w:tr w14:paraId="3A3A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1530" w:type="dxa"/>
            <w:vMerge w:val="restart"/>
            <w:vAlign w:val="center"/>
          </w:tcPr>
          <w:p w14:paraId="3C5ED1FB">
            <w:pPr>
              <w:jc w:val="left"/>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en-US" w:eastAsia="zh-CN"/>
              </w:rPr>
              <w:t xml:space="preserve">Chapter6 The Development Strategy of China's Petroleum Enterprises under Economic Globalization </w:t>
            </w:r>
          </w:p>
        </w:tc>
        <w:tc>
          <w:tcPr>
            <w:tcW w:w="1531" w:type="dxa"/>
            <w:vAlign w:val="center"/>
          </w:tcPr>
          <w:p w14:paraId="6D24762D">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6.1 International development strategy</w:t>
            </w:r>
          </w:p>
        </w:tc>
        <w:tc>
          <w:tcPr>
            <w:tcW w:w="3030" w:type="dxa"/>
            <w:vMerge w:val="restart"/>
            <w:vAlign w:val="center"/>
          </w:tcPr>
          <w:p w14:paraId="43DA3EFE">
            <w:pPr>
              <w:jc w:val="left"/>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Known the international development strategy of Chinese petroleum enterprises and make full use of the domestic and foreign markets; clarify the importance of Chinese petroleum enterprises in implementing the strategy of independent innovation and improve the international competitiveness of China's petroleum industry; understand the "competition and cooperation" strategy of Chinese petroleum enterprises, so as to achieve a degree of competition and win-win cooperation.</w:t>
            </w:r>
          </w:p>
        </w:tc>
        <w:tc>
          <w:tcPr>
            <w:tcW w:w="567" w:type="dxa"/>
            <w:vMerge w:val="restart"/>
            <w:vAlign w:val="center"/>
          </w:tcPr>
          <w:p w14:paraId="6E648CFF">
            <w:pPr>
              <w:jc w:val="center"/>
              <w:rPr>
                <w:rFonts w:hint="default" w:ascii="Times New Roman" w:hAnsi="Times New Roman" w:eastAsia="仿宋" w:cs="Times New Roman"/>
                <w:kern w:val="2"/>
                <w:sz w:val="18"/>
                <w:szCs w:val="18"/>
                <w:lang w:val="en-US" w:eastAsia="zh-CN" w:bidi="ar-SA"/>
              </w:rPr>
            </w:pPr>
            <w:r>
              <w:rPr>
                <w:rFonts w:hint="eastAsia" w:ascii="Times New Roman" w:hAnsi="Times New Roman" w:eastAsia="仿宋" w:cs="Times New Roman"/>
                <w:kern w:val="2"/>
                <w:sz w:val="18"/>
                <w:szCs w:val="18"/>
                <w:lang w:val="en-US" w:eastAsia="zh-CN" w:bidi="ar-SA"/>
              </w:rPr>
              <w:t>1</w:t>
            </w:r>
          </w:p>
        </w:tc>
        <w:tc>
          <w:tcPr>
            <w:tcW w:w="1619" w:type="dxa"/>
            <w:vMerge w:val="restart"/>
            <w:vAlign w:val="center"/>
          </w:tcPr>
          <w:p w14:paraId="1896E58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4B926DED">
            <w:pPr>
              <w:jc w:val="left"/>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A</w:t>
            </w:r>
            <w:r>
              <w:rPr>
                <w:rFonts w:hint="eastAsia" w:ascii="Times New Roman" w:hAnsi="Times New Roman" w:eastAsia="仿宋" w:cs="Times New Roman"/>
                <w:sz w:val="18"/>
                <w:szCs w:val="18"/>
                <w:lang w:val="zh-CN"/>
              </w:rPr>
              <w:t>pplication</w:t>
            </w:r>
          </w:p>
        </w:tc>
      </w:tr>
      <w:tr w14:paraId="2E8B2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1530" w:type="dxa"/>
            <w:vMerge w:val="continue"/>
            <w:vAlign w:val="center"/>
          </w:tcPr>
          <w:p w14:paraId="10412337">
            <w:pPr>
              <w:jc w:val="left"/>
              <w:rPr>
                <w:rFonts w:hint="eastAsia" w:ascii="Times New Roman" w:hAnsi="Times New Roman" w:eastAsia="仿宋" w:cs="Times New Roman"/>
                <w:sz w:val="18"/>
                <w:szCs w:val="18"/>
                <w:lang w:val="en-US" w:eastAsia="zh-CN"/>
              </w:rPr>
            </w:pPr>
          </w:p>
        </w:tc>
        <w:tc>
          <w:tcPr>
            <w:tcW w:w="1531" w:type="dxa"/>
            <w:vAlign w:val="center"/>
          </w:tcPr>
          <w:p w14:paraId="65702DE6">
            <w:pPr>
              <w:jc w:val="cente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6.2 Independent innovation strategy</w:t>
            </w:r>
          </w:p>
        </w:tc>
        <w:tc>
          <w:tcPr>
            <w:tcW w:w="3030" w:type="dxa"/>
            <w:vMerge w:val="continue"/>
            <w:vAlign w:val="center"/>
          </w:tcPr>
          <w:p w14:paraId="02D4B1C5">
            <w:pPr>
              <w:jc w:val="left"/>
              <w:rPr>
                <w:rFonts w:hint="eastAsia" w:ascii="Times New Roman" w:hAnsi="Times New Roman" w:eastAsia="仿宋" w:cs="Times New Roman"/>
                <w:sz w:val="18"/>
                <w:szCs w:val="18"/>
                <w:lang w:val="en-US" w:eastAsia="zh-CN"/>
              </w:rPr>
            </w:pPr>
          </w:p>
        </w:tc>
        <w:tc>
          <w:tcPr>
            <w:tcW w:w="567" w:type="dxa"/>
            <w:vMerge w:val="continue"/>
            <w:vAlign w:val="center"/>
          </w:tcPr>
          <w:p w14:paraId="053DFC5C">
            <w:pPr>
              <w:jc w:val="left"/>
              <w:rPr>
                <w:rFonts w:hint="eastAsia" w:ascii="Times New Roman" w:hAnsi="Times New Roman" w:eastAsia="仿宋" w:cs="Times New Roman"/>
                <w:sz w:val="18"/>
                <w:szCs w:val="18"/>
                <w:lang w:val="en-US" w:eastAsia="zh-CN"/>
              </w:rPr>
            </w:pPr>
          </w:p>
        </w:tc>
        <w:tc>
          <w:tcPr>
            <w:tcW w:w="1619" w:type="dxa"/>
            <w:vMerge w:val="continue"/>
            <w:vAlign w:val="center"/>
          </w:tcPr>
          <w:p w14:paraId="113D6C31">
            <w:pPr>
              <w:jc w:val="left"/>
              <w:rPr>
                <w:rFonts w:hint="eastAsia" w:ascii="Times New Roman" w:hAnsi="Times New Roman" w:eastAsia="仿宋" w:cs="Times New Roman"/>
                <w:sz w:val="18"/>
                <w:szCs w:val="18"/>
                <w:lang w:val="en-US" w:eastAsia="zh-CN"/>
              </w:rPr>
            </w:pPr>
          </w:p>
        </w:tc>
      </w:tr>
      <w:tr w14:paraId="1530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1530" w:type="dxa"/>
            <w:vMerge w:val="continue"/>
            <w:vAlign w:val="center"/>
          </w:tcPr>
          <w:p w14:paraId="7B54B023">
            <w:pPr>
              <w:jc w:val="left"/>
              <w:rPr>
                <w:rFonts w:hint="eastAsia" w:ascii="Times New Roman" w:hAnsi="Times New Roman" w:eastAsia="仿宋" w:cs="Times New Roman"/>
                <w:sz w:val="18"/>
                <w:szCs w:val="18"/>
                <w:lang w:val="en-US" w:eastAsia="zh-CN"/>
              </w:rPr>
            </w:pPr>
          </w:p>
        </w:tc>
        <w:tc>
          <w:tcPr>
            <w:tcW w:w="1531" w:type="dxa"/>
            <w:vAlign w:val="center"/>
          </w:tcPr>
          <w:p w14:paraId="3A6D15CB">
            <w:pPr>
              <w:jc w:val="left"/>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6.3 Modern "competition" strategies</w:t>
            </w:r>
          </w:p>
        </w:tc>
        <w:tc>
          <w:tcPr>
            <w:tcW w:w="3030" w:type="dxa"/>
            <w:vMerge w:val="continue"/>
            <w:vAlign w:val="center"/>
          </w:tcPr>
          <w:p w14:paraId="172EF833">
            <w:pPr>
              <w:jc w:val="left"/>
              <w:rPr>
                <w:rFonts w:hint="eastAsia" w:ascii="Times New Roman" w:hAnsi="Times New Roman" w:eastAsia="仿宋" w:cs="Times New Roman"/>
                <w:sz w:val="18"/>
                <w:szCs w:val="18"/>
                <w:lang w:val="en-US" w:eastAsia="zh-CN"/>
              </w:rPr>
            </w:pPr>
          </w:p>
        </w:tc>
        <w:tc>
          <w:tcPr>
            <w:tcW w:w="567" w:type="dxa"/>
            <w:vMerge w:val="continue"/>
            <w:vAlign w:val="center"/>
          </w:tcPr>
          <w:p w14:paraId="3F4144A7">
            <w:pPr>
              <w:jc w:val="left"/>
              <w:rPr>
                <w:rFonts w:hint="eastAsia" w:ascii="Times New Roman" w:hAnsi="Times New Roman" w:eastAsia="仿宋" w:cs="Times New Roman"/>
                <w:sz w:val="18"/>
                <w:szCs w:val="18"/>
                <w:lang w:val="en-US" w:eastAsia="zh-CN"/>
              </w:rPr>
            </w:pPr>
          </w:p>
        </w:tc>
        <w:tc>
          <w:tcPr>
            <w:tcW w:w="1619" w:type="dxa"/>
            <w:vMerge w:val="continue"/>
            <w:vAlign w:val="center"/>
          </w:tcPr>
          <w:p w14:paraId="38B7AFDC">
            <w:pPr>
              <w:jc w:val="left"/>
              <w:rPr>
                <w:rFonts w:hint="eastAsia" w:ascii="Times New Roman" w:hAnsi="Times New Roman" w:eastAsia="仿宋" w:cs="Times New Roman"/>
                <w:sz w:val="18"/>
                <w:szCs w:val="18"/>
                <w:lang w:val="en-US" w:eastAsia="zh-CN"/>
              </w:rPr>
            </w:pPr>
          </w:p>
        </w:tc>
      </w:tr>
      <w:tr w14:paraId="7E763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1530" w:type="dxa"/>
            <w:vMerge w:val="restart"/>
            <w:vAlign w:val="center"/>
          </w:tcPr>
          <w:p w14:paraId="0446AB3B">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 xml:space="preserve">Chapter </w:t>
            </w:r>
            <w:r>
              <w:rPr>
                <w:rFonts w:hint="eastAsia" w:ascii="Times New Roman" w:hAnsi="Times New Roman" w:eastAsia="仿宋" w:cs="Times New Roman"/>
                <w:sz w:val="18"/>
                <w:szCs w:val="18"/>
                <w:lang w:val="en-US" w:eastAsia="zh-CN"/>
              </w:rPr>
              <w:t>7</w:t>
            </w:r>
            <w:r>
              <w:rPr>
                <w:rFonts w:hint="eastAsia" w:ascii="Times New Roman" w:hAnsi="Times New Roman" w:eastAsia="仿宋" w:cs="Times New Roman"/>
                <w:sz w:val="18"/>
                <w:szCs w:val="18"/>
                <w:lang w:val="zh-CN"/>
              </w:rPr>
              <w:t xml:space="preserve"> </w:t>
            </w:r>
            <w:r>
              <w:rPr>
                <w:rFonts w:hint="eastAsia" w:ascii="Times New Roman" w:hAnsi="Times New Roman" w:eastAsia="仿宋" w:cs="Times New Roman"/>
                <w:sz w:val="18"/>
                <w:szCs w:val="18"/>
                <w:lang w:val="en-US" w:eastAsia="zh-CN"/>
              </w:rPr>
              <w:t xml:space="preserve"> </w:t>
            </w:r>
            <w:r>
              <w:rPr>
                <w:rFonts w:hint="eastAsia" w:ascii="Times New Roman" w:hAnsi="Times New Roman" w:eastAsia="仿宋" w:cs="Times New Roman"/>
                <w:sz w:val="18"/>
                <w:szCs w:val="18"/>
                <w:lang w:val="zh-CN"/>
              </w:rPr>
              <w:t>Petroleum Engineering Ethics Explores Chinese petroleum culture</w:t>
            </w:r>
          </w:p>
        </w:tc>
        <w:tc>
          <w:tcPr>
            <w:tcW w:w="1531" w:type="dxa"/>
            <w:vAlign w:val="center"/>
          </w:tcPr>
          <w:p w14:paraId="096CF8E3">
            <w:pPr>
              <w:jc w:val="left"/>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en-US" w:eastAsia="zh-CN"/>
              </w:rPr>
              <w:t>7</w:t>
            </w:r>
            <w:r>
              <w:rPr>
                <w:rFonts w:hint="eastAsia" w:ascii="Times New Roman" w:hAnsi="Times New Roman" w:eastAsia="仿宋" w:cs="Times New Roman"/>
                <w:sz w:val="18"/>
                <w:szCs w:val="18"/>
                <w:lang w:val="zh-CN"/>
              </w:rPr>
              <w:t>.1 Ethical Implications of Petroleum Engineering</w:t>
            </w:r>
          </w:p>
        </w:tc>
        <w:tc>
          <w:tcPr>
            <w:tcW w:w="3030" w:type="dxa"/>
            <w:vMerge w:val="restart"/>
            <w:vAlign w:val="center"/>
          </w:tcPr>
          <w:p w14:paraId="4B3C6190">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en-US" w:eastAsia="zh-CN"/>
              </w:rPr>
              <w:t>F</w:t>
            </w:r>
            <w:r>
              <w:rPr>
                <w:rFonts w:hint="eastAsia" w:ascii="Times New Roman" w:hAnsi="Times New Roman" w:eastAsia="仿宋" w:cs="Times New Roman"/>
                <w:sz w:val="18"/>
                <w:szCs w:val="18"/>
                <w:lang w:val="zh-CN"/>
              </w:rPr>
              <w:t>rom an ethical point of view, talks about petroleum engineering ethics from the micro level, pays attention to the subject of fulfilling responsibilities - an "petroleum engineer", and focuses on three issues: "Why petroleum engineering should have an ethical vision", "what are the ethical dimensions in petroleum engineering", and "how do petroleum engineers fulfill their responsibilities", so as to cultivate the ethical awareness of petroleum engineering and establish reasonable engineering ethical values.</w:t>
            </w:r>
          </w:p>
        </w:tc>
        <w:tc>
          <w:tcPr>
            <w:tcW w:w="567" w:type="dxa"/>
            <w:vMerge w:val="restart"/>
            <w:vAlign w:val="center"/>
          </w:tcPr>
          <w:p w14:paraId="530B8E31">
            <w:pPr>
              <w:jc w:val="center"/>
              <w:rPr>
                <w:rFonts w:hint="default" w:ascii="Times New Roman" w:hAnsi="Times New Roman" w:eastAsia="仿宋" w:cs="Times New Roman"/>
                <w:kern w:val="2"/>
                <w:sz w:val="18"/>
                <w:szCs w:val="18"/>
                <w:lang w:val="en-US" w:eastAsia="zh-CN" w:bidi="ar-SA"/>
              </w:rPr>
            </w:pPr>
            <w:r>
              <w:rPr>
                <w:rFonts w:hint="eastAsia" w:ascii="Times New Roman" w:hAnsi="Times New Roman" w:eastAsia="仿宋" w:cs="Times New Roman"/>
                <w:kern w:val="2"/>
                <w:sz w:val="18"/>
                <w:szCs w:val="18"/>
                <w:lang w:val="en-US" w:eastAsia="zh-CN" w:bidi="ar-SA"/>
              </w:rPr>
              <w:t>1</w:t>
            </w:r>
          </w:p>
        </w:tc>
        <w:tc>
          <w:tcPr>
            <w:tcW w:w="1619" w:type="dxa"/>
            <w:vMerge w:val="restart"/>
            <w:vAlign w:val="center"/>
          </w:tcPr>
          <w:p w14:paraId="1DBD089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228D2C2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66A3CDE1">
            <w:pPr>
              <w:jc w:val="left"/>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A</w:t>
            </w:r>
            <w:r>
              <w:rPr>
                <w:rFonts w:hint="eastAsia" w:ascii="Times New Roman" w:hAnsi="Times New Roman" w:eastAsia="仿宋" w:cs="Times New Roman"/>
                <w:sz w:val="18"/>
                <w:szCs w:val="18"/>
                <w:lang w:val="zh-CN"/>
              </w:rPr>
              <w:t>pplication</w:t>
            </w:r>
          </w:p>
          <w:p w14:paraId="6C8C2898">
            <w:pPr>
              <w:jc w:val="left"/>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lang w:val="zh-CN"/>
              </w:rPr>
              <w:t>Comprehensive Analysis</w:t>
            </w:r>
          </w:p>
        </w:tc>
      </w:tr>
      <w:tr w14:paraId="7E80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1530" w:type="dxa"/>
            <w:vMerge w:val="continue"/>
            <w:vAlign w:val="center"/>
          </w:tcPr>
          <w:p w14:paraId="2F2B8D07">
            <w:pPr>
              <w:jc w:val="left"/>
              <w:rPr>
                <w:rFonts w:hint="eastAsia" w:ascii="Times New Roman" w:hAnsi="Times New Roman" w:eastAsia="仿宋" w:cs="Times New Roman"/>
                <w:sz w:val="18"/>
                <w:szCs w:val="18"/>
                <w:lang w:val="zh-CN"/>
              </w:rPr>
            </w:pPr>
          </w:p>
        </w:tc>
        <w:tc>
          <w:tcPr>
            <w:tcW w:w="1531" w:type="dxa"/>
            <w:vAlign w:val="center"/>
          </w:tcPr>
          <w:p w14:paraId="7BC5D2BE">
            <w:pPr>
              <w:jc w:val="left"/>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en-US" w:eastAsia="zh-CN"/>
              </w:rPr>
              <w:t>7.</w:t>
            </w:r>
            <w:r>
              <w:rPr>
                <w:rFonts w:hint="eastAsia" w:ascii="Times New Roman" w:hAnsi="Times New Roman" w:eastAsia="仿宋" w:cs="Times New Roman"/>
                <w:sz w:val="18"/>
                <w:szCs w:val="18"/>
                <w:lang w:val="zh-CN"/>
              </w:rPr>
              <w:t>2 The Three Dimensions of Petroleum Engineering Ethics</w:t>
            </w:r>
          </w:p>
        </w:tc>
        <w:tc>
          <w:tcPr>
            <w:tcW w:w="3030" w:type="dxa"/>
            <w:vMerge w:val="continue"/>
            <w:vAlign w:val="center"/>
          </w:tcPr>
          <w:p w14:paraId="0396A84E">
            <w:pPr>
              <w:jc w:val="left"/>
              <w:rPr>
                <w:rFonts w:hint="eastAsia" w:ascii="Times New Roman" w:hAnsi="Times New Roman" w:eastAsia="仿宋" w:cs="Times New Roman"/>
                <w:sz w:val="18"/>
                <w:szCs w:val="18"/>
                <w:lang w:val="zh-CN"/>
              </w:rPr>
            </w:pPr>
          </w:p>
        </w:tc>
        <w:tc>
          <w:tcPr>
            <w:tcW w:w="567" w:type="dxa"/>
            <w:vMerge w:val="continue"/>
            <w:vAlign w:val="center"/>
          </w:tcPr>
          <w:p w14:paraId="50CC1334">
            <w:pPr>
              <w:jc w:val="left"/>
              <w:rPr>
                <w:rFonts w:hint="eastAsia" w:ascii="Times New Roman" w:hAnsi="Times New Roman" w:eastAsia="仿宋" w:cs="Times New Roman"/>
                <w:sz w:val="18"/>
                <w:szCs w:val="18"/>
                <w:lang w:val="zh-CN"/>
              </w:rPr>
            </w:pPr>
          </w:p>
        </w:tc>
        <w:tc>
          <w:tcPr>
            <w:tcW w:w="1619" w:type="dxa"/>
            <w:vMerge w:val="continue"/>
            <w:vAlign w:val="center"/>
          </w:tcPr>
          <w:p w14:paraId="19B7D240">
            <w:pPr>
              <w:jc w:val="left"/>
              <w:rPr>
                <w:rFonts w:hint="eastAsia" w:ascii="Times New Roman" w:hAnsi="Times New Roman" w:eastAsia="仿宋" w:cs="Times New Roman"/>
                <w:sz w:val="18"/>
                <w:szCs w:val="18"/>
                <w:lang w:val="zh-CN"/>
              </w:rPr>
            </w:pPr>
          </w:p>
        </w:tc>
      </w:tr>
      <w:tr w14:paraId="225B4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1530" w:type="dxa"/>
            <w:vMerge w:val="continue"/>
            <w:vAlign w:val="center"/>
          </w:tcPr>
          <w:p w14:paraId="0ABBD28F">
            <w:pPr>
              <w:jc w:val="left"/>
              <w:rPr>
                <w:rFonts w:hint="eastAsia" w:ascii="Times New Roman" w:hAnsi="Times New Roman" w:eastAsia="仿宋" w:cs="Times New Roman"/>
                <w:sz w:val="18"/>
                <w:szCs w:val="18"/>
                <w:lang w:val="zh-CN"/>
              </w:rPr>
            </w:pPr>
          </w:p>
        </w:tc>
        <w:tc>
          <w:tcPr>
            <w:tcW w:w="1531" w:type="dxa"/>
            <w:vAlign w:val="center"/>
          </w:tcPr>
          <w:p w14:paraId="3CC87D8C">
            <w:pPr>
              <w:jc w:val="left"/>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en-US" w:eastAsia="zh-CN"/>
              </w:rPr>
              <w:t>7</w:t>
            </w:r>
            <w:r>
              <w:rPr>
                <w:rFonts w:hint="eastAsia" w:ascii="Times New Roman" w:hAnsi="Times New Roman" w:eastAsia="仿宋" w:cs="Times New Roman"/>
                <w:sz w:val="18"/>
                <w:szCs w:val="18"/>
                <w:lang w:val="zh-CN"/>
              </w:rPr>
              <w:t>.3 Responsibilities performed by petroleum engineers</w:t>
            </w:r>
          </w:p>
        </w:tc>
        <w:tc>
          <w:tcPr>
            <w:tcW w:w="3030" w:type="dxa"/>
            <w:vMerge w:val="continue"/>
            <w:vAlign w:val="center"/>
          </w:tcPr>
          <w:p w14:paraId="3F6FAE58">
            <w:pPr>
              <w:jc w:val="left"/>
              <w:rPr>
                <w:rFonts w:hint="eastAsia" w:ascii="Times New Roman" w:hAnsi="Times New Roman" w:eastAsia="仿宋" w:cs="Times New Roman"/>
                <w:sz w:val="18"/>
                <w:szCs w:val="18"/>
                <w:lang w:val="zh-CN"/>
              </w:rPr>
            </w:pPr>
          </w:p>
        </w:tc>
        <w:tc>
          <w:tcPr>
            <w:tcW w:w="567" w:type="dxa"/>
            <w:vMerge w:val="continue"/>
            <w:vAlign w:val="center"/>
          </w:tcPr>
          <w:p w14:paraId="0C1D24E3">
            <w:pPr>
              <w:jc w:val="left"/>
              <w:rPr>
                <w:rFonts w:hint="eastAsia" w:ascii="Times New Roman" w:hAnsi="Times New Roman" w:eastAsia="仿宋" w:cs="Times New Roman"/>
                <w:sz w:val="18"/>
                <w:szCs w:val="18"/>
                <w:lang w:val="zh-CN"/>
              </w:rPr>
            </w:pPr>
          </w:p>
        </w:tc>
        <w:tc>
          <w:tcPr>
            <w:tcW w:w="1619" w:type="dxa"/>
            <w:vMerge w:val="continue"/>
            <w:vAlign w:val="center"/>
          </w:tcPr>
          <w:p w14:paraId="735B377B">
            <w:pPr>
              <w:jc w:val="left"/>
              <w:rPr>
                <w:rFonts w:hint="eastAsia" w:ascii="Times New Roman" w:hAnsi="Times New Roman" w:eastAsia="仿宋" w:cs="Times New Roman"/>
                <w:sz w:val="18"/>
                <w:szCs w:val="18"/>
                <w:lang w:val="zh-CN"/>
              </w:rPr>
            </w:pPr>
          </w:p>
        </w:tc>
      </w:tr>
      <w:tr w14:paraId="32318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30" w:type="dxa"/>
            <w:vAlign w:val="center"/>
          </w:tcPr>
          <w:p w14:paraId="6B0536AF">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en-US" w:eastAsia="zh-CN"/>
              </w:rPr>
              <w:t>Final</w:t>
            </w:r>
            <w:r>
              <w:rPr>
                <w:rFonts w:hint="eastAsia" w:ascii="Times New Roman" w:hAnsi="Times New Roman" w:eastAsia="仿宋" w:cs="Times New Roman"/>
                <w:sz w:val="18"/>
                <w:szCs w:val="18"/>
                <w:lang w:val="zh-CN"/>
              </w:rPr>
              <w:t xml:space="preserve"> unit </w:t>
            </w:r>
          </w:p>
        </w:tc>
        <w:tc>
          <w:tcPr>
            <w:tcW w:w="1531" w:type="dxa"/>
            <w:vAlign w:val="center"/>
          </w:tcPr>
          <w:p w14:paraId="25370538">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 xml:space="preserve">Comprehensive final assessment </w:t>
            </w:r>
          </w:p>
        </w:tc>
        <w:tc>
          <w:tcPr>
            <w:tcW w:w="3030" w:type="dxa"/>
            <w:vAlign w:val="center"/>
          </w:tcPr>
          <w:p w14:paraId="42883C1B">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Based on the content of classroom lectures and oilfield expert lectures, students construct a personal knowledge system, effectively output on the basis of certain inputs, form personal independent thinking, and learn how to express personal views clearly and concisely, improve language expression ability, and exercise critical thinking ability.</w:t>
            </w:r>
          </w:p>
        </w:tc>
        <w:tc>
          <w:tcPr>
            <w:tcW w:w="567" w:type="dxa"/>
            <w:vAlign w:val="center"/>
          </w:tcPr>
          <w:p w14:paraId="77C3C495">
            <w:pPr>
              <w:jc w:val="center"/>
              <w:rPr>
                <w:rFonts w:hint="default" w:ascii="Times New Roman" w:hAnsi="Times New Roman" w:eastAsia="仿宋" w:cs="Times New Roman"/>
                <w:kern w:val="2"/>
                <w:sz w:val="18"/>
                <w:szCs w:val="18"/>
                <w:lang w:val="en-US" w:eastAsia="zh-CN" w:bidi="ar-SA"/>
              </w:rPr>
            </w:pPr>
            <w:r>
              <w:rPr>
                <w:rFonts w:hint="eastAsia" w:ascii="Times New Roman" w:hAnsi="Times New Roman" w:eastAsia="仿宋" w:cs="Times New Roman"/>
                <w:kern w:val="2"/>
                <w:sz w:val="18"/>
                <w:szCs w:val="18"/>
                <w:lang w:val="en-US" w:eastAsia="zh-CN" w:bidi="ar-SA"/>
              </w:rPr>
              <w:t>3</w:t>
            </w:r>
          </w:p>
        </w:tc>
        <w:tc>
          <w:tcPr>
            <w:tcW w:w="1619" w:type="dxa"/>
            <w:vAlign w:val="center"/>
          </w:tcPr>
          <w:p w14:paraId="43AF220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0A910E5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5F6620B2">
            <w:pPr>
              <w:jc w:val="left"/>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A</w:t>
            </w:r>
            <w:r>
              <w:rPr>
                <w:rFonts w:hint="eastAsia" w:ascii="Times New Roman" w:hAnsi="Times New Roman" w:eastAsia="仿宋" w:cs="Times New Roman"/>
                <w:sz w:val="18"/>
                <w:szCs w:val="18"/>
                <w:lang w:val="zh-CN"/>
              </w:rPr>
              <w:t>pplication</w:t>
            </w:r>
          </w:p>
          <w:p w14:paraId="46066304">
            <w:pPr>
              <w:jc w:val="left"/>
              <w:rPr>
                <w:rFonts w:ascii="Times New Roman" w:hAnsi="Times New Roman" w:eastAsia="仿宋" w:cs="Times New Roman"/>
                <w:kern w:val="2"/>
                <w:sz w:val="18"/>
                <w:szCs w:val="18"/>
                <w:lang w:val="zh-CN" w:eastAsia="zh-CN" w:bidi="ar-SA"/>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lang w:val="zh-CN"/>
              </w:rPr>
              <w:t>Comprehensive Analysis</w:t>
            </w:r>
          </w:p>
        </w:tc>
      </w:tr>
    </w:tbl>
    <w:p w14:paraId="4D8BCF41">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14:paraId="552A174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Online and offline hybrid teaching, theoretical lecture method, case study teaching method</w:t>
      </w:r>
    </w:p>
    <w:p w14:paraId="4655AC36">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048"/>
      </w:tblGrid>
      <w:tr w14:paraId="0101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599686A8">
            <w:pPr>
              <w:rPr>
                <w:rFonts w:hint="eastAsia" w:ascii="仿宋" w:hAnsi="仿宋" w:eastAsia="仿宋"/>
                <w:szCs w:val="21"/>
              </w:rPr>
            </w:pPr>
            <w:r>
              <w:rPr>
                <w:rFonts w:hint="eastAsia" w:ascii="仿宋" w:hAnsi="仿宋" w:eastAsia="仿宋"/>
                <w:szCs w:val="21"/>
              </w:rPr>
              <w:t>Whether to schedule an examination</w:t>
            </w:r>
          </w:p>
        </w:tc>
        <w:tc>
          <w:tcPr>
            <w:tcW w:w="4048" w:type="dxa"/>
          </w:tcPr>
          <w:p w14:paraId="2F8158A5">
            <w:pPr>
              <w:rPr>
                <w:rFonts w:hint="default" w:ascii="仿宋" w:hAnsi="仿宋" w:eastAsia="仿宋"/>
                <w:szCs w:val="21"/>
                <w:lang w:val="en-US" w:eastAsia="zh-CN"/>
              </w:rPr>
            </w:pPr>
            <w:r>
              <w:rPr>
                <w:rFonts w:hint="eastAsia" w:ascii="仿宋" w:hAnsi="仿宋" w:eastAsia="仿宋"/>
                <w:szCs w:val="21"/>
                <w:lang w:val="en-US" w:eastAsia="zh-CN"/>
              </w:rPr>
              <w:t>No</w:t>
            </w:r>
          </w:p>
        </w:tc>
      </w:tr>
      <w:tr w14:paraId="0B37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92138F3">
            <w:pPr>
              <w:rPr>
                <w:rFonts w:hint="eastAsia" w:ascii="仿宋" w:hAnsi="仿宋" w:eastAsia="仿宋"/>
                <w:szCs w:val="21"/>
              </w:rPr>
            </w:pPr>
            <w:r>
              <w:rPr>
                <w:rFonts w:hint="eastAsia" w:ascii="仿宋" w:hAnsi="仿宋" w:eastAsia="仿宋"/>
                <w:szCs w:val="21"/>
              </w:rPr>
              <w:t>Form of examination</w:t>
            </w:r>
          </w:p>
        </w:tc>
        <w:tc>
          <w:tcPr>
            <w:tcW w:w="4048" w:type="dxa"/>
          </w:tcPr>
          <w:p w14:paraId="7B452418">
            <w:pPr>
              <w:rPr>
                <w:rFonts w:hint="eastAsia" w:ascii="仿宋" w:hAnsi="仿宋" w:eastAsia="仿宋"/>
                <w:szCs w:val="21"/>
              </w:rPr>
            </w:pPr>
            <w:r>
              <w:rPr>
                <w:rFonts w:hint="eastAsia" w:ascii="仿宋" w:hAnsi="仿宋" w:eastAsia="仿宋"/>
                <w:szCs w:val="21"/>
              </w:rPr>
              <w:t>essays</w:t>
            </w:r>
          </w:p>
        </w:tc>
      </w:tr>
      <w:tr w14:paraId="6086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403F77DE">
            <w:pPr>
              <w:rPr>
                <w:rFonts w:hint="eastAsia" w:ascii="仿宋" w:hAnsi="仿宋" w:eastAsia="仿宋"/>
                <w:szCs w:val="21"/>
              </w:rPr>
            </w:pPr>
            <w:r>
              <w:rPr>
                <w:rFonts w:hint="eastAsia" w:ascii="仿宋" w:hAnsi="仿宋" w:eastAsia="仿宋"/>
                <w:szCs w:val="21"/>
              </w:rPr>
              <w:t>Grading method</w:t>
            </w:r>
          </w:p>
        </w:tc>
        <w:tc>
          <w:tcPr>
            <w:tcW w:w="4048" w:type="dxa"/>
          </w:tcPr>
          <w:p w14:paraId="5BB25735">
            <w:pPr>
              <w:rPr>
                <w:rFonts w:hint="eastAsia" w:ascii="仿宋" w:hAnsi="仿宋" w:eastAsia="仿宋"/>
                <w:szCs w:val="21"/>
              </w:rPr>
            </w:pPr>
            <w:r>
              <w:rPr>
                <w:rFonts w:hint="eastAsia" w:ascii="仿宋" w:hAnsi="仿宋" w:eastAsia="仿宋"/>
                <w:szCs w:val="21"/>
              </w:rPr>
              <w:t xml:space="preserve"> Percentage system</w:t>
            </w:r>
          </w:p>
        </w:tc>
      </w:tr>
      <w:tr w14:paraId="2D5B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770C78FF">
            <w:pPr>
              <w:rPr>
                <w:rFonts w:ascii="仿宋" w:hAnsi="仿宋" w:eastAsia="仿宋"/>
                <w:szCs w:val="21"/>
              </w:rPr>
            </w:pPr>
            <w:r>
              <w:rPr>
                <w:rFonts w:hint="eastAsia" w:ascii="仿宋" w:hAnsi="仿宋" w:eastAsia="仿宋"/>
                <w:szCs w:val="21"/>
              </w:rPr>
              <w:t>Process grade/%</w:t>
            </w:r>
          </w:p>
        </w:tc>
        <w:tc>
          <w:tcPr>
            <w:tcW w:w="4048" w:type="dxa"/>
          </w:tcPr>
          <w:p w14:paraId="60BD0CC5">
            <w:pPr>
              <w:rPr>
                <w:rFonts w:hint="default" w:ascii="仿宋" w:hAnsi="仿宋" w:eastAsia="仿宋"/>
                <w:szCs w:val="21"/>
                <w:lang w:val="en-US" w:eastAsia="zh-CN"/>
              </w:rPr>
            </w:pPr>
            <w:r>
              <w:rPr>
                <w:rFonts w:hint="eastAsia" w:ascii="仿宋" w:hAnsi="仿宋" w:eastAsia="仿宋"/>
                <w:szCs w:val="21"/>
                <w:lang w:val="en-US" w:eastAsia="zh-CN"/>
              </w:rPr>
              <w:t>40</w:t>
            </w:r>
          </w:p>
        </w:tc>
      </w:tr>
      <w:tr w14:paraId="01EC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32600689">
            <w:pPr>
              <w:rPr>
                <w:rFonts w:ascii="仿宋" w:hAnsi="仿宋" w:eastAsia="仿宋"/>
                <w:szCs w:val="21"/>
              </w:rPr>
            </w:pPr>
            <w:r>
              <w:rPr>
                <w:rFonts w:hint="eastAsia" w:ascii="仿宋" w:hAnsi="仿宋" w:eastAsia="仿宋"/>
                <w:szCs w:val="21"/>
              </w:rPr>
              <w:t>Experimental grade/%</w:t>
            </w:r>
          </w:p>
        </w:tc>
        <w:tc>
          <w:tcPr>
            <w:tcW w:w="4048" w:type="dxa"/>
          </w:tcPr>
          <w:p w14:paraId="48DE764E">
            <w:pPr>
              <w:rPr>
                <w:rFonts w:hint="eastAsia" w:ascii="仿宋" w:hAnsi="仿宋" w:eastAsia="仿宋"/>
                <w:szCs w:val="21"/>
                <w:lang w:val="en-US" w:eastAsia="zh-CN"/>
              </w:rPr>
            </w:pPr>
            <w:r>
              <w:rPr>
                <w:rFonts w:hint="eastAsia" w:ascii="仿宋" w:hAnsi="仿宋" w:eastAsia="仿宋"/>
                <w:szCs w:val="21"/>
                <w:lang w:val="en-US" w:eastAsia="zh-CN"/>
              </w:rPr>
              <w:t>0</w:t>
            </w:r>
          </w:p>
        </w:tc>
      </w:tr>
      <w:tr w14:paraId="7081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7987FE4B">
            <w:pPr>
              <w:rPr>
                <w:rFonts w:ascii="仿宋" w:hAnsi="仿宋" w:eastAsia="仿宋"/>
                <w:szCs w:val="21"/>
              </w:rPr>
            </w:pPr>
            <w:r>
              <w:rPr>
                <w:rFonts w:hint="eastAsia" w:ascii="仿宋" w:hAnsi="仿宋" w:eastAsia="仿宋"/>
                <w:szCs w:val="21"/>
              </w:rPr>
              <w:t>Final exam score/%</w:t>
            </w:r>
          </w:p>
        </w:tc>
        <w:tc>
          <w:tcPr>
            <w:tcW w:w="4048" w:type="dxa"/>
          </w:tcPr>
          <w:p w14:paraId="65401F37">
            <w:pPr>
              <w:rPr>
                <w:rFonts w:hint="default" w:ascii="仿宋" w:hAnsi="仿宋" w:eastAsia="仿宋"/>
                <w:szCs w:val="21"/>
                <w:lang w:val="en-US" w:eastAsia="zh-CN"/>
              </w:rPr>
            </w:pPr>
            <w:r>
              <w:rPr>
                <w:rFonts w:hint="eastAsia" w:ascii="仿宋" w:hAnsi="仿宋" w:eastAsia="仿宋"/>
                <w:szCs w:val="21"/>
                <w:lang w:val="en-US" w:eastAsia="zh-CN"/>
              </w:rPr>
              <w:t>60</w:t>
            </w:r>
          </w:p>
        </w:tc>
      </w:tr>
    </w:tbl>
    <w:p w14:paraId="7D9CACC4">
      <w:pPr>
        <w:ind w:firstLine="420" w:firstLineChars="200"/>
        <w:rPr>
          <w:rFonts w:ascii="Times New Roman" w:hAnsi="Times New Roman" w:eastAsia="仿宋" w:cs="Times New Roman"/>
          <w:szCs w:val="21"/>
          <w:lang w:val="en-GB"/>
        </w:rPr>
      </w:pPr>
    </w:p>
    <w:p w14:paraId="14C8AE12">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14:paraId="77F3AAF2">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(1) Textbook</w:t>
      </w:r>
    </w:p>
    <w:p w14:paraId="7F342EF3">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Petroleum Culture in China, 1st edition, 2019, Fengling Fang, Machinery Industry Press, 2019, ISBN: 978-7-111-62590-2.</w:t>
      </w:r>
    </w:p>
    <w:p w14:paraId="4B284E2A">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(2) Reference</w:t>
      </w:r>
    </w:p>
    <w:p w14:paraId="30C37297">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Academics and Innovation, Zhang Leyong, China University of Petroleum Press, 2007, ISBN:978-7-5636-2523-9</w:t>
      </w:r>
    </w:p>
    <w:p w14:paraId="6BDB8DB1">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A Brief History of Petroleum: From Technological Progress to Changing the World, (plus) Vaclav Smir, Petroleum Industry Press, 2020, 978-7-5183-3691-3</w:t>
      </w:r>
    </w:p>
    <w:p w14:paraId="6EDF9FDA">
      <w:pPr>
        <w:ind w:firstLine="420" w:firstLineChars="200"/>
        <w:rPr>
          <w:rFonts w:hint="eastAsia" w:ascii="Times New Roman" w:hAnsi="Times New Roman" w:eastAsia="仿宋" w:cs="Times New Roman"/>
          <w:szCs w:val="21"/>
          <w:lang w:val="en-GB"/>
        </w:rPr>
      </w:pPr>
      <w:r>
        <w:rPr>
          <w:rFonts w:hint="eastAsia" w:ascii="Times New Roman" w:hAnsi="Times New Roman" w:eastAsia="仿宋" w:cs="Times New Roman"/>
          <w:szCs w:val="21"/>
          <w:lang w:val="en-GB"/>
        </w:rPr>
        <w:t>White Paper on China's Energy Development in the New Era, Information Office of the State Council of the People's Republic of China, December 2020</w:t>
      </w:r>
    </w:p>
    <w:p w14:paraId="493C30C2">
      <w:pPr>
        <w:ind w:firstLine="420" w:firstLineChars="200"/>
        <w:rPr>
          <w:rFonts w:ascii="Times New Roman" w:hAnsi="Times New Roman" w:eastAsia="仿宋" w:cs="Times New Roman"/>
          <w:szCs w:val="21"/>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83919F-5B55-4624-8180-64F0AEF95F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217D2938-43FA-4471-96AB-FFF016B1D259}"/>
  </w:font>
  <w:font w:name="仿宋">
    <w:panose1 w:val="02010609060101010101"/>
    <w:charset w:val="86"/>
    <w:family w:val="modern"/>
    <w:pitch w:val="default"/>
    <w:sig w:usb0="800002BF" w:usb1="38CF7CFA" w:usb2="00000016" w:usb3="00000000" w:csb0="00040001" w:csb1="00000000"/>
    <w:embedRegular r:id="rId3" w:fontKey="{718FDC07-2F9D-461C-8E70-7D05756A4991}"/>
  </w:font>
  <w:font w:name="Wingdings 2">
    <w:panose1 w:val="05020102010507070707"/>
    <w:charset w:val="02"/>
    <w:family w:val="roman"/>
    <w:pitch w:val="default"/>
    <w:sig w:usb0="00000000" w:usb1="00000000" w:usb2="00000000" w:usb3="00000000" w:csb0="80000000" w:csb1="00000000"/>
    <w:embedRegular r:id="rId4" w:fontKey="{5F75EB48-19B7-418C-B021-F2F15A97DC35}"/>
  </w:font>
  <w:font w:name="Wingdings 2">
    <w:panose1 w:val="05020102010507070707"/>
    <w:charset w:val="00"/>
    <w:family w:val="auto"/>
    <w:pitch w:val="default"/>
    <w:sig w:usb0="00000000" w:usb1="00000000" w:usb2="00000000" w:usb3="00000000" w:csb0="80000000" w:csb1="00000000"/>
    <w:embedRegular r:id="rId5" w:fontKey="{65EEA279-BC78-4960-846B-B8F2F76E6D9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wZWViZTJjY2Q4ZjczNTdkNjAyNzQ3ODgyMTA5YmQifQ=="/>
  </w:docVars>
  <w:rsids>
    <w:rsidRoot w:val="00BC67B7"/>
    <w:rsid w:val="000012F6"/>
    <w:rsid w:val="0002163E"/>
    <w:rsid w:val="000225C6"/>
    <w:rsid w:val="00024024"/>
    <w:rsid w:val="00063270"/>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B15CF"/>
    <w:rsid w:val="003B38A8"/>
    <w:rsid w:val="0043026A"/>
    <w:rsid w:val="004570C3"/>
    <w:rsid w:val="00464C96"/>
    <w:rsid w:val="00483A20"/>
    <w:rsid w:val="004904BB"/>
    <w:rsid w:val="004A0FBE"/>
    <w:rsid w:val="004A4A83"/>
    <w:rsid w:val="004A514A"/>
    <w:rsid w:val="004C3A3A"/>
    <w:rsid w:val="004C4F8B"/>
    <w:rsid w:val="004C62F2"/>
    <w:rsid w:val="004E09C9"/>
    <w:rsid w:val="004E2539"/>
    <w:rsid w:val="00503321"/>
    <w:rsid w:val="00571584"/>
    <w:rsid w:val="00577F32"/>
    <w:rsid w:val="005A2D7B"/>
    <w:rsid w:val="005C0AEB"/>
    <w:rsid w:val="005C2583"/>
    <w:rsid w:val="005D0EB7"/>
    <w:rsid w:val="005D55D3"/>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B7E60"/>
    <w:rsid w:val="00AC5BFF"/>
    <w:rsid w:val="00AD3D23"/>
    <w:rsid w:val="00B03799"/>
    <w:rsid w:val="00B041B7"/>
    <w:rsid w:val="00B10112"/>
    <w:rsid w:val="00B3682A"/>
    <w:rsid w:val="00B36916"/>
    <w:rsid w:val="00BC67B7"/>
    <w:rsid w:val="00BD7624"/>
    <w:rsid w:val="00C15464"/>
    <w:rsid w:val="00C25C32"/>
    <w:rsid w:val="00C42886"/>
    <w:rsid w:val="00C450FB"/>
    <w:rsid w:val="00CE1C18"/>
    <w:rsid w:val="00D1344C"/>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749D"/>
    <w:rsid w:val="00F52F38"/>
    <w:rsid w:val="00FA70BB"/>
    <w:rsid w:val="00FE6015"/>
    <w:rsid w:val="016960C3"/>
    <w:rsid w:val="02117D9A"/>
    <w:rsid w:val="024F160B"/>
    <w:rsid w:val="02C72207"/>
    <w:rsid w:val="02DA19A6"/>
    <w:rsid w:val="03084CFA"/>
    <w:rsid w:val="032837A5"/>
    <w:rsid w:val="03675EC4"/>
    <w:rsid w:val="046819F8"/>
    <w:rsid w:val="04B113EE"/>
    <w:rsid w:val="04CB5FDF"/>
    <w:rsid w:val="06BA27AF"/>
    <w:rsid w:val="08DD2B3F"/>
    <w:rsid w:val="09D43B87"/>
    <w:rsid w:val="0B934F5E"/>
    <w:rsid w:val="0BAB4DBC"/>
    <w:rsid w:val="0C7B7267"/>
    <w:rsid w:val="0DA9532B"/>
    <w:rsid w:val="0E004DA8"/>
    <w:rsid w:val="0E4F7C80"/>
    <w:rsid w:val="0E8302FA"/>
    <w:rsid w:val="0E904EAA"/>
    <w:rsid w:val="0F7D4890"/>
    <w:rsid w:val="0FBA5B79"/>
    <w:rsid w:val="102B0279"/>
    <w:rsid w:val="10325F57"/>
    <w:rsid w:val="10D17073"/>
    <w:rsid w:val="11CB56FB"/>
    <w:rsid w:val="13C25949"/>
    <w:rsid w:val="147A357D"/>
    <w:rsid w:val="14C56A76"/>
    <w:rsid w:val="14E76E65"/>
    <w:rsid w:val="15033573"/>
    <w:rsid w:val="154D3401"/>
    <w:rsid w:val="161A5018"/>
    <w:rsid w:val="16596861"/>
    <w:rsid w:val="168B1A72"/>
    <w:rsid w:val="169E4A2C"/>
    <w:rsid w:val="16C365BC"/>
    <w:rsid w:val="17EF3A88"/>
    <w:rsid w:val="183937C2"/>
    <w:rsid w:val="18877B27"/>
    <w:rsid w:val="1B2E0B21"/>
    <w:rsid w:val="1CB547A9"/>
    <w:rsid w:val="1CC25AC1"/>
    <w:rsid w:val="1D7572DE"/>
    <w:rsid w:val="1DFE2117"/>
    <w:rsid w:val="20721C99"/>
    <w:rsid w:val="20C34F53"/>
    <w:rsid w:val="21191420"/>
    <w:rsid w:val="22192627"/>
    <w:rsid w:val="23323177"/>
    <w:rsid w:val="236D2F93"/>
    <w:rsid w:val="25A625CD"/>
    <w:rsid w:val="26E01966"/>
    <w:rsid w:val="275814FC"/>
    <w:rsid w:val="28433F5A"/>
    <w:rsid w:val="28C606E7"/>
    <w:rsid w:val="28E120D3"/>
    <w:rsid w:val="29F5260B"/>
    <w:rsid w:val="2A2073C9"/>
    <w:rsid w:val="2A735712"/>
    <w:rsid w:val="2ACF5F58"/>
    <w:rsid w:val="2B7E32B5"/>
    <w:rsid w:val="2BF56A16"/>
    <w:rsid w:val="2CC82C80"/>
    <w:rsid w:val="2D5D5601"/>
    <w:rsid w:val="2DF33D2D"/>
    <w:rsid w:val="2F3B1E2F"/>
    <w:rsid w:val="30CA30C1"/>
    <w:rsid w:val="30FA641A"/>
    <w:rsid w:val="311452AA"/>
    <w:rsid w:val="322E3DE8"/>
    <w:rsid w:val="326D048D"/>
    <w:rsid w:val="32F3657D"/>
    <w:rsid w:val="33E800AC"/>
    <w:rsid w:val="34192013"/>
    <w:rsid w:val="34D401E6"/>
    <w:rsid w:val="353D61D5"/>
    <w:rsid w:val="355A2F26"/>
    <w:rsid w:val="357B7513"/>
    <w:rsid w:val="36BA3F15"/>
    <w:rsid w:val="39D42485"/>
    <w:rsid w:val="3B2A68A5"/>
    <w:rsid w:val="3C0053D1"/>
    <w:rsid w:val="3CFD2A0A"/>
    <w:rsid w:val="3D1B0CDA"/>
    <w:rsid w:val="3D230245"/>
    <w:rsid w:val="3D54230E"/>
    <w:rsid w:val="3EFD2C67"/>
    <w:rsid w:val="3F0C4B17"/>
    <w:rsid w:val="3F742888"/>
    <w:rsid w:val="40307062"/>
    <w:rsid w:val="40411C17"/>
    <w:rsid w:val="41905DBC"/>
    <w:rsid w:val="41D53C94"/>
    <w:rsid w:val="42A45AE6"/>
    <w:rsid w:val="42FD74B6"/>
    <w:rsid w:val="448F5853"/>
    <w:rsid w:val="44D04970"/>
    <w:rsid w:val="45107462"/>
    <w:rsid w:val="45264AD4"/>
    <w:rsid w:val="452F04D6"/>
    <w:rsid w:val="454653FF"/>
    <w:rsid w:val="456D2A75"/>
    <w:rsid w:val="47DB48C2"/>
    <w:rsid w:val="480C2163"/>
    <w:rsid w:val="4862229F"/>
    <w:rsid w:val="48A00B3C"/>
    <w:rsid w:val="48E73626"/>
    <w:rsid w:val="48FF5824"/>
    <w:rsid w:val="4901207C"/>
    <w:rsid w:val="4929464F"/>
    <w:rsid w:val="496D4C9E"/>
    <w:rsid w:val="498F4DFA"/>
    <w:rsid w:val="4A2D4613"/>
    <w:rsid w:val="4A771E6C"/>
    <w:rsid w:val="4AC77C4F"/>
    <w:rsid w:val="4B7704CA"/>
    <w:rsid w:val="4B887D0E"/>
    <w:rsid w:val="4BEC7BC9"/>
    <w:rsid w:val="4D534390"/>
    <w:rsid w:val="4DF62F44"/>
    <w:rsid w:val="4E3163FA"/>
    <w:rsid w:val="4ECB7FBD"/>
    <w:rsid w:val="4F2E0C11"/>
    <w:rsid w:val="4FB76E58"/>
    <w:rsid w:val="4FDC3254"/>
    <w:rsid w:val="4FE614EB"/>
    <w:rsid w:val="4FE94B38"/>
    <w:rsid w:val="51D27F79"/>
    <w:rsid w:val="51F31C9E"/>
    <w:rsid w:val="52952D55"/>
    <w:rsid w:val="52EF4B5B"/>
    <w:rsid w:val="530318AE"/>
    <w:rsid w:val="537A489E"/>
    <w:rsid w:val="53F73CC7"/>
    <w:rsid w:val="543A2E4A"/>
    <w:rsid w:val="5519349A"/>
    <w:rsid w:val="558C48E3"/>
    <w:rsid w:val="571818B8"/>
    <w:rsid w:val="57394071"/>
    <w:rsid w:val="579556E4"/>
    <w:rsid w:val="57E21A45"/>
    <w:rsid w:val="584A63E6"/>
    <w:rsid w:val="590B5B1F"/>
    <w:rsid w:val="593432C8"/>
    <w:rsid w:val="598C3C46"/>
    <w:rsid w:val="59E051FD"/>
    <w:rsid w:val="5A754FD7"/>
    <w:rsid w:val="5AF26F96"/>
    <w:rsid w:val="5BBF1E65"/>
    <w:rsid w:val="5CF65041"/>
    <w:rsid w:val="5D3C699E"/>
    <w:rsid w:val="5FE24921"/>
    <w:rsid w:val="61926DDD"/>
    <w:rsid w:val="620311A6"/>
    <w:rsid w:val="621510E2"/>
    <w:rsid w:val="62D653F0"/>
    <w:rsid w:val="63172DD1"/>
    <w:rsid w:val="63624B13"/>
    <w:rsid w:val="63A4104A"/>
    <w:rsid w:val="648A6492"/>
    <w:rsid w:val="65077AE2"/>
    <w:rsid w:val="67202791"/>
    <w:rsid w:val="67EE4D30"/>
    <w:rsid w:val="68C63810"/>
    <w:rsid w:val="692A59D5"/>
    <w:rsid w:val="69742FE3"/>
    <w:rsid w:val="6A503532"/>
    <w:rsid w:val="6AF208ED"/>
    <w:rsid w:val="6B4502E1"/>
    <w:rsid w:val="6B5477F9"/>
    <w:rsid w:val="6B8609D9"/>
    <w:rsid w:val="6C1F36D8"/>
    <w:rsid w:val="6C515AE7"/>
    <w:rsid w:val="6CB95B66"/>
    <w:rsid w:val="6CDE126B"/>
    <w:rsid w:val="6D9C0CCE"/>
    <w:rsid w:val="6DB94704"/>
    <w:rsid w:val="6E5D5501"/>
    <w:rsid w:val="6E9B1B8E"/>
    <w:rsid w:val="6F5E1E54"/>
    <w:rsid w:val="71665B90"/>
    <w:rsid w:val="733959E4"/>
    <w:rsid w:val="73F71F01"/>
    <w:rsid w:val="74660FAF"/>
    <w:rsid w:val="75324707"/>
    <w:rsid w:val="75420D72"/>
    <w:rsid w:val="75BC0475"/>
    <w:rsid w:val="76242A14"/>
    <w:rsid w:val="76391AC6"/>
    <w:rsid w:val="777D13A3"/>
    <w:rsid w:val="78324A1E"/>
    <w:rsid w:val="78F30652"/>
    <w:rsid w:val="795B1D53"/>
    <w:rsid w:val="7A4B4C02"/>
    <w:rsid w:val="7B694BFB"/>
    <w:rsid w:val="7B9D561B"/>
    <w:rsid w:val="7BE74B05"/>
    <w:rsid w:val="7C163FF2"/>
    <w:rsid w:val="7C3A0FB4"/>
    <w:rsid w:val="7D0D7808"/>
    <w:rsid w:val="7D965D56"/>
    <w:rsid w:val="7E9755DB"/>
    <w:rsid w:val="7E9C52E7"/>
    <w:rsid w:val="7F0D3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 w:type="paragraph" w:styleId="11">
    <w:name w:val="List Paragraph"/>
    <w:basedOn w:val="1"/>
    <w:qFormat/>
    <w:uiPriority w:val="34"/>
    <w:pPr>
      <w:ind w:firstLine="420" w:firstLineChars="200"/>
    </w:pPr>
  </w:style>
  <w:style w:type="table" w:customStyle="1" w:styleId="12">
    <w:name w:val="网格型1"/>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3476</Words>
  <Characters>10091</Characters>
  <Lines>15</Lines>
  <Paragraphs>4</Paragraphs>
  <TotalTime>12</TotalTime>
  <ScaleCrop>false</ScaleCrop>
  <LinksUpToDate>false</LinksUpToDate>
  <CharactersWithSpaces>11206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Crystal</cp:lastModifiedBy>
  <dcterms:modified xsi:type="dcterms:W3CDTF">2024-08-29T04:48:33Z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9DAC6A189B0F4C0B92885CC0766C7EC1</vt:lpwstr>
  </property>
</Properties>
</file>