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769B6">
      <w:pPr>
        <w:jc w:val="center"/>
        <w:rPr>
          <w:rFonts w:ascii="方正小标宋简体" w:hAnsi="黑体" w:eastAsia="方正小标宋简体"/>
          <w:sz w:val="32"/>
          <w:szCs w:val="21"/>
          <w:lang w:val="en-GB"/>
        </w:rPr>
      </w:pPr>
      <w:r>
        <w:rPr>
          <w:rFonts w:hint="eastAsia" w:ascii="方正小标宋简体" w:hAnsi="黑体" w:eastAsia="方正小标宋简体"/>
          <w:sz w:val="32"/>
          <w:szCs w:val="21"/>
          <w:lang w:val="en-GB"/>
        </w:rPr>
        <w:t>《</w:t>
      </w:r>
      <w:r>
        <w:rPr>
          <w:rFonts w:hint="eastAsia" w:ascii="方正小标宋简体" w:hAnsi="黑体" w:eastAsia="方正小标宋简体"/>
          <w:sz w:val="32"/>
          <w:szCs w:val="21"/>
          <w:lang w:val="en-US" w:eastAsia="zh-CN"/>
        </w:rPr>
        <w:t>宣传教育工作实训</w:t>
      </w:r>
      <w:r>
        <w:rPr>
          <w:rFonts w:hint="eastAsia" w:ascii="方正小标宋简体" w:hAnsi="黑体" w:eastAsia="方正小标宋简体"/>
          <w:sz w:val="32"/>
          <w:szCs w:val="21"/>
          <w:lang w:val="en-GB"/>
        </w:rPr>
        <w:t>》教学大纲</w:t>
      </w:r>
    </w:p>
    <w:p w14:paraId="0E3856EA">
      <w:pPr>
        <w:rPr>
          <w:rFonts w:ascii="黑体" w:hAnsi="黑体" w:eastAsia="黑体"/>
          <w:szCs w:val="21"/>
          <w:lang w:val="en-GB"/>
        </w:rPr>
      </w:pPr>
      <w:r>
        <w:rPr>
          <w:rFonts w:hint="eastAsia" w:ascii="黑体" w:hAnsi="黑体" w:eastAsia="黑体"/>
          <w:szCs w:val="21"/>
          <w:lang w:val="en-GB"/>
        </w:rPr>
        <w:t>一、基本信息</w:t>
      </w: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61842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4165587">
            <w:pPr>
              <w:rPr>
                <w:rFonts w:hint="default" w:ascii="黑体" w:hAnsi="黑体" w:eastAsia="仿宋"/>
                <w:szCs w:val="21"/>
                <w:lang w:val="en-US" w:eastAsia="zh-CN"/>
              </w:rPr>
            </w:pPr>
            <w:r>
              <w:rPr>
                <w:rFonts w:hint="eastAsia" w:ascii="仿宋" w:hAnsi="仿宋" w:eastAsia="仿宋"/>
                <w:szCs w:val="21"/>
                <w:lang w:val="en-GB"/>
              </w:rPr>
              <w:t>课程名称：</w:t>
            </w:r>
            <w:r>
              <w:rPr>
                <w:rFonts w:hint="eastAsia" w:ascii="仿宋" w:hAnsi="仿宋" w:eastAsia="仿宋"/>
                <w:szCs w:val="21"/>
                <w:lang w:val="en-US" w:eastAsia="zh-CN"/>
              </w:rPr>
              <w:t>宣传教育工作实训</w:t>
            </w:r>
          </w:p>
        </w:tc>
        <w:tc>
          <w:tcPr>
            <w:tcW w:w="3969" w:type="dxa"/>
            <w:vAlign w:val="center"/>
          </w:tcPr>
          <w:p w14:paraId="422FE05B">
            <w:pPr>
              <w:rPr>
                <w:rFonts w:ascii="黑体" w:hAnsi="黑体" w:eastAsia="黑体"/>
                <w:szCs w:val="21"/>
                <w:lang w:val="en-GB"/>
              </w:rPr>
            </w:pPr>
            <w:r>
              <w:rPr>
                <w:rFonts w:hint="eastAsia" w:ascii="仿宋" w:hAnsi="仿宋" w:eastAsia="仿宋"/>
                <w:szCs w:val="21"/>
                <w:lang w:val="en-GB"/>
              </w:rPr>
              <w:t>英文课程名称：</w:t>
            </w:r>
            <w:r>
              <w:rPr>
                <w:rFonts w:hint="eastAsia" w:ascii="仿宋" w:hAnsi="仿宋" w:eastAsia="仿宋"/>
                <w:i/>
                <w:iCs/>
                <w:szCs w:val="21"/>
                <w:lang w:val="en-GB" w:eastAsia="zh-CN"/>
              </w:rPr>
              <w:t>Practical training in publicity and education work</w:t>
            </w:r>
          </w:p>
        </w:tc>
      </w:tr>
      <w:tr w14:paraId="67064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33E0B83B">
            <w:pPr>
              <w:rPr>
                <w:rFonts w:hint="default" w:ascii="黑体" w:hAnsi="黑体" w:eastAsia="仿宋"/>
                <w:szCs w:val="21"/>
                <w:lang w:val="en-US" w:eastAsia="zh-CN"/>
              </w:rPr>
            </w:pPr>
            <w:r>
              <w:rPr>
                <w:rFonts w:hint="eastAsia" w:ascii="仿宋" w:hAnsi="仿宋" w:eastAsia="仿宋"/>
                <w:szCs w:val="21"/>
                <w:lang w:val="en-GB"/>
              </w:rPr>
              <w:t>课程代码：</w:t>
            </w:r>
            <w:r>
              <w:rPr>
                <w:rFonts w:hint="eastAsia" w:ascii="仿宋" w:hAnsi="仿宋" w:eastAsia="仿宋"/>
                <w:szCs w:val="21"/>
                <w:lang w:val="en-US" w:eastAsia="zh-CN"/>
              </w:rPr>
              <w:t>160838P003</w:t>
            </w:r>
          </w:p>
        </w:tc>
        <w:tc>
          <w:tcPr>
            <w:tcW w:w="3969" w:type="dxa"/>
            <w:vAlign w:val="center"/>
          </w:tcPr>
          <w:p w14:paraId="4D1642A5">
            <w:pPr>
              <w:rPr>
                <w:rFonts w:hint="eastAsia" w:ascii="黑体" w:hAnsi="黑体" w:eastAsia="仿宋"/>
                <w:szCs w:val="21"/>
                <w:lang w:val="en-US" w:eastAsia="zh-CN"/>
              </w:rPr>
            </w:pPr>
            <w:r>
              <w:rPr>
                <w:rFonts w:hint="eastAsia" w:ascii="仿宋" w:hAnsi="仿宋" w:eastAsia="仿宋"/>
                <w:szCs w:val="21"/>
                <w:lang w:val="en-GB"/>
              </w:rPr>
              <w:t>总学分：</w:t>
            </w:r>
            <w:r>
              <w:rPr>
                <w:rFonts w:hint="eastAsia" w:ascii="仿宋" w:hAnsi="仿宋" w:eastAsia="仿宋"/>
                <w:szCs w:val="21"/>
                <w:lang w:val="en-US" w:eastAsia="zh-CN"/>
              </w:rPr>
              <w:t>2</w:t>
            </w:r>
          </w:p>
        </w:tc>
      </w:tr>
      <w:tr w14:paraId="47CAF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0EA350D">
            <w:pPr>
              <w:rPr>
                <w:rFonts w:hint="eastAsia" w:ascii="黑体" w:hAnsi="黑体" w:eastAsia="仿宋"/>
                <w:szCs w:val="21"/>
                <w:lang w:val="en-US" w:eastAsia="zh-CN"/>
              </w:rPr>
            </w:pPr>
            <w:r>
              <w:rPr>
                <w:rFonts w:hint="eastAsia" w:ascii="仿宋" w:hAnsi="仿宋" w:eastAsia="仿宋"/>
                <w:szCs w:val="21"/>
                <w:lang w:val="en-GB"/>
              </w:rPr>
              <w:t>总学时：</w:t>
            </w:r>
            <w:r>
              <w:rPr>
                <w:rFonts w:hint="eastAsia" w:ascii="仿宋" w:hAnsi="仿宋" w:eastAsia="仿宋"/>
                <w:szCs w:val="21"/>
                <w:lang w:val="en-US" w:eastAsia="zh-CN"/>
              </w:rPr>
              <w:t>2</w:t>
            </w:r>
          </w:p>
        </w:tc>
        <w:tc>
          <w:tcPr>
            <w:tcW w:w="3969" w:type="dxa"/>
            <w:vAlign w:val="center"/>
          </w:tcPr>
          <w:p w14:paraId="46DD6B4D">
            <w:pPr>
              <w:rPr>
                <w:rFonts w:hint="eastAsia" w:ascii="黑体" w:hAnsi="黑体" w:eastAsia="仿宋"/>
                <w:szCs w:val="21"/>
                <w:lang w:val="en-US" w:eastAsia="zh-CN"/>
              </w:rPr>
            </w:pPr>
            <w:r>
              <w:rPr>
                <w:rFonts w:hint="eastAsia" w:ascii="仿宋" w:hAnsi="仿宋" w:eastAsia="仿宋"/>
                <w:szCs w:val="21"/>
                <w:lang w:val="en-GB"/>
              </w:rPr>
              <w:t>理论</w:t>
            </w:r>
            <w:r>
              <w:rPr>
                <w:rFonts w:ascii="仿宋" w:hAnsi="仿宋" w:eastAsia="仿宋"/>
                <w:szCs w:val="21"/>
                <w:lang w:val="en-GB"/>
              </w:rPr>
              <w:t>学时</w:t>
            </w:r>
            <w:r>
              <w:rPr>
                <w:rFonts w:hint="eastAsia" w:ascii="仿宋" w:hAnsi="仿宋" w:eastAsia="仿宋"/>
                <w:szCs w:val="21"/>
                <w:lang w:val="en-GB"/>
              </w:rPr>
              <w:t>：</w:t>
            </w:r>
            <w:r>
              <w:rPr>
                <w:rFonts w:hint="eastAsia" w:ascii="仿宋" w:hAnsi="仿宋" w:eastAsia="仿宋"/>
                <w:szCs w:val="21"/>
                <w:lang w:val="en-US" w:eastAsia="zh-CN"/>
              </w:rPr>
              <w:t>0</w:t>
            </w:r>
          </w:p>
        </w:tc>
      </w:tr>
      <w:tr w14:paraId="17BC6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47597BAE">
            <w:pPr>
              <w:rPr>
                <w:rFonts w:hint="eastAsia" w:ascii="仿宋" w:hAnsi="仿宋" w:eastAsia="仿宋"/>
                <w:szCs w:val="21"/>
                <w:lang w:val="en-US" w:eastAsia="zh-CN"/>
              </w:rPr>
            </w:pPr>
            <w:r>
              <w:rPr>
                <w:rFonts w:hint="eastAsia" w:ascii="仿宋" w:hAnsi="仿宋" w:eastAsia="仿宋"/>
                <w:szCs w:val="21"/>
                <w:lang w:val="en-GB"/>
              </w:rPr>
              <w:t>实验学时：</w:t>
            </w:r>
            <w:r>
              <w:rPr>
                <w:rFonts w:hint="eastAsia" w:ascii="仿宋" w:hAnsi="仿宋" w:eastAsia="仿宋"/>
                <w:szCs w:val="21"/>
                <w:lang w:val="en-US" w:eastAsia="zh-CN"/>
              </w:rPr>
              <w:t>2</w:t>
            </w:r>
          </w:p>
        </w:tc>
        <w:tc>
          <w:tcPr>
            <w:tcW w:w="3969" w:type="dxa"/>
            <w:vAlign w:val="center"/>
          </w:tcPr>
          <w:p w14:paraId="73F811CB">
            <w:pPr>
              <w:rPr>
                <w:rFonts w:hint="eastAsia" w:ascii="仿宋" w:hAnsi="仿宋" w:eastAsia="仿宋"/>
                <w:szCs w:val="21"/>
                <w:lang w:val="en-US" w:eastAsia="zh-CN"/>
              </w:rPr>
            </w:pPr>
            <w:r>
              <w:rPr>
                <w:rFonts w:hint="eastAsia" w:ascii="仿宋" w:hAnsi="仿宋" w:eastAsia="仿宋"/>
                <w:szCs w:val="21"/>
                <w:lang w:val="en-GB"/>
              </w:rPr>
              <w:t>上机学时：</w:t>
            </w:r>
            <w:r>
              <w:rPr>
                <w:rFonts w:hint="eastAsia" w:ascii="仿宋" w:hAnsi="仿宋" w:eastAsia="仿宋"/>
                <w:szCs w:val="21"/>
                <w:lang w:val="en-US" w:eastAsia="zh-CN"/>
              </w:rPr>
              <w:t>0</w:t>
            </w:r>
          </w:p>
        </w:tc>
      </w:tr>
      <w:tr w14:paraId="039BD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765D775">
            <w:pPr>
              <w:rPr>
                <w:rFonts w:hint="default" w:ascii="黑体" w:hAnsi="黑体" w:eastAsia="仿宋"/>
                <w:szCs w:val="21"/>
                <w:lang w:val="en-US" w:eastAsia="zh-CN"/>
              </w:rPr>
            </w:pPr>
            <w:r>
              <w:rPr>
                <w:rFonts w:hint="eastAsia" w:ascii="仿宋" w:hAnsi="仿宋" w:eastAsia="仿宋"/>
                <w:szCs w:val="21"/>
                <w:lang w:val="en-GB"/>
              </w:rPr>
              <w:t>开课学院：</w:t>
            </w:r>
            <w:r>
              <w:rPr>
                <w:rFonts w:hint="eastAsia" w:ascii="仿宋" w:hAnsi="仿宋" w:eastAsia="仿宋"/>
                <w:szCs w:val="21"/>
                <w:lang w:val="en-US" w:eastAsia="zh-CN"/>
              </w:rPr>
              <w:t>工商管理学院/马克思主义学院</w:t>
            </w:r>
          </w:p>
        </w:tc>
        <w:tc>
          <w:tcPr>
            <w:tcW w:w="3969" w:type="dxa"/>
            <w:vAlign w:val="center"/>
          </w:tcPr>
          <w:p w14:paraId="783EE031">
            <w:pPr>
              <w:rPr>
                <w:rFonts w:hint="eastAsia" w:ascii="黑体" w:hAnsi="黑体" w:eastAsia="仿宋"/>
                <w:szCs w:val="21"/>
                <w:lang w:val="en-US" w:eastAsia="zh-CN"/>
              </w:rPr>
            </w:pPr>
            <w:r>
              <w:rPr>
                <w:rFonts w:hint="eastAsia" w:ascii="仿宋" w:hAnsi="仿宋" w:eastAsia="仿宋"/>
                <w:szCs w:val="21"/>
                <w:lang w:val="en-GB"/>
              </w:rPr>
              <w:t>适用专业：</w:t>
            </w:r>
            <w:r>
              <w:rPr>
                <w:rFonts w:hint="eastAsia" w:ascii="仿宋" w:hAnsi="仿宋" w:eastAsia="仿宋"/>
                <w:szCs w:val="21"/>
                <w:lang w:val="en-US" w:eastAsia="zh-CN"/>
              </w:rPr>
              <w:t>思想政治教育</w:t>
            </w:r>
          </w:p>
        </w:tc>
      </w:tr>
      <w:tr w14:paraId="74E0A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30B00CBC">
            <w:pPr>
              <w:rPr>
                <w:rFonts w:ascii="黑体" w:hAnsi="黑体" w:eastAsia="黑体"/>
                <w:szCs w:val="21"/>
                <w:lang w:val="en-GB"/>
              </w:rPr>
            </w:pPr>
            <w:r>
              <w:rPr>
                <w:rFonts w:hint="eastAsia" w:ascii="仿宋" w:hAnsi="仿宋" w:eastAsia="仿宋"/>
                <w:szCs w:val="21"/>
                <w:lang w:val="en-GB"/>
              </w:rPr>
              <w:t>课程性质：必修</w:t>
            </w:r>
          </w:p>
        </w:tc>
        <w:tc>
          <w:tcPr>
            <w:tcW w:w="3969" w:type="dxa"/>
            <w:vAlign w:val="center"/>
          </w:tcPr>
          <w:p w14:paraId="52EA6A6F">
            <w:pPr>
              <w:rPr>
                <w:rFonts w:ascii="黑体" w:hAnsi="黑体" w:eastAsia="黑体"/>
                <w:szCs w:val="21"/>
                <w:lang w:val="en-GB"/>
              </w:rPr>
            </w:pPr>
            <w:r>
              <w:rPr>
                <w:rFonts w:hint="eastAsia" w:ascii="仿宋" w:hAnsi="仿宋" w:eastAsia="仿宋"/>
                <w:szCs w:val="21"/>
                <w:lang w:val="en-GB"/>
              </w:rPr>
              <w:t>先修课程：</w:t>
            </w:r>
          </w:p>
        </w:tc>
      </w:tr>
    </w:tbl>
    <w:p w14:paraId="1212288C">
      <w:pPr>
        <w:rPr>
          <w:rFonts w:ascii="黑体" w:hAnsi="黑体" w:eastAsia="黑体"/>
          <w:szCs w:val="21"/>
          <w:lang w:val="en-GB"/>
        </w:rPr>
      </w:pPr>
      <w:r>
        <w:rPr>
          <w:rFonts w:hint="eastAsia" w:ascii="黑体" w:hAnsi="黑体" w:eastAsia="黑体"/>
          <w:szCs w:val="21"/>
          <w:lang w:val="en-GB"/>
        </w:rPr>
        <w:t>二、课程</w:t>
      </w:r>
      <w:r>
        <w:rPr>
          <w:rFonts w:ascii="黑体" w:hAnsi="黑体" w:eastAsia="黑体"/>
          <w:szCs w:val="21"/>
          <w:lang w:val="en-GB"/>
        </w:rPr>
        <w:t>简介</w:t>
      </w:r>
    </w:p>
    <w:p w14:paraId="4B4EA016">
      <w:pPr>
        <w:ind w:firstLine="420" w:firstLineChars="200"/>
        <w:rPr>
          <w:rFonts w:hint="eastAsia" w:ascii="仿宋" w:hAnsi="仿宋" w:eastAsia="仿宋"/>
          <w:szCs w:val="21"/>
          <w:lang w:val="en-GB" w:eastAsia="zh-CN"/>
        </w:rPr>
      </w:pPr>
      <w:r>
        <w:rPr>
          <w:rFonts w:hint="eastAsia" w:ascii="仿宋" w:hAnsi="仿宋" w:eastAsia="仿宋"/>
          <w:szCs w:val="21"/>
          <w:lang w:val="en-GB"/>
        </w:rPr>
        <w:t>宣传教育工作实训课程是专为提高学生在宣传与教育领域实践能力而设立的一门重要课程。该课程结合理论与实践，旨在帮助学生掌握现代宣传教育的基本理念、方法和技巧，从而培养其创新思维与职业素养。本课程的主要目标是让学生理解宣传教育工作的基本</w:t>
      </w:r>
      <w:r>
        <w:rPr>
          <w:rFonts w:hint="eastAsia" w:ascii="仿宋" w:hAnsi="仿宋" w:eastAsia="仿宋"/>
          <w:szCs w:val="21"/>
          <w:lang w:val="en-US" w:eastAsia="zh-CN"/>
        </w:rPr>
        <w:t>理论。</w:t>
      </w:r>
      <w:r>
        <w:rPr>
          <w:rFonts w:hint="eastAsia" w:ascii="仿宋" w:hAnsi="仿宋" w:eastAsia="仿宋"/>
          <w:szCs w:val="21"/>
          <w:lang w:val="en-GB"/>
        </w:rPr>
        <w:t>通过实践活动，使学生初步体验思想政治课教师的各项工作状况。初步树立起做一名政治教师的责任感与使命感，使学生初步掌握教育工作及思想政治课教学工作的基本方法与技能，使学生的知识结构得到合理调整，</w:t>
      </w:r>
      <w:r>
        <w:rPr>
          <w:rFonts w:hint="eastAsia" w:ascii="仿宋" w:hAnsi="仿宋" w:eastAsia="仿宋"/>
          <w:szCs w:val="21"/>
          <w:lang w:val="en-US" w:eastAsia="zh-CN"/>
        </w:rPr>
        <w:t>帮助</w:t>
      </w:r>
      <w:r>
        <w:rPr>
          <w:rFonts w:hint="eastAsia" w:ascii="仿宋" w:hAnsi="仿宋" w:eastAsia="仿宋"/>
          <w:szCs w:val="21"/>
          <w:lang w:val="en-GB"/>
        </w:rPr>
        <w:t>学生的思想品德、能力水平</w:t>
      </w:r>
      <w:r>
        <w:rPr>
          <w:rFonts w:hint="eastAsia" w:ascii="仿宋" w:hAnsi="仿宋" w:eastAsia="仿宋"/>
          <w:szCs w:val="21"/>
          <w:lang w:val="en-US" w:eastAsia="zh-CN"/>
        </w:rPr>
        <w:t>得到</w:t>
      </w:r>
      <w:r>
        <w:rPr>
          <w:rFonts w:hint="eastAsia" w:ascii="仿宋" w:hAnsi="仿宋" w:eastAsia="仿宋"/>
          <w:szCs w:val="21"/>
          <w:lang w:val="en-GB"/>
        </w:rPr>
        <w:t>进一步提高。为未来的职业发展打下坚实的基础</w:t>
      </w:r>
      <w:r>
        <w:rPr>
          <w:rFonts w:hint="eastAsia" w:ascii="仿宋" w:hAnsi="仿宋" w:eastAsia="仿宋"/>
          <w:szCs w:val="21"/>
          <w:lang w:val="en-GB" w:eastAsia="zh-CN"/>
        </w:rPr>
        <w:t>。</w:t>
      </w:r>
    </w:p>
    <w:p w14:paraId="3267CC8F">
      <w:pPr>
        <w:rPr>
          <w:rFonts w:ascii="黑体" w:hAnsi="黑体" w:eastAsia="黑体"/>
          <w:szCs w:val="21"/>
          <w:lang w:val="en-GB"/>
        </w:rPr>
      </w:pPr>
      <w:r>
        <w:rPr>
          <w:rFonts w:hint="eastAsia" w:ascii="黑体" w:hAnsi="黑体" w:eastAsia="黑体"/>
          <w:szCs w:val="21"/>
          <w:lang w:val="en-GB"/>
        </w:rPr>
        <w:t>三、教学目标</w:t>
      </w:r>
    </w:p>
    <w:p w14:paraId="31F562E1">
      <w:pPr>
        <w:ind w:firstLine="420" w:firstLineChars="200"/>
        <w:rPr>
          <w:rFonts w:hint="default" w:ascii="仿宋" w:hAnsi="仿宋" w:eastAsia="仿宋"/>
          <w:szCs w:val="21"/>
          <w:lang w:val="en-US" w:eastAsia="zh-CN"/>
        </w:rPr>
      </w:pPr>
      <w:r>
        <w:rPr>
          <w:rFonts w:hint="eastAsia" w:ascii="仿宋" w:hAnsi="仿宋" w:eastAsia="仿宋"/>
          <w:szCs w:val="21"/>
          <w:lang w:val="en-GB"/>
        </w:rPr>
        <w:t>通过对大学生进行宣传教育工作实训</w:t>
      </w:r>
      <w:r>
        <w:rPr>
          <w:rFonts w:hint="eastAsia" w:ascii="仿宋" w:hAnsi="仿宋" w:eastAsia="仿宋"/>
          <w:szCs w:val="21"/>
          <w:lang w:val="en-GB" w:eastAsia="zh-CN"/>
        </w:rPr>
        <w:t>，</w:t>
      </w:r>
      <w:r>
        <w:rPr>
          <w:rFonts w:hint="eastAsia" w:ascii="仿宋" w:hAnsi="仿宋" w:eastAsia="仿宋"/>
          <w:szCs w:val="21"/>
          <w:lang w:val="en-US" w:eastAsia="zh-CN"/>
        </w:rPr>
        <w:t>帮助学生理解宣传教育工作的基本概念、原则以及相关的教育学理论，能够用理论指导实际工作，提高学生的口头与书面表达能力，能清晰、有说服力地传达信息。同时，培养学生的创新思维，并有效应对教学过程中的各种挑战，增强学生的教育责任感，理解宣传教育在教学活动中的重要作用，树立良好的职业道德观。通过以上目标的达成，学生将在未来的宣传教育工作中具备扎实的理论基础和实践能力，为其职业生涯的发展奠定坚实基础。</w:t>
      </w:r>
    </w:p>
    <w:p w14:paraId="6093C10B">
      <w:pPr>
        <w:rPr>
          <w:rFonts w:ascii="黑体" w:hAnsi="黑体" w:eastAsia="黑体"/>
          <w:szCs w:val="21"/>
          <w:lang w:val="en-GB"/>
        </w:rPr>
      </w:pPr>
      <w:r>
        <w:rPr>
          <w:rFonts w:hint="eastAsia" w:ascii="黑体" w:hAnsi="黑体" w:eastAsia="黑体"/>
          <w:szCs w:val="21"/>
          <w:lang w:val="en-GB"/>
        </w:rPr>
        <w:t>四、教学内容与学习要求</w:t>
      </w:r>
    </w:p>
    <w:p w14:paraId="0A5765C9">
      <w:pPr>
        <w:ind w:firstLine="420" w:firstLineChars="200"/>
        <w:rPr>
          <w:rFonts w:hint="default" w:ascii="仿宋" w:hAnsi="仿宋" w:eastAsia="仿宋"/>
          <w:szCs w:val="21"/>
          <w:lang w:val="en-US" w:eastAsia="zh-CN"/>
        </w:rPr>
      </w:pPr>
      <w:r>
        <w:rPr>
          <w:rFonts w:hint="eastAsia" w:ascii="仿宋" w:hAnsi="仿宋" w:eastAsia="仿宋"/>
          <w:szCs w:val="21"/>
          <w:lang w:val="en-US" w:eastAsia="zh-CN"/>
        </w:rPr>
        <w:t>1、内容：</w:t>
      </w:r>
      <w:r>
        <w:rPr>
          <w:rFonts w:hint="eastAsia" w:ascii="仿宋" w:hAnsi="仿宋" w:eastAsia="仿宋"/>
          <w:szCs w:val="21"/>
          <w:lang w:val="en-GB"/>
        </w:rPr>
        <w:t>每周4学时（2周），实训内容：给思政教师或党群部门助课助教</w:t>
      </w:r>
      <w:bookmarkStart w:id="0" w:name="_GoBack"/>
      <w:bookmarkEnd w:id="0"/>
    </w:p>
    <w:p w14:paraId="2EDE8608">
      <w:pPr>
        <w:rPr>
          <w:rFonts w:ascii="黑体" w:hAnsi="黑体" w:eastAsia="黑体"/>
          <w:szCs w:val="21"/>
          <w:lang w:val="en-GB"/>
        </w:rPr>
      </w:pPr>
      <w:r>
        <w:rPr>
          <w:rFonts w:hint="eastAsia" w:ascii="黑体" w:hAnsi="黑体" w:eastAsia="黑体"/>
          <w:szCs w:val="21"/>
          <w:lang w:val="en-GB"/>
        </w:rPr>
        <w:t>五、考核方式</w:t>
      </w:r>
    </w:p>
    <w:p w14:paraId="542DF49D">
      <w:pPr>
        <w:ind w:firstLine="420" w:firstLineChars="200"/>
        <w:rPr>
          <w:rFonts w:hint="eastAsia" w:ascii="仿宋" w:hAnsi="仿宋" w:eastAsia="仿宋"/>
          <w:szCs w:val="21"/>
        </w:rPr>
      </w:pPr>
      <w:r>
        <w:rPr>
          <w:rFonts w:hint="eastAsia" w:ascii="仿宋" w:hAnsi="仿宋" w:eastAsia="仿宋"/>
          <w:szCs w:val="21"/>
        </w:rPr>
        <w:t>1、实习考核</w:t>
      </w:r>
    </w:p>
    <w:p w14:paraId="4253D25D">
      <w:pPr>
        <w:ind w:firstLine="420" w:firstLineChars="200"/>
        <w:rPr>
          <w:rFonts w:hint="eastAsia" w:ascii="仿宋" w:hAnsi="仿宋" w:eastAsia="仿宋"/>
          <w:szCs w:val="21"/>
        </w:rPr>
      </w:pPr>
      <w:r>
        <w:rPr>
          <w:rFonts w:hint="eastAsia" w:ascii="仿宋" w:hAnsi="仿宋" w:eastAsia="仿宋"/>
          <w:szCs w:val="21"/>
        </w:rPr>
        <w:t>实习的成绩评定，考核成绩以实习总结或实习报告为主，占实习总成绩的100%。</w:t>
      </w:r>
    </w:p>
    <w:p w14:paraId="5349E52A">
      <w:pPr>
        <w:ind w:firstLine="420" w:firstLineChars="200"/>
        <w:rPr>
          <w:rFonts w:hint="eastAsia" w:ascii="仿宋" w:hAnsi="仿宋" w:eastAsia="仿宋"/>
          <w:szCs w:val="21"/>
        </w:rPr>
      </w:pPr>
      <w:r>
        <w:rPr>
          <w:rFonts w:hint="eastAsia" w:ascii="仿宋" w:hAnsi="仿宋" w:eastAsia="仿宋"/>
          <w:szCs w:val="21"/>
        </w:rPr>
        <w:t>2、成绩评定</w:t>
      </w:r>
    </w:p>
    <w:p w14:paraId="58D576B3">
      <w:pPr>
        <w:ind w:firstLine="420" w:firstLineChars="200"/>
        <w:rPr>
          <w:rFonts w:hint="eastAsia" w:ascii="仿宋" w:hAnsi="仿宋" w:eastAsia="仿宋"/>
          <w:szCs w:val="21"/>
        </w:rPr>
      </w:pPr>
      <w:r>
        <w:rPr>
          <w:rFonts w:hint="eastAsia" w:ascii="仿宋" w:hAnsi="仿宋" w:eastAsia="仿宋"/>
          <w:szCs w:val="21"/>
        </w:rPr>
        <w:t>成绩按百分制评定。①90分及以上，以党的教育方针为指导，思想积极，观点正确、条理清晰，认真分析总结。态度端正，紧密联系实习经历，实习报告内容详实、具体，能够对论述问题进行深入论证分析，有较为深刻的感想和体会。文字通顺、书写规范、字数符合要求。②80-90分，以党的教育方针为指导，思想积极，观点正确、条理清晰，认真分析总结。态度端正，实习报告内容详实、具体，能够对论述问题进行深入论证分析，逻辑较为清晰。文字通顺、书写规范、字数符合要求。③70-79分，以党的教育方针为指导，思想积极，观点正确、条理清晰，认真分析总结。态度端正，实习报告内容较为详实、具体，对实习内容有一定的感想和体会。文字通顺、书写规范，字数不符合要求。④60—69分，以党的教育方针为指导，思想积极，观点正确、条理清晰。态度端正，实习报告内容不完整，缺乏个人独立思考，文字通顺、字数不符合要求。⑤60分以下，内容空洞，态度不端正，思想不够积极，缺乏条理。实习报告内容空洞，缺乏个人独立思考，书写不规范、文字不通顺，字数不符合要求。</w:t>
      </w: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14:paraId="09D8A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63DB102D">
            <w:pPr>
              <w:rPr>
                <w:rFonts w:ascii="黑体" w:hAnsi="黑体" w:eastAsia="黑体"/>
                <w:szCs w:val="21"/>
                <w:lang w:val="en-GB"/>
              </w:rPr>
            </w:pPr>
          </w:p>
        </w:tc>
        <w:tc>
          <w:tcPr>
            <w:tcW w:w="3316" w:type="dxa"/>
            <w:vAlign w:val="center"/>
          </w:tcPr>
          <w:p w14:paraId="32DBBF8F">
            <w:pPr>
              <w:rPr>
                <w:rFonts w:hint="eastAsia" w:ascii="黑体" w:hAnsi="黑体" w:eastAsia="仿宋"/>
                <w:szCs w:val="21"/>
                <w:lang w:val="en-GB" w:eastAsia="zh-CN"/>
              </w:rPr>
            </w:pPr>
            <w:r>
              <w:rPr>
                <w:rFonts w:hint="eastAsia" w:ascii="仿宋" w:hAnsi="仿宋" w:eastAsia="仿宋"/>
                <w:szCs w:val="21"/>
                <w:lang w:val="en-GB"/>
              </w:rPr>
              <w:t>制定人：</w:t>
            </w:r>
            <w:r>
              <w:rPr>
                <w:rFonts w:hint="eastAsia" w:ascii="仿宋" w:hAnsi="仿宋" w:eastAsia="仿宋"/>
                <w:szCs w:val="21"/>
                <w:lang w:val="en-US" w:eastAsia="zh-CN"/>
              </w:rPr>
              <w:t>于冬妮</w:t>
            </w:r>
          </w:p>
        </w:tc>
      </w:tr>
      <w:tr w14:paraId="0F6AE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5106F070">
            <w:pPr>
              <w:rPr>
                <w:rFonts w:ascii="黑体" w:hAnsi="黑体" w:eastAsia="黑体"/>
                <w:szCs w:val="21"/>
                <w:lang w:val="en-GB"/>
              </w:rPr>
            </w:pPr>
          </w:p>
        </w:tc>
        <w:tc>
          <w:tcPr>
            <w:tcW w:w="3316" w:type="dxa"/>
            <w:vAlign w:val="center"/>
          </w:tcPr>
          <w:p w14:paraId="35201C04">
            <w:pPr>
              <w:rPr>
                <w:rFonts w:hint="eastAsia" w:ascii="仿宋" w:hAnsi="仿宋" w:eastAsia="仿宋"/>
                <w:szCs w:val="21"/>
                <w:lang w:val="en-GB" w:eastAsia="zh-CN"/>
              </w:rPr>
            </w:pPr>
            <w:r>
              <w:rPr>
                <w:rFonts w:hint="eastAsia" w:ascii="仿宋" w:hAnsi="仿宋" w:eastAsia="仿宋"/>
                <w:szCs w:val="21"/>
                <w:lang w:val="en-GB"/>
              </w:rPr>
              <w:t>审核人</w:t>
            </w:r>
            <w:r>
              <w:rPr>
                <w:rFonts w:ascii="仿宋" w:hAnsi="仿宋" w:eastAsia="仿宋"/>
                <w:szCs w:val="21"/>
                <w:lang w:val="en-GB"/>
              </w:rPr>
              <w:t>：</w:t>
            </w:r>
            <w:r>
              <w:rPr>
                <w:rFonts w:hint="eastAsia" w:ascii="仿宋" w:hAnsi="仿宋" w:eastAsia="仿宋"/>
                <w:szCs w:val="21"/>
                <w:lang w:val="en-US" w:eastAsia="zh-CN"/>
              </w:rPr>
              <w:t>晁娜娜</w:t>
            </w:r>
          </w:p>
        </w:tc>
      </w:tr>
      <w:tr w14:paraId="6511A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1F87FD44">
            <w:pPr>
              <w:rPr>
                <w:rFonts w:ascii="黑体" w:hAnsi="黑体" w:eastAsia="黑体"/>
                <w:szCs w:val="21"/>
                <w:lang w:val="en-GB"/>
              </w:rPr>
            </w:pPr>
          </w:p>
        </w:tc>
        <w:tc>
          <w:tcPr>
            <w:tcW w:w="3316" w:type="dxa"/>
            <w:vAlign w:val="center"/>
          </w:tcPr>
          <w:p w14:paraId="6785A031">
            <w:pPr>
              <w:rPr>
                <w:rFonts w:ascii="仿宋" w:hAnsi="仿宋" w:eastAsia="仿宋"/>
                <w:szCs w:val="21"/>
                <w:lang w:val="en-GB"/>
              </w:rPr>
            </w:pPr>
            <w:r>
              <w:rPr>
                <w:rFonts w:hint="eastAsia" w:ascii="仿宋" w:hAnsi="仿宋" w:eastAsia="仿宋"/>
                <w:szCs w:val="21"/>
                <w:lang w:val="en-GB"/>
              </w:rPr>
              <w:t>制（修）订时间：202</w:t>
            </w:r>
            <w:r>
              <w:rPr>
                <w:rFonts w:hint="eastAsia" w:ascii="仿宋" w:hAnsi="仿宋" w:eastAsia="仿宋"/>
                <w:szCs w:val="21"/>
                <w:lang w:val="en-US" w:eastAsia="zh-CN"/>
              </w:rPr>
              <w:t>4</w:t>
            </w:r>
            <w:r>
              <w:rPr>
                <w:rFonts w:hint="eastAsia" w:ascii="仿宋" w:hAnsi="仿宋" w:eastAsia="仿宋"/>
                <w:szCs w:val="21"/>
                <w:lang w:val="en-GB"/>
              </w:rPr>
              <w:t>年</w:t>
            </w:r>
            <w:r>
              <w:rPr>
                <w:rFonts w:hint="eastAsia" w:ascii="仿宋" w:hAnsi="仿宋" w:eastAsia="仿宋"/>
                <w:szCs w:val="21"/>
                <w:lang w:val="en-US" w:eastAsia="zh-CN"/>
              </w:rPr>
              <w:t>8</w:t>
            </w:r>
            <w:r>
              <w:rPr>
                <w:rFonts w:hint="eastAsia" w:ascii="仿宋" w:hAnsi="仿宋" w:eastAsia="仿宋"/>
                <w:szCs w:val="21"/>
                <w:lang w:val="en-GB"/>
              </w:rPr>
              <w:t>月</w:t>
            </w:r>
          </w:p>
        </w:tc>
      </w:tr>
    </w:tbl>
    <w:p w14:paraId="0D93A678">
      <w:pPr>
        <w:widowControl/>
        <w:jc w:val="left"/>
        <w:rPr>
          <w:rFonts w:ascii="仿宋" w:hAnsi="仿宋" w:eastAsia="仿宋"/>
          <w:szCs w:val="21"/>
        </w:rPr>
      </w:pPr>
      <w:r>
        <w:rPr>
          <w:rFonts w:ascii="仿宋" w:hAnsi="仿宋" w:eastAsia="仿宋"/>
          <w:szCs w:val="21"/>
        </w:rPr>
        <w:br w:type="page"/>
      </w:r>
    </w:p>
    <w:p w14:paraId="198B8601">
      <w:pPr>
        <w:jc w:val="center"/>
        <w:rPr>
          <w:rFonts w:ascii="Times New Roman" w:hAnsi="Times New Roman" w:eastAsia="黑体" w:cs="Times New Roman"/>
          <w:b/>
          <w:sz w:val="32"/>
          <w:szCs w:val="21"/>
          <w:lang w:val="en-GB"/>
        </w:rPr>
      </w:pPr>
      <w:r>
        <w:rPr>
          <w:rFonts w:ascii="Times New Roman" w:hAnsi="Times New Roman" w:eastAsia="黑体" w:cs="Times New Roman"/>
          <w:b/>
          <w:sz w:val="32"/>
          <w:szCs w:val="21"/>
          <w:lang w:val="en-GB"/>
        </w:rPr>
        <w:t>《</w:t>
      </w:r>
      <w:r>
        <w:rPr>
          <w:rFonts w:hint="eastAsia" w:ascii="Times New Roman" w:hAnsi="Times New Roman" w:eastAsia="黑体" w:cs="Times New Roman"/>
          <w:b/>
          <w:sz w:val="32"/>
          <w:szCs w:val="21"/>
          <w:lang w:val="en-GB"/>
        </w:rPr>
        <w:t>Practical training in publicity and education work</w:t>
      </w:r>
      <w:r>
        <w:rPr>
          <w:rFonts w:ascii="Times New Roman" w:hAnsi="Times New Roman" w:eastAsia="黑体" w:cs="Times New Roman"/>
          <w:b/>
          <w:sz w:val="32"/>
          <w:szCs w:val="21"/>
          <w:lang w:val="en-GB"/>
        </w:rPr>
        <w:t>》Syllabus</w:t>
      </w:r>
    </w:p>
    <w:p w14:paraId="7F93D29D">
      <w:pPr>
        <w:rPr>
          <w:rFonts w:ascii="Times New Roman" w:hAnsi="Times New Roman" w:eastAsia="黑体" w:cs="Times New Roman"/>
          <w:b/>
          <w:szCs w:val="21"/>
          <w:lang w:val="en-GB"/>
        </w:rPr>
      </w:pPr>
      <w:r>
        <w:rPr>
          <w:rFonts w:ascii="Times New Roman" w:hAnsi="Times New Roman" w:eastAsia="黑体" w:cs="Times New Roman"/>
          <w:b/>
          <w:szCs w:val="21"/>
          <w:lang w:val="en-GB"/>
        </w:rPr>
        <w:t>I. Basic Information</w:t>
      </w: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16A01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38F2528E">
            <w:pPr>
              <w:rPr>
                <w:rFonts w:ascii="Times New Roman" w:hAnsi="Times New Roman" w:eastAsia="黑体" w:cs="Times New Roman"/>
                <w:szCs w:val="21"/>
                <w:lang w:val="en-GB"/>
              </w:rPr>
            </w:pPr>
            <w:r>
              <w:rPr>
                <w:rFonts w:ascii="Times New Roman" w:hAnsi="Times New Roman" w:cs="Times New Roman"/>
              </w:rPr>
              <w:t xml:space="preserve">Course Name: </w:t>
            </w:r>
            <w:r>
              <w:rPr>
                <w:rFonts w:hint="eastAsia" w:ascii="Times New Roman" w:hAnsi="Times New Roman" w:cs="Times New Roman"/>
                <w:lang w:val="en-GB" w:eastAsia="zh-CN"/>
              </w:rPr>
              <w:t>Practical training in publicity and education work</w:t>
            </w:r>
          </w:p>
        </w:tc>
        <w:tc>
          <w:tcPr>
            <w:tcW w:w="3969" w:type="dxa"/>
            <w:vAlign w:val="center"/>
          </w:tcPr>
          <w:p w14:paraId="663E734B">
            <w:pPr>
              <w:rPr>
                <w:rFonts w:ascii="Times New Roman" w:hAnsi="Times New Roman" w:eastAsia="黑体" w:cs="Times New Roman"/>
                <w:szCs w:val="21"/>
                <w:lang w:val="en-GB"/>
              </w:rPr>
            </w:pPr>
            <w:r>
              <w:rPr>
                <w:rFonts w:ascii="Times New Roman" w:hAnsi="Times New Roman" w:eastAsia="仿宋" w:cs="Times New Roman"/>
                <w:szCs w:val="21"/>
                <w:lang w:val="en-GB"/>
              </w:rPr>
              <w:t xml:space="preserve">Name in Chinese: </w:t>
            </w:r>
            <w:r>
              <w:rPr>
                <w:rFonts w:hint="eastAsia" w:ascii="仿宋" w:hAnsi="仿宋" w:eastAsia="仿宋"/>
                <w:szCs w:val="21"/>
                <w:lang w:val="en-US" w:eastAsia="zh-CN"/>
              </w:rPr>
              <w:t>宣传教育工作实训</w:t>
            </w:r>
          </w:p>
        </w:tc>
      </w:tr>
      <w:tr w14:paraId="753F4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762AD4C">
            <w:pPr>
              <w:rPr>
                <w:rFonts w:ascii="Times New Roman" w:hAnsi="Times New Roman" w:eastAsia="黑体" w:cs="Times New Roman"/>
                <w:szCs w:val="21"/>
                <w:lang w:val="en-GB"/>
              </w:rPr>
            </w:pPr>
            <w:r>
              <w:rPr>
                <w:rFonts w:ascii="Times New Roman" w:hAnsi="Times New Roman" w:cs="Times New Roman"/>
              </w:rPr>
              <w:t xml:space="preserve">Course No.: </w:t>
            </w:r>
            <w:r>
              <w:rPr>
                <w:rFonts w:hint="eastAsia" w:ascii="Times New Roman" w:hAnsi="Times New Roman" w:cs="Times New Roman"/>
              </w:rPr>
              <w:t>160838P003</w:t>
            </w:r>
          </w:p>
        </w:tc>
        <w:tc>
          <w:tcPr>
            <w:tcW w:w="3969" w:type="dxa"/>
            <w:vAlign w:val="center"/>
          </w:tcPr>
          <w:p w14:paraId="7F7FA226">
            <w:pPr>
              <w:rPr>
                <w:rFonts w:hint="eastAsia" w:ascii="Times New Roman" w:hAnsi="Times New Roman" w:cs="Times New Roman" w:eastAsiaTheme="minorEastAsia"/>
                <w:szCs w:val="21"/>
                <w:lang w:val="en-US" w:eastAsia="zh-CN"/>
              </w:rPr>
            </w:pPr>
            <w:r>
              <w:rPr>
                <w:rFonts w:ascii="Times New Roman" w:hAnsi="Times New Roman" w:cs="Times New Roman"/>
              </w:rPr>
              <w:t xml:space="preserve">Total Credits: </w:t>
            </w:r>
            <w:r>
              <w:rPr>
                <w:rFonts w:hint="eastAsia" w:ascii="Times New Roman" w:hAnsi="Times New Roman" w:cs="Times New Roman"/>
                <w:lang w:val="en-US" w:eastAsia="zh-CN"/>
              </w:rPr>
              <w:t>2</w:t>
            </w:r>
          </w:p>
        </w:tc>
      </w:tr>
      <w:tr w14:paraId="503F4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B55C159">
            <w:pPr>
              <w:rPr>
                <w:rFonts w:hint="eastAsia" w:ascii="Times New Roman" w:hAnsi="Times New Roman" w:cs="Times New Roman" w:eastAsiaTheme="minorEastAsia"/>
                <w:szCs w:val="21"/>
                <w:lang w:val="en-US" w:eastAsia="zh-CN"/>
              </w:rPr>
            </w:pPr>
            <w:r>
              <w:rPr>
                <w:rFonts w:ascii="Times New Roman" w:hAnsi="Times New Roman" w:cs="Times New Roman"/>
              </w:rPr>
              <w:t xml:space="preserve">Total Hours: </w:t>
            </w:r>
            <w:r>
              <w:rPr>
                <w:rFonts w:hint="eastAsia" w:ascii="Times New Roman" w:hAnsi="Times New Roman" w:cs="Times New Roman"/>
                <w:lang w:val="en-US" w:eastAsia="zh-CN"/>
              </w:rPr>
              <w:t>2</w:t>
            </w:r>
          </w:p>
        </w:tc>
        <w:tc>
          <w:tcPr>
            <w:tcW w:w="3969" w:type="dxa"/>
            <w:vAlign w:val="center"/>
          </w:tcPr>
          <w:p w14:paraId="2D5D20E0">
            <w:pPr>
              <w:rPr>
                <w:rFonts w:hint="eastAsia" w:ascii="Times New Roman" w:hAnsi="Times New Roman" w:eastAsia="黑体" w:cs="Times New Roman"/>
                <w:szCs w:val="21"/>
                <w:lang w:val="en-US" w:eastAsia="zh-CN"/>
              </w:rPr>
            </w:pPr>
            <w:r>
              <w:rPr>
                <w:rFonts w:ascii="Times New Roman" w:hAnsi="Times New Roman" w:eastAsia="黑体" w:cs="Times New Roman"/>
                <w:szCs w:val="21"/>
                <w:lang w:val="en-GB"/>
              </w:rPr>
              <w:t xml:space="preserve">Lecture Hours: </w:t>
            </w:r>
            <w:r>
              <w:rPr>
                <w:rFonts w:hint="eastAsia" w:ascii="Times New Roman" w:hAnsi="Times New Roman" w:eastAsia="黑体" w:cs="Times New Roman"/>
                <w:szCs w:val="21"/>
                <w:lang w:val="en-US" w:eastAsia="zh-CN"/>
              </w:rPr>
              <w:t>0</w:t>
            </w:r>
          </w:p>
        </w:tc>
      </w:tr>
      <w:tr w14:paraId="23C0B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EC15D5D">
            <w:pPr>
              <w:rPr>
                <w:rFonts w:hint="eastAsia" w:ascii="Times New Roman" w:hAnsi="Times New Roman" w:cs="Times New Roman" w:eastAsiaTheme="minorEastAsia"/>
                <w:szCs w:val="21"/>
                <w:lang w:val="en-US" w:eastAsia="zh-CN"/>
              </w:rPr>
            </w:pPr>
            <w:r>
              <w:rPr>
                <w:rFonts w:ascii="Times New Roman" w:hAnsi="Times New Roman" w:cs="Times New Roman"/>
              </w:rPr>
              <w:t xml:space="preserve">Lab Hours: </w:t>
            </w:r>
            <w:r>
              <w:rPr>
                <w:rFonts w:hint="eastAsia" w:ascii="Times New Roman" w:hAnsi="Times New Roman" w:cs="Times New Roman"/>
                <w:lang w:val="en-US" w:eastAsia="zh-CN"/>
              </w:rPr>
              <w:t>2</w:t>
            </w:r>
          </w:p>
        </w:tc>
        <w:tc>
          <w:tcPr>
            <w:tcW w:w="3969" w:type="dxa"/>
            <w:vAlign w:val="center"/>
          </w:tcPr>
          <w:p w14:paraId="793496E3">
            <w:pPr>
              <w:rPr>
                <w:rFonts w:hint="eastAsia" w:ascii="Times New Roman" w:hAnsi="Times New Roman" w:cs="Times New Roman" w:eastAsiaTheme="minorEastAsia"/>
                <w:szCs w:val="21"/>
                <w:lang w:val="en-US" w:eastAsia="zh-CN"/>
              </w:rPr>
            </w:pPr>
            <w:r>
              <w:rPr>
                <w:rFonts w:ascii="Times New Roman" w:hAnsi="Times New Roman" w:cs="Times New Roman"/>
              </w:rPr>
              <w:t xml:space="preserve">Computer Lab Hours: </w:t>
            </w:r>
            <w:r>
              <w:rPr>
                <w:rFonts w:hint="eastAsia" w:ascii="Times New Roman" w:hAnsi="Times New Roman" w:cs="Times New Roman"/>
                <w:lang w:val="en-US" w:eastAsia="zh-CN"/>
              </w:rPr>
              <w:t>0</w:t>
            </w:r>
          </w:p>
        </w:tc>
      </w:tr>
      <w:tr w14:paraId="2FF11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7BBAAB7">
            <w:pPr>
              <w:rPr>
                <w:rFonts w:ascii="Times New Roman" w:hAnsi="Times New Roman" w:eastAsia="黑体" w:cs="Times New Roman"/>
                <w:szCs w:val="21"/>
                <w:lang w:val="en-GB"/>
              </w:rPr>
            </w:pPr>
            <w:r>
              <w:rPr>
                <w:rFonts w:ascii="Times New Roman" w:hAnsi="Times New Roman" w:cs="Times New Roman"/>
              </w:rPr>
              <w:t xml:space="preserve">Offering College: College: </w:t>
            </w:r>
            <w:r>
              <w:rPr>
                <w:rFonts w:hint="eastAsia" w:ascii="Times New Roman" w:hAnsi="Times New Roman" w:cs="Times New Roman"/>
              </w:rPr>
              <w:t>college of business administration</w:t>
            </w:r>
            <w:r>
              <w:rPr>
                <w:rFonts w:hint="eastAsia" w:ascii="Times New Roman" w:hAnsi="Times New Roman" w:cs="Times New Roman"/>
                <w:lang w:val="en-US" w:eastAsia="zh-CN"/>
              </w:rPr>
              <w:t>/College of Marxism</w:t>
            </w:r>
          </w:p>
        </w:tc>
        <w:tc>
          <w:tcPr>
            <w:tcW w:w="3969" w:type="dxa"/>
            <w:vAlign w:val="center"/>
          </w:tcPr>
          <w:p w14:paraId="116F61E9">
            <w:pPr>
              <w:rPr>
                <w:rFonts w:ascii="Times New Roman" w:hAnsi="Times New Roman" w:eastAsia="黑体" w:cs="Times New Roman"/>
                <w:szCs w:val="21"/>
                <w:lang w:val="en-GB"/>
              </w:rPr>
            </w:pPr>
            <w:r>
              <w:rPr>
                <w:rFonts w:ascii="Times New Roman" w:hAnsi="Times New Roman" w:cs="Times New Roman"/>
              </w:rPr>
              <w:t xml:space="preserve">Corresponding Majors: </w:t>
            </w:r>
            <w:r>
              <w:rPr>
                <w:rFonts w:hint="eastAsia" w:ascii="Times New Roman" w:hAnsi="Times New Roman" w:cs="Times New Roman"/>
              </w:rPr>
              <w:t>Ideological and political education</w:t>
            </w:r>
          </w:p>
        </w:tc>
      </w:tr>
      <w:tr w14:paraId="0600D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jc w:val="right"/>
        </w:trPr>
        <w:tc>
          <w:tcPr>
            <w:tcW w:w="4025" w:type="dxa"/>
            <w:vAlign w:val="center"/>
          </w:tcPr>
          <w:p w14:paraId="5B56F4EF">
            <w:pPr>
              <w:rPr>
                <w:rFonts w:ascii="Times New Roman" w:hAnsi="Times New Roman" w:eastAsia="黑体" w:cs="Times New Roman"/>
                <w:szCs w:val="21"/>
                <w:lang w:val="en-GB"/>
              </w:rPr>
            </w:pPr>
            <w:r>
              <w:rPr>
                <w:rFonts w:ascii="Times New Roman" w:hAnsi="Times New Roman" w:cs="Times New Roman"/>
              </w:rPr>
              <w:t>Course Type: Required</w:t>
            </w:r>
          </w:p>
        </w:tc>
        <w:tc>
          <w:tcPr>
            <w:tcW w:w="3969" w:type="dxa"/>
            <w:vAlign w:val="center"/>
          </w:tcPr>
          <w:p w14:paraId="27044D17">
            <w:pPr>
              <w:rPr>
                <w:rFonts w:ascii="Times New Roman" w:hAnsi="Times New Roman" w:eastAsia="黑体" w:cs="Times New Roman"/>
                <w:szCs w:val="21"/>
                <w:lang w:val="en-GB"/>
              </w:rPr>
            </w:pPr>
            <w:r>
              <w:rPr>
                <w:rFonts w:ascii="Times New Roman" w:hAnsi="Times New Roman" w:cs="Times New Roman"/>
              </w:rPr>
              <w:t xml:space="preserve">Prerequisite: </w:t>
            </w:r>
          </w:p>
        </w:tc>
      </w:tr>
    </w:tbl>
    <w:p w14:paraId="45140979">
      <w:pPr>
        <w:rPr>
          <w:rFonts w:ascii="Times New Roman" w:hAnsi="Times New Roman" w:eastAsia="黑体" w:cs="Times New Roman"/>
          <w:b/>
          <w:szCs w:val="21"/>
          <w:lang w:val="en-GB"/>
        </w:rPr>
      </w:pPr>
      <w:r>
        <w:rPr>
          <w:rFonts w:ascii="Times New Roman" w:hAnsi="Times New Roman" w:eastAsia="黑体" w:cs="Times New Roman"/>
          <w:b/>
          <w:szCs w:val="21"/>
          <w:lang w:val="en-GB"/>
        </w:rPr>
        <w:t>II. Course Introduction</w:t>
      </w:r>
    </w:p>
    <w:p w14:paraId="23FDC011">
      <w:pPr>
        <w:ind w:firstLine="420" w:firstLineChars="200"/>
        <w:rPr>
          <w:rFonts w:ascii="Times New Roman" w:hAnsi="Times New Roman" w:eastAsia="仿宋" w:cs="Times New Roman"/>
          <w:szCs w:val="21"/>
          <w:lang w:val="en-GB"/>
        </w:rPr>
      </w:pPr>
      <w:r>
        <w:rPr>
          <w:rFonts w:hint="eastAsia" w:ascii="Times New Roman" w:hAnsi="Times New Roman" w:eastAsia="仿宋" w:cs="Times New Roman"/>
          <w:szCs w:val="21"/>
          <w:lang w:val="en-GB"/>
        </w:rPr>
        <w:t>The practical training course of propaganda and education is an important course designed to improve students' practical ability in the field of propaganda and education. Combining theory and practice, the course aims to help students master the basic concepts, methods and skills of modern publicity and education, so as to cultivate their innovative thinking and professional quality. The main objective of this course is to provide students with an understanding of the basic theories of propaganda and education work. Through practical activities, the students have a preliminary experience of the ideological and political course teachers working conditions. Initially establish a sense of responsibility and mission to be a political teacher, so that students initially master the basic methods and skills of education and ideological and political teaching work, so that students' knowledge structure can be reasonably adjusted, and help students' ideological morality and ability level to be further improved. Lay a solid foundation for future career development.</w:t>
      </w:r>
    </w:p>
    <w:p w14:paraId="5D08D465">
      <w:pPr>
        <w:rPr>
          <w:rFonts w:ascii="Times New Roman" w:hAnsi="Times New Roman" w:eastAsia="黑体" w:cs="Times New Roman"/>
          <w:b/>
          <w:szCs w:val="21"/>
          <w:lang w:val="en-GB"/>
        </w:rPr>
      </w:pPr>
      <w:r>
        <w:rPr>
          <w:rFonts w:ascii="Times New Roman" w:hAnsi="Times New Roman" w:eastAsia="黑体" w:cs="Times New Roman"/>
          <w:b/>
          <w:szCs w:val="21"/>
          <w:lang w:val="en-GB"/>
        </w:rPr>
        <w:t>III. Course Objective</w:t>
      </w:r>
    </w:p>
    <w:p w14:paraId="7868D0C3">
      <w:p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Through the practical training of propaganda and education for college students, students are helped to understand the basic concepts, principles and related pedagogical theories of propaganda and education, which can guide practical work with theories, improve students' oral and written expression ability, and communicate information clearly and convincingly. At the same time, we should cultivate students' innovative thinking, effectively cope with various challenges in the teaching process, enhance students' sense of responsibility for education, understand the important role of publicity and education in teaching activities, and establish good professional ethics. Through the achievement of the above goals, students will have a solid theoretical foundation and practical ability in the future publicity and education work, laying a solid foundation for the development of their career.</w:t>
      </w:r>
    </w:p>
    <w:p w14:paraId="092DC736">
      <w:pPr>
        <w:rPr>
          <w:rFonts w:ascii="Times New Roman" w:hAnsi="Times New Roman" w:eastAsia="黑体" w:cs="Times New Roman"/>
          <w:b/>
          <w:szCs w:val="21"/>
          <w:lang w:val="en-GB"/>
        </w:rPr>
      </w:pPr>
      <w:r>
        <w:rPr>
          <w:rFonts w:ascii="Times New Roman" w:hAnsi="Times New Roman" w:eastAsia="黑体" w:cs="Times New Roman"/>
          <w:b/>
          <w:szCs w:val="21"/>
          <w:lang w:val="en-GB"/>
        </w:rPr>
        <w:t xml:space="preserve">IV. Contents </w:t>
      </w:r>
      <w:r>
        <w:rPr>
          <w:rFonts w:ascii="Times New Roman" w:hAnsi="Times New Roman" w:eastAsia="仿宋" w:cs="Times New Roman"/>
          <w:b/>
          <w:szCs w:val="21"/>
          <w:lang w:val="en-GB"/>
        </w:rPr>
        <w:t>and</w:t>
      </w:r>
      <w:r>
        <w:rPr>
          <w:rFonts w:ascii="Times New Roman" w:hAnsi="Times New Roman" w:eastAsia="黑体" w:cs="Times New Roman"/>
          <w:b/>
          <w:szCs w:val="21"/>
          <w:lang w:val="en-GB"/>
        </w:rPr>
        <w:t xml:space="preserve"> Requirements</w:t>
      </w:r>
    </w:p>
    <w:p w14:paraId="37FA6154">
      <w:p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1</w:t>
      </w:r>
      <w:r>
        <w:rPr>
          <w:rFonts w:hint="eastAsia" w:ascii="Times New Roman" w:hAnsi="Times New Roman" w:eastAsia="仿宋" w:cs="Times New Roman"/>
          <w:szCs w:val="21"/>
          <w:lang w:val="en-US" w:eastAsia="zh-CN"/>
        </w:rPr>
        <w:t>.</w:t>
      </w:r>
      <w:r>
        <w:rPr>
          <w:rFonts w:hint="eastAsia" w:ascii="Times New Roman" w:hAnsi="Times New Roman" w:eastAsia="仿宋" w:cs="Times New Roman"/>
          <w:szCs w:val="21"/>
          <w:lang w:val="en-GB"/>
        </w:rPr>
        <w:t xml:space="preserve"> </w:t>
      </w:r>
      <w:r>
        <w:rPr>
          <w:rFonts w:hint="eastAsia" w:ascii="Times New Roman" w:hAnsi="Times New Roman" w:eastAsia="仿宋" w:cs="Times New Roman"/>
          <w:szCs w:val="21"/>
          <w:lang w:val="en-US" w:eastAsia="zh-CN"/>
        </w:rPr>
        <w:t>C</w:t>
      </w:r>
      <w:r>
        <w:rPr>
          <w:rFonts w:hint="eastAsia" w:ascii="Times New Roman" w:hAnsi="Times New Roman" w:eastAsia="仿宋" w:cs="Times New Roman"/>
          <w:szCs w:val="21"/>
          <w:lang w:val="en-GB"/>
        </w:rPr>
        <w:t>ontent: 4 hours per week (2 weeks), practical training content: ideological and political teachers or party and mass department assistant teaching assistants</w:t>
      </w:r>
    </w:p>
    <w:p w14:paraId="3025AC64">
      <w:p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2. Basic requirements:</w:t>
      </w:r>
    </w:p>
    <w:p w14:paraId="7B3E34F1">
      <w:p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(1) Conscientiously implement the provisions and requirements of the publicity and education work training, participate in the publicity and education work training process, and complete the training tasks.</w:t>
      </w:r>
    </w:p>
    <w:p w14:paraId="24F21519">
      <w:p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(2) Strictly abide by the rules and regulations of college students' code of conduct and practical training, and no violations occur.</w:t>
      </w:r>
    </w:p>
    <w:p w14:paraId="6BE3E53D">
      <w:pPr>
        <w:ind w:firstLine="420" w:firstLineChars="200"/>
        <w:rPr>
          <w:rFonts w:ascii="Times New Roman" w:hAnsi="Times New Roman" w:eastAsia="黑体" w:cs="Times New Roman"/>
          <w:b/>
          <w:szCs w:val="21"/>
          <w:lang w:val="en-GB"/>
        </w:rPr>
      </w:pPr>
      <w:r>
        <w:rPr>
          <w:rFonts w:hint="eastAsia" w:ascii="Times New Roman" w:hAnsi="Times New Roman" w:eastAsia="仿宋" w:cs="Times New Roman"/>
          <w:szCs w:val="21"/>
          <w:lang w:val="en-GB"/>
        </w:rPr>
        <w:t>(3) Respect the leadership and teachers of practical training, and humbly accept the guidance of the instructor.</w:t>
      </w:r>
      <w:r>
        <w:rPr>
          <w:rFonts w:ascii="Times New Roman" w:hAnsi="Times New Roman" w:eastAsia="黑体" w:cs="Times New Roman"/>
          <w:b/>
          <w:szCs w:val="21"/>
          <w:lang w:val="en-GB"/>
        </w:rPr>
        <w:t>V. Evaluation</w:t>
      </w:r>
    </w:p>
    <w:p w14:paraId="4016ECE7">
      <w:pPr>
        <w:ind w:firstLine="422" w:firstLineChars="200"/>
        <w:rPr>
          <w:rFonts w:hint="eastAsia" w:ascii="Times New Roman" w:hAnsi="Times New Roman" w:eastAsia="仿宋" w:cs="Times New Roman"/>
          <w:b/>
          <w:bCs/>
          <w:szCs w:val="21"/>
          <w:lang w:val="en-GB"/>
        </w:rPr>
      </w:pPr>
      <w:r>
        <w:rPr>
          <w:rFonts w:hint="eastAsia" w:ascii="Times New Roman" w:hAnsi="Times New Roman" w:eastAsia="仿宋" w:cs="Times New Roman"/>
          <w:b/>
          <w:bCs/>
          <w:szCs w:val="21"/>
          <w:lang w:val="en-GB"/>
        </w:rPr>
        <w:t>(I) Scoring Settings</w:t>
      </w:r>
    </w:p>
    <w:p w14:paraId="3709DE5D">
      <w:pPr>
        <w:numPr>
          <w:ilvl w:val="0"/>
          <w:numId w:val="0"/>
        </w:numPr>
        <w:ind w:firstLine="420" w:firstLineChars="200"/>
        <w:rPr>
          <w:rFonts w:hint="eastAsia" w:ascii="Times New Roman" w:hAnsi="Times New Roman" w:eastAsia="仿宋" w:cs="Times New Roman"/>
          <w:b/>
          <w:bCs/>
          <w:szCs w:val="21"/>
          <w:lang w:val="en-GB"/>
        </w:rPr>
      </w:pPr>
      <w:r>
        <w:rPr>
          <w:rFonts w:hint="eastAsia" w:ascii="Times New Roman" w:hAnsi="Times New Roman" w:eastAsia="仿宋" w:cs="Times New Roman"/>
          <w:b w:val="0"/>
          <w:bCs w:val="0"/>
          <w:szCs w:val="21"/>
          <w:lang w:val="en-GB"/>
        </w:rPr>
        <w:t>The evaluation results of the internship are mainly based on the internship summary or internship report, accounting for 100% of the total internship results.</w:t>
      </w:r>
    </w:p>
    <w:p w14:paraId="1E0D133A">
      <w:pPr>
        <w:numPr>
          <w:ilvl w:val="0"/>
          <w:numId w:val="1"/>
        </w:numPr>
        <w:ind w:firstLine="422" w:firstLineChars="200"/>
        <w:rPr>
          <w:rFonts w:hint="eastAsia" w:ascii="Times New Roman" w:hAnsi="Times New Roman" w:eastAsia="仿宋" w:cs="Times New Roman"/>
          <w:b/>
          <w:bCs/>
          <w:szCs w:val="21"/>
          <w:lang w:val="en-GB"/>
        </w:rPr>
      </w:pPr>
      <w:r>
        <w:rPr>
          <w:rFonts w:hint="eastAsia" w:ascii="Times New Roman" w:hAnsi="Times New Roman" w:eastAsia="仿宋" w:cs="Times New Roman"/>
          <w:b/>
          <w:bCs/>
          <w:szCs w:val="21"/>
          <w:lang w:val="en-GB"/>
        </w:rPr>
        <w:t>Assessment method</w:t>
      </w:r>
    </w:p>
    <w:p w14:paraId="153DDAFA">
      <w:pPr>
        <w:numPr>
          <w:ilvl w:val="0"/>
          <w:numId w:val="0"/>
        </w:numPr>
        <w:ind w:firstLine="420" w:firstLineChars="200"/>
        <w:rPr>
          <w:rFonts w:hint="eastAsia" w:ascii="Times New Roman" w:hAnsi="Times New Roman" w:eastAsia="仿宋" w:cs="Times New Roman"/>
          <w:b w:val="0"/>
          <w:bCs w:val="0"/>
          <w:szCs w:val="21"/>
          <w:lang w:val="en-GB"/>
        </w:rPr>
      </w:pPr>
      <w:r>
        <w:rPr>
          <w:rFonts w:hint="eastAsia" w:ascii="Times New Roman" w:hAnsi="Times New Roman" w:eastAsia="仿宋" w:cs="Times New Roman"/>
          <w:b w:val="0"/>
          <w:bCs w:val="0"/>
          <w:szCs w:val="21"/>
          <w:lang w:val="en-GB"/>
        </w:rPr>
        <w:t>Grades are assessed on a percentage basis. ①90 points and above, guided by the Party's educational policy, positive thinking, correct views, clear organization, careful analysis and summary. I have a good attitude, closely related to my internship experience, and the internship report is detailed and specific. I can conduct in-depth analysis on the discussion issues, and have profound feelings and experience. The text is smooth, the writing is standard, and the number of words meets the requirements. 80-90 points, guided by the party's educational policy, positive thinking, correct views, clear organization, careful analysis and summary. I have a good attitude, and the content of the internship report is detailed and concrete. I can conduct in-depth argumentation and analysis on the discussion problems, and the logic is clear. The text is smooth, the writing is standard, and the number of words meets the requirements. ③70-79 points, guided by the party's educational policy, positive thinking, correct views, clear organization, careful analysis and summary. My attitude is correct, the content of the internship report is more detailed and specific, and I have certain feelings and experiences about the internship content. Smooth writing, standard writing, the number of words does not meet the requirements. (4) 60-69 points, guided by the Party's educational policy, positive thinking, correct views and clear organization. Good attitude, incomplete internship report, lack of personal independent thinking, smooth writing, the number of words does not meet the requirements. ⑤ Below 60 points, the content is empty, the attitude is not correct, the thinking is not positive enough, and the lack of organization. The content of the internship report is empty, the lack of personal independent thinking, the writing is not standardized, the writing is not smooth, and the number of words does not meet the requirements.</w:t>
      </w:r>
    </w:p>
    <w:p w14:paraId="60736C07">
      <w:pPr>
        <w:ind w:firstLine="420" w:firstLineChars="200"/>
        <w:rPr>
          <w:rFonts w:hint="default" w:ascii="Times New Roman" w:hAnsi="Times New Roman" w:eastAsia="仿宋" w:cs="Times New Roman"/>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5F86F8"/>
    <w:multiLevelType w:val="singleLevel"/>
    <w:tmpl w:val="225F86F8"/>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wOWZhZjdlNzMwZjU1YzI4NzVkMzY2ODg3NWE5ZTUifQ=="/>
  </w:docVars>
  <w:rsids>
    <w:rsidRoot w:val="00BC67B7"/>
    <w:rsid w:val="000012F6"/>
    <w:rsid w:val="0002163E"/>
    <w:rsid w:val="00037816"/>
    <w:rsid w:val="000450CD"/>
    <w:rsid w:val="000547F8"/>
    <w:rsid w:val="00055E58"/>
    <w:rsid w:val="00104601"/>
    <w:rsid w:val="00120828"/>
    <w:rsid w:val="00164A0A"/>
    <w:rsid w:val="001753DB"/>
    <w:rsid w:val="001B3534"/>
    <w:rsid w:val="001C7304"/>
    <w:rsid w:val="00261945"/>
    <w:rsid w:val="003B15CF"/>
    <w:rsid w:val="003D2607"/>
    <w:rsid w:val="004C62F2"/>
    <w:rsid w:val="00503321"/>
    <w:rsid w:val="00571584"/>
    <w:rsid w:val="005A4B9D"/>
    <w:rsid w:val="005D0EB7"/>
    <w:rsid w:val="00613316"/>
    <w:rsid w:val="006C732D"/>
    <w:rsid w:val="007F5EE5"/>
    <w:rsid w:val="0084761E"/>
    <w:rsid w:val="008904AC"/>
    <w:rsid w:val="008D7B68"/>
    <w:rsid w:val="008F212C"/>
    <w:rsid w:val="00971A88"/>
    <w:rsid w:val="009823A0"/>
    <w:rsid w:val="00982AC0"/>
    <w:rsid w:val="00A869CB"/>
    <w:rsid w:val="00AC5BFF"/>
    <w:rsid w:val="00B36916"/>
    <w:rsid w:val="00BC0B32"/>
    <w:rsid w:val="00BC67B7"/>
    <w:rsid w:val="00BE704B"/>
    <w:rsid w:val="00C25C32"/>
    <w:rsid w:val="00C47CCC"/>
    <w:rsid w:val="00D17364"/>
    <w:rsid w:val="00D17D72"/>
    <w:rsid w:val="00D255E6"/>
    <w:rsid w:val="00D97DB8"/>
    <w:rsid w:val="00DC4554"/>
    <w:rsid w:val="00DE78C4"/>
    <w:rsid w:val="00E44C05"/>
    <w:rsid w:val="00E5768E"/>
    <w:rsid w:val="00EA66BF"/>
    <w:rsid w:val="00F97AED"/>
    <w:rsid w:val="00FC206D"/>
    <w:rsid w:val="01660825"/>
    <w:rsid w:val="08B155FB"/>
    <w:rsid w:val="17DF4E5B"/>
    <w:rsid w:val="18C926A1"/>
    <w:rsid w:val="19E73463"/>
    <w:rsid w:val="1F942A51"/>
    <w:rsid w:val="21A25DD1"/>
    <w:rsid w:val="297C6BDE"/>
    <w:rsid w:val="31AD49A8"/>
    <w:rsid w:val="33E91DB7"/>
    <w:rsid w:val="38D97FC3"/>
    <w:rsid w:val="44A122DD"/>
    <w:rsid w:val="45A61F86"/>
    <w:rsid w:val="4B9A44BD"/>
    <w:rsid w:val="4C5C2E64"/>
    <w:rsid w:val="5D5418B7"/>
    <w:rsid w:val="5F1D067A"/>
    <w:rsid w:val="65717C3E"/>
    <w:rsid w:val="70D43626"/>
    <w:rsid w:val="73B1065D"/>
    <w:rsid w:val="76A04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批注框文本 字符"/>
    <w:basedOn w:val="7"/>
    <w:link w:val="2"/>
    <w:semiHidden/>
    <w:qFormat/>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2056</Words>
  <Characters>5858</Characters>
  <Lines>6</Lines>
  <Paragraphs>1</Paragraphs>
  <TotalTime>57</TotalTime>
  <ScaleCrop>false</ScaleCrop>
  <LinksUpToDate>false</LinksUpToDate>
  <CharactersWithSpaces>6606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2021-03-17T03:20:00Z</dcterms:created>
  <dc:creator>Admin</dc:creator>
  <cp:lastModifiedBy>花开</cp:lastModifiedBy>
  <dcterms:modified xsi:type="dcterms:W3CDTF">2024-08-29T10:13:43Z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FAE6FC894C4448D8B33525F7BBD77A31_13</vt:lpwstr>
  </property>
</Properties>
</file>