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9825A">
      <w:pPr>
        <w:jc w:val="center"/>
        <w:rPr>
          <w:rFonts w:ascii="方正小标宋简体" w:hAnsi="黑体" w:eastAsia="方正小标宋简体"/>
          <w:color w:val="000000" w:themeColor="text1"/>
          <w:sz w:val="32"/>
          <w:szCs w:val="21"/>
          <w:lang w:val="en-GB"/>
          <w14:textFill>
            <w14:solidFill>
              <w14:schemeClr w14:val="tx1"/>
            </w14:solidFill>
          </w14:textFill>
        </w:rPr>
      </w:pPr>
      <w:r>
        <w:rPr>
          <w:rFonts w:hint="eastAsia" w:ascii="方正小标宋简体" w:hAnsi="黑体" w:eastAsia="方正小标宋简体"/>
          <w:color w:val="000000" w:themeColor="text1"/>
          <w:sz w:val="32"/>
          <w:szCs w:val="21"/>
          <w:lang w:val="en-GB"/>
          <w14:textFill>
            <w14:solidFill>
              <w14:schemeClr w14:val="tx1"/>
            </w14:solidFill>
          </w14:textFill>
        </w:rPr>
        <w:t>《思想道德与法治》社会实践教学大纲</w:t>
      </w:r>
    </w:p>
    <w:p w14:paraId="1C5A7783">
      <w:pPr>
        <w:pStyle w:val="11"/>
        <w:numPr>
          <w:ilvl w:val="0"/>
          <w:numId w:val="1"/>
        </w:numPr>
        <w:ind w:firstLineChars="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基本信息</w:t>
      </w:r>
    </w:p>
    <w:p w14:paraId="55A794A3">
      <w:pPr>
        <w:pStyle w:val="11"/>
        <w:ind w:left="432" w:firstLine="0" w:firstLineChars="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课程名称：《思想道德与法治》社会实践</w:t>
      </w:r>
    </w:p>
    <w:p w14:paraId="18FE05F6">
      <w:pPr>
        <w:pStyle w:val="11"/>
        <w:ind w:left="432" w:firstLine="0" w:firstLineChars="0"/>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英文课程名称：</w:t>
      </w:r>
      <w:r>
        <w:rPr>
          <w:rFonts w:ascii="仿宋" w:hAnsi="仿宋" w:eastAsia="仿宋"/>
          <w:color w:val="000000" w:themeColor="text1"/>
          <w:szCs w:val="21"/>
          <w:lang w:val="en-GB"/>
          <w14:textFill>
            <w14:solidFill>
              <w14:schemeClr w14:val="tx1"/>
            </w14:solidFill>
          </w14:textFill>
        </w:rPr>
        <w:t>Social Practice of Ideological Morality and Rule of Law</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3"/>
        <w:gridCol w:w="3741"/>
      </w:tblGrid>
      <w:tr w14:paraId="300B1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53" w:type="dxa"/>
            <w:vAlign w:val="center"/>
          </w:tcPr>
          <w:p w14:paraId="6437728D">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总学时：1</w:t>
            </w:r>
            <w:r>
              <w:rPr>
                <w:rFonts w:ascii="仿宋" w:hAnsi="仿宋" w:eastAsia="仿宋"/>
                <w:color w:val="000000" w:themeColor="text1"/>
                <w:szCs w:val="21"/>
                <w:lang w:val="en-GB"/>
                <w14:textFill>
                  <w14:solidFill>
                    <w14:schemeClr w14:val="tx1"/>
                  </w14:solidFill>
                </w14:textFill>
              </w:rPr>
              <w:t>6</w:t>
            </w:r>
          </w:p>
        </w:tc>
        <w:tc>
          <w:tcPr>
            <w:tcW w:w="3741" w:type="dxa"/>
            <w:vAlign w:val="center"/>
          </w:tcPr>
          <w:p w14:paraId="3E32704D">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课程代码：</w:t>
            </w:r>
            <w:r>
              <w:rPr>
                <w:rFonts w:ascii="仿宋" w:hAnsi="仿宋" w:eastAsia="仿宋"/>
                <w:color w:val="000000" w:themeColor="text1"/>
                <w:szCs w:val="21"/>
                <w:lang w:val="en-GB"/>
                <w14:textFill>
                  <w14:solidFill>
                    <w14:schemeClr w14:val="tx1"/>
                  </w14:solidFill>
                </w14:textFill>
              </w:rPr>
              <w:t>160844X002</w:t>
            </w:r>
            <w:r>
              <w:rPr>
                <w:rFonts w:ascii="仿宋" w:hAnsi="仿宋" w:eastAsia="仿宋"/>
                <w:color w:val="000000" w:themeColor="text1"/>
                <w:szCs w:val="21"/>
                <w:lang w:val="en-GB"/>
                <w14:textFill>
                  <w14:solidFill>
                    <w14:schemeClr w14:val="tx1"/>
                  </w14:solidFill>
                </w14:textFill>
              </w:rPr>
              <w:tab/>
            </w:r>
          </w:p>
        </w:tc>
      </w:tr>
      <w:tr w14:paraId="3A607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53" w:type="dxa"/>
            <w:vAlign w:val="center"/>
          </w:tcPr>
          <w:p w14:paraId="3434C209">
            <w:pPr>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实践学时：1</w:t>
            </w:r>
            <w:r>
              <w:rPr>
                <w:rFonts w:ascii="仿宋" w:hAnsi="仿宋" w:eastAsia="仿宋"/>
                <w:color w:val="000000" w:themeColor="text1"/>
                <w:szCs w:val="21"/>
                <w:lang w:val="en-GB"/>
                <w14:textFill>
                  <w14:solidFill>
                    <w14:schemeClr w14:val="tx1"/>
                  </w14:solidFill>
                </w14:textFill>
              </w:rPr>
              <w:t>6</w:t>
            </w:r>
          </w:p>
        </w:tc>
        <w:tc>
          <w:tcPr>
            <w:tcW w:w="3741" w:type="dxa"/>
            <w:vAlign w:val="center"/>
          </w:tcPr>
          <w:p w14:paraId="6704B353">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总学分：1</w:t>
            </w:r>
          </w:p>
        </w:tc>
      </w:tr>
      <w:tr w14:paraId="1471B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53" w:type="dxa"/>
            <w:vAlign w:val="center"/>
          </w:tcPr>
          <w:p w14:paraId="210678C9">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开课学院：工商管理学院/马克思主义学院</w:t>
            </w:r>
          </w:p>
        </w:tc>
        <w:tc>
          <w:tcPr>
            <w:tcW w:w="3741" w:type="dxa"/>
            <w:vAlign w:val="center"/>
          </w:tcPr>
          <w:p w14:paraId="10547DFB">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适用专业：本校所有专业</w:t>
            </w:r>
            <w:r>
              <w:rPr>
                <w:rFonts w:hint="eastAsia" w:ascii="仿宋" w:hAnsi="仿宋" w:eastAsia="仿宋"/>
                <w:color w:val="000000" w:themeColor="text1"/>
                <w:sz w:val="11"/>
                <w:szCs w:val="21"/>
                <w:lang w:val="en-GB"/>
                <w14:textFill>
                  <w14:solidFill>
                    <w14:schemeClr w14:val="tx1"/>
                  </w14:solidFill>
                </w14:textFill>
              </w:rPr>
              <w:t>（除思想政治教育专业外）</w:t>
            </w:r>
          </w:p>
        </w:tc>
      </w:tr>
      <w:tr w14:paraId="1ED31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53" w:type="dxa"/>
            <w:vAlign w:val="center"/>
          </w:tcPr>
          <w:p w14:paraId="6A007929">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课程性质：必修</w:t>
            </w:r>
          </w:p>
        </w:tc>
        <w:tc>
          <w:tcPr>
            <w:tcW w:w="3741" w:type="dxa"/>
            <w:vAlign w:val="center"/>
          </w:tcPr>
          <w:p w14:paraId="2F34FCCD">
            <w:pPr>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先修课程：《思想道德与法治》</w:t>
            </w:r>
          </w:p>
        </w:tc>
      </w:tr>
    </w:tbl>
    <w:p w14:paraId="22E5C441">
      <w:pPr>
        <w:spacing w:before="156" w:beforeLines="5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二、课程简介</w:t>
      </w:r>
    </w:p>
    <w:p w14:paraId="63A6C6CE">
      <w:pPr>
        <w:ind w:firstLine="420" w:firstLineChars="20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本课程是通识平台必修课，是教育部规定的高等学校学生必修的课程。它以马列主义、毛泽东思想、中国特色社会主义理论体系为指导，以社会主义核心价值观为主线，以世界观、价值观、人生观、道德观、法治观为主要内容，综合运用多学科知识，针对大学生思想实际和改革开放中的社会现实问题，引导和教育大学生成长为“有理想、有道德、有文化、有纪律”，献身于中国特色社会主义事业的合格建设者和可靠接班人。</w:t>
      </w:r>
    </w:p>
    <w:p w14:paraId="1025BAD5">
      <w:pPr>
        <w:spacing w:before="156" w:beforeLines="5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三、教学目标</w:t>
      </w:r>
    </w:p>
    <w:p w14:paraId="127D49BC">
      <w:pPr>
        <w:ind w:firstLine="420" w:firstLineChars="20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实践教学是《思想道德与法治》课的重要教学环节之一。为了切实贯彻落实《关于深化新时代学校思想政治理论课改革创新的若干意见》，更好地推动思想政治理论课的改革创新，把实践教学纳入整个教学中，深化课堂理论教学，提高大学生实践能力，让大学生在实践中升华思想境界，铸造优良思想品德，在实践中学会做事，学会做人，学会运用马克思主义立场观点去分析实际问题，解决实际问题，从而提高认识能力、思辨能力和实践能力。</w:t>
      </w:r>
    </w:p>
    <w:p w14:paraId="6B82684B">
      <w:pPr>
        <w:spacing w:before="156" w:beforeLines="5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四、实践内容</w:t>
      </w:r>
    </w:p>
    <w:p w14:paraId="04E7EB87">
      <w:pPr>
        <w:ind w:firstLine="422" w:firstLineChars="200"/>
        <w:rPr>
          <w:rFonts w:ascii="仿宋" w:hAnsi="仿宋" w:eastAsia="仿宋"/>
          <w:b/>
          <w:color w:val="000000" w:themeColor="text1"/>
          <w:szCs w:val="21"/>
          <w:lang w:val="en-GB"/>
          <w14:textFill>
            <w14:solidFill>
              <w14:schemeClr w14:val="tx1"/>
            </w14:solidFill>
          </w14:textFill>
        </w:rPr>
      </w:pPr>
      <w:r>
        <w:rPr>
          <w:rFonts w:hint="eastAsia" w:ascii="仿宋" w:hAnsi="仿宋" w:eastAsia="仿宋"/>
          <w:b/>
          <w:color w:val="000000" w:themeColor="text1"/>
          <w:szCs w:val="21"/>
          <w:lang w:val="en-GB"/>
          <w14:textFill>
            <w14:solidFill>
              <w14:schemeClr w14:val="tx1"/>
            </w14:solidFill>
          </w14:textFill>
        </w:rPr>
        <w:t>（以下实践教学内容，根据实践条件及需要，每个开课学期可选择部分开展）</w:t>
      </w:r>
    </w:p>
    <w:tbl>
      <w:tblPr>
        <w:tblStyle w:val="5"/>
        <w:tblW w:w="8697" w:type="dxa"/>
        <w:jc w:val="center"/>
        <w:tblLayout w:type="autofit"/>
        <w:tblCellMar>
          <w:top w:w="0" w:type="dxa"/>
          <w:left w:w="0" w:type="dxa"/>
          <w:bottom w:w="0" w:type="dxa"/>
          <w:right w:w="0" w:type="dxa"/>
        </w:tblCellMar>
      </w:tblPr>
      <w:tblGrid>
        <w:gridCol w:w="397"/>
        <w:gridCol w:w="1672"/>
        <w:gridCol w:w="2926"/>
        <w:gridCol w:w="701"/>
        <w:gridCol w:w="849"/>
        <w:gridCol w:w="1000"/>
        <w:gridCol w:w="1152"/>
      </w:tblGrid>
      <w:tr w14:paraId="780B509F">
        <w:tblPrEx>
          <w:tblCellMar>
            <w:top w:w="0" w:type="dxa"/>
            <w:left w:w="0" w:type="dxa"/>
            <w:bottom w:w="0" w:type="dxa"/>
            <w:right w:w="0" w:type="dxa"/>
          </w:tblCellMar>
        </w:tblPrEx>
        <w:trPr>
          <w:trHeight w:val="748" w:hRule="atLeast"/>
          <w:jc w:val="center"/>
        </w:trPr>
        <w:tc>
          <w:tcPr>
            <w:tcW w:w="397"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0434B45">
            <w:pPr>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序号</w:t>
            </w:r>
          </w:p>
        </w:tc>
        <w:tc>
          <w:tcPr>
            <w:tcW w:w="1672"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40AB7CDE">
            <w:pPr>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实践内容</w:t>
            </w:r>
          </w:p>
        </w:tc>
        <w:tc>
          <w:tcPr>
            <w:tcW w:w="2926"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0DE23295">
            <w:pPr>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内容提要（实践参考主题）</w:t>
            </w:r>
          </w:p>
        </w:tc>
        <w:tc>
          <w:tcPr>
            <w:tcW w:w="701"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39BB411E">
            <w:pPr>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实践人数</w:t>
            </w:r>
          </w:p>
        </w:tc>
        <w:tc>
          <w:tcPr>
            <w:tcW w:w="849"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5FBDDE35">
            <w:pPr>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实践类型</w:t>
            </w:r>
          </w:p>
        </w:tc>
        <w:tc>
          <w:tcPr>
            <w:tcW w:w="1000"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12028DF2">
            <w:pPr>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实践类别</w:t>
            </w:r>
          </w:p>
        </w:tc>
        <w:tc>
          <w:tcPr>
            <w:tcW w:w="1152"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070C259B">
            <w:pPr>
              <w:jc w:val="center"/>
              <w:rPr>
                <w:rFonts w:ascii="仿宋" w:hAnsi="仿宋" w:eastAsia="仿宋"/>
                <w:b/>
                <w:color w:val="000000" w:themeColor="text1"/>
                <w:sz w:val="18"/>
                <w:szCs w:val="18"/>
                <w14:textFill>
                  <w14:solidFill>
                    <w14:schemeClr w14:val="tx1"/>
                  </w14:solidFill>
                </w14:textFill>
              </w:rPr>
            </w:pPr>
            <w:r>
              <w:rPr>
                <w:rFonts w:hint="eastAsia" w:ascii="仿宋" w:hAnsi="仿宋" w:eastAsia="仿宋"/>
                <w:b/>
                <w:color w:val="000000" w:themeColor="text1"/>
                <w:sz w:val="18"/>
                <w:szCs w:val="18"/>
                <w14:textFill>
                  <w14:solidFill>
                    <w14:schemeClr w14:val="tx1"/>
                  </w14:solidFill>
                </w14:textFill>
              </w:rPr>
              <w:t>实践学时</w:t>
            </w:r>
          </w:p>
        </w:tc>
      </w:tr>
      <w:tr w14:paraId="481FABE4">
        <w:tblPrEx>
          <w:tblCellMar>
            <w:top w:w="0" w:type="dxa"/>
            <w:left w:w="0" w:type="dxa"/>
            <w:bottom w:w="0" w:type="dxa"/>
            <w:right w:w="0" w:type="dxa"/>
          </w:tblCellMar>
        </w:tblPrEx>
        <w:trPr>
          <w:trHeight w:val="285" w:hRule="atLeast"/>
          <w:jc w:val="center"/>
        </w:trPr>
        <w:tc>
          <w:tcPr>
            <w:tcW w:w="39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6520CF22">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w:t>
            </w:r>
          </w:p>
        </w:tc>
        <w:tc>
          <w:tcPr>
            <w:tcW w:w="1672"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6B7306E">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认识新时代与大学</w:t>
            </w:r>
          </w:p>
        </w:tc>
        <w:tc>
          <w:tcPr>
            <w:tcW w:w="2926"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CC9C713">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大学新生生涯规划调查、大学新生人际交往主要障碍及对策研究、大学新生人生态度的调查与分析、大学新生宿舍关系融洽程度调查等</w:t>
            </w:r>
          </w:p>
        </w:tc>
        <w:tc>
          <w:tcPr>
            <w:tcW w:w="70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3E6F8F2">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自由</w:t>
            </w:r>
          </w:p>
        </w:tc>
        <w:tc>
          <w:tcPr>
            <w:tcW w:w="84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EE93BF8">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设计性</w:t>
            </w:r>
          </w:p>
        </w:tc>
        <w:tc>
          <w:tcPr>
            <w:tcW w:w="1000"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4AE940D">
            <w:pPr>
              <w:rPr>
                <w:rFonts w:ascii="仿宋" w:hAnsi="仿宋" w:eastAsia="仿宋"/>
                <w:color w:val="000000" w:themeColor="text1"/>
                <w:sz w:val="18"/>
                <w:szCs w:val="18"/>
                <w14:textFill>
                  <w14:solidFill>
                    <w14:schemeClr w14:val="tx1"/>
                  </w14:solidFill>
                </w14:textFill>
              </w:rPr>
            </w:pPr>
            <w:r>
              <w:rPr>
                <w:rFonts w:ascii="Calibri" w:hAnsi="Calibri" w:eastAsia="仿宋" w:cs="Calibri"/>
                <w:color w:val="000000" w:themeColor="text1"/>
                <w:sz w:val="18"/>
                <w:szCs w:val="18"/>
                <w14:textFill>
                  <w14:solidFill>
                    <w14:schemeClr w14:val="tx1"/>
                  </w14:solidFill>
                </w14:textFill>
              </w:rPr>
              <w:t> </w:t>
            </w:r>
            <w:r>
              <w:rPr>
                <w:rFonts w:hint="eastAsia" w:ascii="仿宋" w:hAnsi="仿宋" w:eastAsia="仿宋"/>
                <w:color w:val="000000" w:themeColor="text1"/>
                <w:sz w:val="18"/>
                <w:szCs w:val="18"/>
                <w14:textFill>
                  <w14:solidFill>
                    <w14:schemeClr w14:val="tx1"/>
                  </w14:solidFill>
                </w14:textFill>
              </w:rPr>
              <w:t>专业基础</w:t>
            </w:r>
          </w:p>
        </w:tc>
        <w:tc>
          <w:tcPr>
            <w:tcW w:w="1152" w:type="dxa"/>
            <w:vMerge w:val="restart"/>
            <w:tcBorders>
              <w:top w:val="nil"/>
              <w:left w:val="nil"/>
              <w:right w:val="single" w:color="000000" w:sz="8" w:space="0"/>
            </w:tcBorders>
            <w:tcMar>
              <w:top w:w="0" w:type="dxa"/>
              <w:left w:w="108" w:type="dxa"/>
              <w:bottom w:w="0" w:type="dxa"/>
              <w:right w:w="108" w:type="dxa"/>
            </w:tcMar>
            <w:vAlign w:val="center"/>
          </w:tcPr>
          <w:p w14:paraId="28729356">
            <w:pPr>
              <w:jc w:val="center"/>
              <w:rPr>
                <w:rFonts w:ascii="仿宋" w:hAnsi="仿宋" w:eastAsia="仿宋"/>
                <w:color w:val="000000" w:themeColor="text1"/>
                <w:sz w:val="18"/>
                <w:szCs w:val="18"/>
                <w:lang w:val="zh-CN"/>
                <w14:textFill>
                  <w14:solidFill>
                    <w14:schemeClr w14:val="tx1"/>
                  </w14:solidFill>
                </w14:textFill>
              </w:rPr>
            </w:pPr>
            <w:r>
              <w:rPr>
                <w:rFonts w:ascii="仿宋" w:hAnsi="仿宋" w:eastAsia="仿宋"/>
                <w:color w:val="000000" w:themeColor="text1"/>
                <w:sz w:val="18"/>
                <w:szCs w:val="18"/>
                <w:lang w:val="zh-CN"/>
                <w14:textFill>
                  <w14:solidFill>
                    <w14:schemeClr w14:val="tx1"/>
                  </w14:solidFill>
                </w14:textFill>
              </w:rPr>
              <w:t>16</w:t>
            </w:r>
          </w:p>
          <w:p w14:paraId="4E8B1133">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t>（根据每学期要求，选择部分开展即可）</w:t>
            </w:r>
          </w:p>
        </w:tc>
      </w:tr>
      <w:tr w14:paraId="4396B090">
        <w:tblPrEx>
          <w:tblCellMar>
            <w:top w:w="0" w:type="dxa"/>
            <w:left w:w="0" w:type="dxa"/>
            <w:bottom w:w="0" w:type="dxa"/>
            <w:right w:w="0" w:type="dxa"/>
          </w:tblCellMar>
        </w:tblPrEx>
        <w:trPr>
          <w:trHeight w:val="285" w:hRule="atLeast"/>
          <w:jc w:val="center"/>
        </w:trPr>
        <w:tc>
          <w:tcPr>
            <w:tcW w:w="39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021225EB">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w:t>
            </w:r>
          </w:p>
        </w:tc>
        <w:tc>
          <w:tcPr>
            <w:tcW w:w="1672"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D4564EB">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树立远大理想</w:t>
            </w:r>
          </w:p>
        </w:tc>
        <w:tc>
          <w:tcPr>
            <w:tcW w:w="2926"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A3D35DC">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本专业毕业生就业情况调查、大学生理想职业调查、大学生西部就业意愿调查等</w:t>
            </w:r>
          </w:p>
        </w:tc>
        <w:tc>
          <w:tcPr>
            <w:tcW w:w="70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480304">
            <w:pPr>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8</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12</w:t>
            </w:r>
          </w:p>
        </w:tc>
        <w:tc>
          <w:tcPr>
            <w:tcW w:w="84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AA893A9">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验证性</w:t>
            </w:r>
          </w:p>
        </w:tc>
        <w:tc>
          <w:tcPr>
            <w:tcW w:w="1000"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03580C0">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专业基础</w:t>
            </w:r>
          </w:p>
        </w:tc>
        <w:tc>
          <w:tcPr>
            <w:tcW w:w="1152" w:type="dxa"/>
            <w:vMerge w:val="continue"/>
            <w:tcBorders>
              <w:left w:val="nil"/>
              <w:right w:val="single" w:color="000000" w:sz="8" w:space="0"/>
            </w:tcBorders>
            <w:tcMar>
              <w:top w:w="0" w:type="dxa"/>
              <w:left w:w="108" w:type="dxa"/>
              <w:bottom w:w="0" w:type="dxa"/>
              <w:right w:w="108" w:type="dxa"/>
            </w:tcMar>
            <w:vAlign w:val="center"/>
          </w:tcPr>
          <w:p w14:paraId="4F993518">
            <w:pPr>
              <w:rPr>
                <w:rFonts w:ascii="仿宋" w:hAnsi="仿宋" w:eastAsia="仿宋"/>
                <w:color w:val="000000" w:themeColor="text1"/>
                <w:sz w:val="18"/>
                <w:szCs w:val="18"/>
                <w14:textFill>
                  <w14:solidFill>
                    <w14:schemeClr w14:val="tx1"/>
                  </w14:solidFill>
                </w14:textFill>
              </w:rPr>
            </w:pPr>
          </w:p>
        </w:tc>
      </w:tr>
      <w:tr w14:paraId="06857173">
        <w:tblPrEx>
          <w:tblCellMar>
            <w:top w:w="0" w:type="dxa"/>
            <w:left w:w="0" w:type="dxa"/>
            <w:bottom w:w="0" w:type="dxa"/>
            <w:right w:w="0" w:type="dxa"/>
          </w:tblCellMar>
        </w:tblPrEx>
        <w:trPr>
          <w:trHeight w:val="285" w:hRule="atLeast"/>
          <w:jc w:val="center"/>
        </w:trPr>
        <w:tc>
          <w:tcPr>
            <w:tcW w:w="39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07004BCC">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w:t>
            </w:r>
          </w:p>
        </w:tc>
        <w:tc>
          <w:tcPr>
            <w:tcW w:w="1672"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1688F87">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弘扬中国精神</w:t>
            </w:r>
          </w:p>
        </w:tc>
        <w:tc>
          <w:tcPr>
            <w:tcW w:w="2926"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356ED49">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大学生爱国行为特点调查与分析等</w:t>
            </w:r>
          </w:p>
        </w:tc>
        <w:tc>
          <w:tcPr>
            <w:tcW w:w="70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D9C8B0">
            <w:pPr>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8-12</w:t>
            </w:r>
          </w:p>
        </w:tc>
        <w:tc>
          <w:tcPr>
            <w:tcW w:w="84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5F4C023">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综合性</w:t>
            </w:r>
          </w:p>
        </w:tc>
        <w:tc>
          <w:tcPr>
            <w:tcW w:w="1000"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97BBB08">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专业基础</w:t>
            </w:r>
          </w:p>
        </w:tc>
        <w:tc>
          <w:tcPr>
            <w:tcW w:w="1152" w:type="dxa"/>
            <w:vMerge w:val="continue"/>
            <w:tcBorders>
              <w:left w:val="nil"/>
              <w:right w:val="single" w:color="000000" w:sz="8" w:space="0"/>
            </w:tcBorders>
            <w:tcMar>
              <w:top w:w="0" w:type="dxa"/>
              <w:left w:w="108" w:type="dxa"/>
              <w:bottom w:w="0" w:type="dxa"/>
              <w:right w:w="108" w:type="dxa"/>
            </w:tcMar>
            <w:vAlign w:val="center"/>
          </w:tcPr>
          <w:p w14:paraId="5AC30436">
            <w:pPr>
              <w:rPr>
                <w:rFonts w:ascii="仿宋" w:hAnsi="仿宋" w:eastAsia="仿宋"/>
                <w:color w:val="000000" w:themeColor="text1"/>
                <w:sz w:val="18"/>
                <w:szCs w:val="18"/>
                <w14:textFill>
                  <w14:solidFill>
                    <w14:schemeClr w14:val="tx1"/>
                  </w14:solidFill>
                </w14:textFill>
              </w:rPr>
            </w:pPr>
          </w:p>
        </w:tc>
      </w:tr>
      <w:tr w14:paraId="4046EAA9">
        <w:tblPrEx>
          <w:tblCellMar>
            <w:top w:w="0" w:type="dxa"/>
            <w:left w:w="0" w:type="dxa"/>
            <w:bottom w:w="0" w:type="dxa"/>
            <w:right w:w="0" w:type="dxa"/>
          </w:tblCellMar>
        </w:tblPrEx>
        <w:trPr>
          <w:trHeight w:val="285" w:hRule="atLeast"/>
          <w:jc w:val="center"/>
        </w:trPr>
        <w:tc>
          <w:tcPr>
            <w:tcW w:w="39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485DF67C">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4</w:t>
            </w:r>
          </w:p>
        </w:tc>
        <w:tc>
          <w:tcPr>
            <w:tcW w:w="1672"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7C5C53E">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xml:space="preserve">传承中华传统美德 </w:t>
            </w:r>
          </w:p>
        </w:tc>
        <w:tc>
          <w:tcPr>
            <w:tcW w:w="2926"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2CBF54">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大学生志愿服务活动情况调查与分析、大学生校内文明状况调查与对策研究、大学生网络道德状况调查与分析、大学生食物浪费现象调查与分析、克拉玛依市民文明状况调查与分析、大学生恋爱利弊调查与分析等。</w:t>
            </w:r>
          </w:p>
        </w:tc>
        <w:tc>
          <w:tcPr>
            <w:tcW w:w="70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4B4D142">
            <w:pPr>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8-12</w:t>
            </w:r>
          </w:p>
        </w:tc>
        <w:tc>
          <w:tcPr>
            <w:tcW w:w="84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7CC9F5A">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综合性</w:t>
            </w:r>
          </w:p>
        </w:tc>
        <w:tc>
          <w:tcPr>
            <w:tcW w:w="1000"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00A1963">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专业基础</w:t>
            </w:r>
          </w:p>
        </w:tc>
        <w:tc>
          <w:tcPr>
            <w:tcW w:w="1152" w:type="dxa"/>
            <w:vMerge w:val="continue"/>
            <w:tcBorders>
              <w:left w:val="nil"/>
              <w:right w:val="single" w:color="000000" w:sz="8" w:space="0"/>
            </w:tcBorders>
            <w:tcMar>
              <w:top w:w="0" w:type="dxa"/>
              <w:left w:w="108" w:type="dxa"/>
              <w:bottom w:w="0" w:type="dxa"/>
              <w:right w:w="108" w:type="dxa"/>
            </w:tcMar>
            <w:vAlign w:val="center"/>
          </w:tcPr>
          <w:p w14:paraId="6E7CAEB3">
            <w:pPr>
              <w:rPr>
                <w:rFonts w:ascii="仿宋" w:hAnsi="仿宋" w:eastAsia="仿宋"/>
                <w:color w:val="000000" w:themeColor="text1"/>
                <w:sz w:val="18"/>
                <w:szCs w:val="18"/>
                <w14:textFill>
                  <w14:solidFill>
                    <w14:schemeClr w14:val="tx1"/>
                  </w14:solidFill>
                </w14:textFill>
              </w:rPr>
            </w:pPr>
          </w:p>
        </w:tc>
      </w:tr>
      <w:tr w14:paraId="06675C0D">
        <w:tblPrEx>
          <w:tblCellMar>
            <w:top w:w="0" w:type="dxa"/>
            <w:left w:w="0" w:type="dxa"/>
            <w:bottom w:w="0" w:type="dxa"/>
            <w:right w:w="0" w:type="dxa"/>
          </w:tblCellMar>
        </w:tblPrEx>
        <w:trPr>
          <w:trHeight w:val="285" w:hRule="atLeast"/>
          <w:jc w:val="center"/>
        </w:trPr>
        <w:tc>
          <w:tcPr>
            <w:tcW w:w="397"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75C33154">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5</w:t>
            </w:r>
          </w:p>
        </w:tc>
        <w:tc>
          <w:tcPr>
            <w:tcW w:w="1672"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C48673D">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培养法治素养</w:t>
            </w:r>
          </w:p>
        </w:tc>
        <w:tc>
          <w:tcPr>
            <w:tcW w:w="2926"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0AD7596">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大学生对网络诈骗认知情况调查与对策研究、大学生防范诈骗意识调查与对策研究、大学生宪法知识掌握情况调查与原因分析等</w:t>
            </w:r>
          </w:p>
        </w:tc>
        <w:tc>
          <w:tcPr>
            <w:tcW w:w="70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984E0F1">
            <w:pPr>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8-12</w:t>
            </w:r>
          </w:p>
        </w:tc>
        <w:tc>
          <w:tcPr>
            <w:tcW w:w="84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9B67B81">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验证性</w:t>
            </w:r>
          </w:p>
        </w:tc>
        <w:tc>
          <w:tcPr>
            <w:tcW w:w="1000"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8ACEABD">
            <w:pP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专业基础</w:t>
            </w:r>
          </w:p>
        </w:tc>
        <w:tc>
          <w:tcPr>
            <w:tcW w:w="1152" w:type="dxa"/>
            <w:vMerge w:val="continue"/>
            <w:tcBorders>
              <w:left w:val="nil"/>
              <w:bottom w:val="single" w:color="000000" w:sz="8" w:space="0"/>
              <w:right w:val="single" w:color="000000" w:sz="8" w:space="0"/>
            </w:tcBorders>
            <w:tcMar>
              <w:top w:w="0" w:type="dxa"/>
              <w:left w:w="108" w:type="dxa"/>
              <w:bottom w:w="0" w:type="dxa"/>
              <w:right w:w="108" w:type="dxa"/>
            </w:tcMar>
            <w:vAlign w:val="center"/>
          </w:tcPr>
          <w:p w14:paraId="4CB63DA2">
            <w:pPr>
              <w:rPr>
                <w:rFonts w:ascii="仿宋" w:hAnsi="仿宋" w:eastAsia="仿宋"/>
                <w:color w:val="000000" w:themeColor="text1"/>
                <w:sz w:val="18"/>
                <w:szCs w:val="18"/>
                <w14:textFill>
                  <w14:solidFill>
                    <w14:schemeClr w14:val="tx1"/>
                  </w14:solidFill>
                </w14:textFill>
              </w:rPr>
            </w:pPr>
          </w:p>
        </w:tc>
      </w:tr>
    </w:tbl>
    <w:p w14:paraId="46431D4A">
      <w:pPr>
        <w:rPr>
          <w:rFonts w:ascii="仿宋" w:hAnsi="仿宋" w:eastAsia="仿宋"/>
          <w:color w:val="000000" w:themeColor="text1"/>
          <w:sz w:val="18"/>
          <w:szCs w:val="18"/>
          <w:lang w:val="zh-CN"/>
          <w14:textFill>
            <w14:solidFill>
              <w14:schemeClr w14:val="tx1"/>
            </w14:solidFill>
          </w14:textFill>
        </w:rPr>
      </w:pPr>
      <w:r>
        <w:rPr>
          <w:rFonts w:hint="eastAsia" w:ascii="仿宋" w:hAnsi="仿宋" w:eastAsia="仿宋"/>
          <w:color w:val="000000" w:themeColor="text1"/>
          <w:sz w:val="18"/>
          <w:szCs w:val="18"/>
          <w:lang w:val="zh-CN"/>
          <w14:textFill>
            <w14:solidFill>
              <w14:schemeClr w14:val="tx1"/>
            </w14:solidFill>
          </w14:textFill>
        </w:rPr>
        <w:t>注：实验类型指演示性、验证性、综合性、设计性、创新性。实验类别指基础实验、专业基础实验、专业实验。</w:t>
      </w:r>
    </w:p>
    <w:p w14:paraId="17C76D10">
      <w:pPr>
        <w:spacing w:before="156" w:beforeLines="5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五、实践（方法）要求</w:t>
      </w:r>
    </w:p>
    <w:p w14:paraId="58AFB5BC">
      <w:pPr>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1.实践活动以组的形式开展，每组大概</w:t>
      </w:r>
      <w:r>
        <w:rPr>
          <w:rFonts w:ascii="仿宋" w:hAnsi="仿宋" w:eastAsia="仿宋"/>
          <w:color w:val="000000" w:themeColor="text1"/>
          <w:szCs w:val="21"/>
          <w14:textFill>
            <w14:solidFill>
              <w14:schemeClr w14:val="tx1"/>
            </w14:solidFill>
          </w14:textFill>
        </w:rPr>
        <w:t>8</w:t>
      </w:r>
      <w:r>
        <w:rPr>
          <w:rFonts w:hint="eastAsia" w:ascii="仿宋" w:hAnsi="仿宋" w:eastAsia="仿宋"/>
          <w:color w:val="000000" w:themeColor="text1"/>
          <w:szCs w:val="21"/>
          <w14:textFill>
            <w14:solidFill>
              <w14:schemeClr w14:val="tx1"/>
            </w14:solidFill>
          </w14:textFill>
        </w:rPr>
        <w:t>-12人。</w:t>
      </w:r>
    </w:p>
    <w:p w14:paraId="67DBCC9B">
      <w:pPr>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2.实践活动结束后，每组需提交一份实践报告，内容不少于</w:t>
      </w:r>
      <w:r>
        <w:rPr>
          <w:rFonts w:ascii="仿宋" w:hAnsi="仿宋" w:eastAsia="仿宋"/>
          <w:color w:val="000000" w:themeColor="text1"/>
          <w:szCs w:val="21"/>
          <w14:textFill>
            <w14:solidFill>
              <w14:schemeClr w14:val="tx1"/>
            </w14:solidFill>
          </w14:textFill>
        </w:rPr>
        <w:t>4</w:t>
      </w:r>
      <w:r>
        <w:rPr>
          <w:rFonts w:hint="eastAsia" w:ascii="仿宋" w:hAnsi="仿宋" w:eastAsia="仿宋"/>
          <w:color w:val="000000" w:themeColor="text1"/>
          <w:szCs w:val="21"/>
          <w14:textFill>
            <w14:solidFill>
              <w14:schemeClr w14:val="tx1"/>
            </w14:solidFill>
          </w14:textFill>
        </w:rPr>
        <w:t>000字。</w:t>
      </w:r>
    </w:p>
    <w:p w14:paraId="764531F1">
      <w:pPr>
        <w:spacing w:before="156" w:beforeLines="5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六、考核方式</w:t>
      </w:r>
    </w:p>
    <w:p w14:paraId="79A420F2">
      <w:pPr>
        <w:ind w:firstLine="420" w:firstLineChars="200"/>
        <w:rPr>
          <w:rFonts w:ascii="仿宋" w:hAnsi="仿宋" w:eastAsia="仿宋"/>
          <w:color w:val="000000" w:themeColor="text1"/>
          <w:szCs w:val="21"/>
          <w14:textFill>
            <w14:solidFill>
              <w14:schemeClr w14:val="tx1"/>
            </w14:solidFill>
          </w14:textFill>
        </w:rPr>
      </w:pPr>
    </w:p>
    <w:tbl>
      <w:tblPr>
        <w:tblStyle w:val="5"/>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4248"/>
        <w:gridCol w:w="4048"/>
      </w:tblGrid>
      <w:tr w14:paraId="49A5C7D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42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4682B0BF">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仿宋" w:hAnsi="仿宋" w:eastAsia="仿宋" w:cs="Calibri"/>
                <w:color w:val="000000" w:themeColor="text1"/>
                <w:kern w:val="0"/>
                <w:sz w:val="24"/>
                <w:szCs w:val="28"/>
                <w14:textFill>
                  <w14:solidFill>
                    <w14:schemeClr w14:val="tx1"/>
                  </w14:solidFill>
                </w14:textFill>
              </w:rPr>
              <w:t>是否排考</w:t>
            </w:r>
          </w:p>
        </w:tc>
        <w:tc>
          <w:tcPr>
            <w:tcW w:w="40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EC36927">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inherit" w:hAnsi="inherit" w:eastAsia="宋体" w:cs="Times New Roman"/>
                <w:color w:val="000000" w:themeColor="text1"/>
                <w:kern w:val="0"/>
                <w:sz w:val="24"/>
                <w:szCs w:val="20"/>
                <w14:textFill>
                  <w14:solidFill>
                    <w14:schemeClr w14:val="tx1"/>
                  </w14:solidFill>
                </w14:textFill>
              </w:rPr>
              <w:t>否</w:t>
            </w:r>
          </w:p>
        </w:tc>
      </w:tr>
      <w:tr w14:paraId="0AD2B5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247" w:hRule="atLeast"/>
        </w:trPr>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77F19385">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仿宋" w:hAnsi="仿宋" w:eastAsia="仿宋" w:cs="Calibri"/>
                <w:color w:val="000000" w:themeColor="text1"/>
                <w:kern w:val="0"/>
                <w:sz w:val="24"/>
                <w:szCs w:val="28"/>
                <w14:textFill>
                  <w14:solidFill>
                    <w14:schemeClr w14:val="tx1"/>
                  </w14:solidFill>
                </w14:textFill>
              </w:rPr>
              <w:t>考核形式</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09B54989">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inherit" w:hAnsi="inherit" w:eastAsia="宋体" w:cs="Times New Roman"/>
                <w:color w:val="000000" w:themeColor="text1"/>
                <w:kern w:val="0"/>
                <w:sz w:val="24"/>
                <w:szCs w:val="20"/>
                <w14:textFill>
                  <w14:solidFill>
                    <w14:schemeClr w14:val="tx1"/>
                  </w14:solidFill>
                </w14:textFill>
              </w:rPr>
              <w:t>报告</w:t>
            </w:r>
          </w:p>
        </w:tc>
      </w:tr>
      <w:tr w14:paraId="4CAD587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509394AA">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仿宋" w:hAnsi="仿宋" w:eastAsia="仿宋" w:cs="Calibri"/>
                <w:color w:val="000000" w:themeColor="text1"/>
                <w:kern w:val="0"/>
                <w:sz w:val="24"/>
                <w:szCs w:val="28"/>
                <w14:textFill>
                  <w14:solidFill>
                    <w14:schemeClr w14:val="tx1"/>
                  </w14:solidFill>
                </w14:textFill>
              </w:rPr>
              <w:t>成绩评定方式</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48BB18A5">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inherit" w:hAnsi="inherit" w:eastAsia="宋体" w:cs="Times New Roman"/>
                <w:color w:val="000000" w:themeColor="text1"/>
                <w:kern w:val="0"/>
                <w:sz w:val="24"/>
                <w:szCs w:val="20"/>
                <w14:textFill>
                  <w14:solidFill>
                    <w14:schemeClr w14:val="tx1"/>
                  </w14:solidFill>
                </w14:textFill>
              </w:rPr>
              <w:t>两等级制</w:t>
            </w:r>
          </w:p>
        </w:tc>
      </w:tr>
      <w:tr w14:paraId="3BFCE8C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3126D379">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仿宋" w:hAnsi="仿宋" w:eastAsia="仿宋" w:cs="Calibri"/>
                <w:color w:val="000000" w:themeColor="text1"/>
                <w:kern w:val="0"/>
                <w:sz w:val="24"/>
                <w:szCs w:val="28"/>
                <w14:textFill>
                  <w14:solidFill>
                    <w14:schemeClr w14:val="tx1"/>
                  </w14:solidFill>
                </w14:textFill>
              </w:rPr>
              <w:t>过程成绩/%</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398B9C6E">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0</w:t>
            </w:r>
          </w:p>
        </w:tc>
      </w:tr>
      <w:tr w14:paraId="75ECC8F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707AD256">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仿宋" w:hAnsi="仿宋" w:eastAsia="仿宋" w:cs="Calibri"/>
                <w:color w:val="000000" w:themeColor="text1"/>
                <w:kern w:val="0"/>
                <w:sz w:val="24"/>
                <w:szCs w:val="28"/>
                <w14:textFill>
                  <w14:solidFill>
                    <w14:schemeClr w14:val="tx1"/>
                  </w14:solidFill>
                </w14:textFill>
              </w:rPr>
              <w:t>实验成绩/%</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32E4285A">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 0</w:t>
            </w:r>
          </w:p>
        </w:tc>
      </w:tr>
      <w:tr w14:paraId="52BF219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45" w:hRule="atLeast"/>
        </w:trPr>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7E624B1">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仿宋" w:hAnsi="仿宋" w:eastAsia="仿宋" w:cs="Calibri"/>
                <w:color w:val="000000" w:themeColor="text1"/>
                <w:kern w:val="0"/>
                <w:sz w:val="24"/>
                <w:szCs w:val="28"/>
                <w14:textFill>
                  <w14:solidFill>
                    <w14:schemeClr w14:val="tx1"/>
                  </w14:solidFill>
                </w14:textFill>
              </w:rPr>
              <w:t>结课考试成绩/%</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731A4B14">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100% </w:t>
            </w:r>
          </w:p>
        </w:tc>
      </w:tr>
    </w:tbl>
    <w:p w14:paraId="7317C968">
      <w:pPr>
        <w:ind w:firstLine="420" w:firstLineChars="200"/>
        <w:rPr>
          <w:rFonts w:ascii="仿宋" w:hAnsi="仿宋" w:eastAsia="仿宋"/>
          <w:color w:val="000000" w:themeColor="text1"/>
          <w:szCs w:val="21"/>
          <w14:textFill>
            <w14:solidFill>
              <w14:schemeClr w14:val="tx1"/>
            </w14:solidFill>
          </w14:textFill>
        </w:rPr>
      </w:pPr>
    </w:p>
    <w:p w14:paraId="2890EC5C">
      <w:pPr>
        <w:spacing w:before="156" w:beforeLines="50"/>
        <w:rPr>
          <w:rFonts w:ascii="黑体" w:hAnsi="黑体" w:eastAsia="黑体"/>
          <w:color w:val="000000" w:themeColor="text1"/>
          <w:szCs w:val="21"/>
          <w:lang w:val="en-GB"/>
          <w14:textFill>
            <w14:solidFill>
              <w14:schemeClr w14:val="tx1"/>
            </w14:solidFill>
          </w14:textFill>
        </w:rPr>
      </w:pPr>
      <w:r>
        <w:rPr>
          <w:rFonts w:hint="eastAsia" w:ascii="黑体" w:hAnsi="黑体" w:eastAsia="黑体"/>
          <w:color w:val="000000" w:themeColor="text1"/>
          <w:szCs w:val="21"/>
          <w:lang w:val="en-GB"/>
          <w14:textFill>
            <w14:solidFill>
              <w14:schemeClr w14:val="tx1"/>
            </w14:solidFill>
          </w14:textFill>
        </w:rPr>
        <w:t>七、教材与参考书</w:t>
      </w:r>
    </w:p>
    <w:p w14:paraId="5AC8566B">
      <w:pPr>
        <w:spacing w:before="156" w:beforeLines="50"/>
        <w:ind w:firstLine="422" w:firstLineChars="200"/>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（一）教材</w:t>
      </w:r>
    </w:p>
    <w:p w14:paraId="4DC51FD1">
      <w:pPr>
        <w:spacing w:before="156" w:beforeLines="50"/>
        <w:ind w:firstLine="420" w:firstLineChars="20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《思想道德与法治》（2023年版），本书编写组编，高等教育出版社，2023年版，ISBN：9787040599022</w:t>
      </w:r>
    </w:p>
    <w:p w14:paraId="19040062">
      <w:pPr>
        <w:spacing w:before="156" w:beforeLines="50"/>
        <w:ind w:firstLine="422" w:firstLineChars="200"/>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（二）参考书目或文献</w:t>
      </w:r>
    </w:p>
    <w:p w14:paraId="498F77FB">
      <w:pPr>
        <w:spacing w:before="156" w:beforeLines="50"/>
        <w:ind w:firstLine="420" w:firstLineChars="20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1、《社会主义核心价值体系学习读本》，本书编写组，学习出版社，2009年，第1版，</w:t>
      </w:r>
      <w:bookmarkStart w:id="0" w:name="_Hlk83202611"/>
      <w:r>
        <w:rPr>
          <w:rFonts w:hint="eastAsia" w:ascii="仿宋" w:hAnsi="仿宋" w:eastAsia="仿宋"/>
          <w:color w:val="000000" w:themeColor="text1"/>
          <w:szCs w:val="21"/>
          <w:lang w:val="en-GB"/>
          <w14:textFill>
            <w14:solidFill>
              <w14:schemeClr w14:val="tx1"/>
            </w14:solidFill>
          </w14:textFill>
        </w:rPr>
        <w:t>ISBN：</w:t>
      </w:r>
      <w:r>
        <w:rPr>
          <w:rFonts w:ascii="仿宋" w:hAnsi="仿宋" w:eastAsia="仿宋"/>
          <w:color w:val="000000" w:themeColor="text1"/>
          <w:szCs w:val="21"/>
          <w:lang w:val="en-GB"/>
          <w14:textFill>
            <w14:solidFill>
              <w14:schemeClr w14:val="tx1"/>
            </w14:solidFill>
          </w14:textFill>
        </w:rPr>
        <w:t>9787503543432</w:t>
      </w:r>
      <w:bookmarkEnd w:id="0"/>
    </w:p>
    <w:p w14:paraId="1FFAC3DC">
      <w:pPr>
        <w:spacing w:before="156" w:beforeLines="50"/>
        <w:ind w:firstLine="420" w:firstLineChars="200"/>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2、《中国的法制建设》，中华人民共和国国务院新闻办公室，外文出版社，2008年，第1版，</w:t>
      </w:r>
      <w:bookmarkStart w:id="1" w:name="_Hlk83202620"/>
      <w:r>
        <w:rPr>
          <w:rFonts w:hint="eastAsia" w:ascii="仿宋" w:hAnsi="仿宋" w:eastAsia="仿宋"/>
          <w:color w:val="000000" w:themeColor="text1"/>
          <w:szCs w:val="21"/>
          <w:lang w:val="en-GB"/>
          <w14:textFill>
            <w14:solidFill>
              <w14:schemeClr w14:val="tx1"/>
            </w14:solidFill>
          </w14:textFill>
        </w:rPr>
        <w:t>ISBN：</w:t>
      </w:r>
      <w:r>
        <w:rPr>
          <w:rFonts w:ascii="仿宋" w:hAnsi="仿宋" w:eastAsia="仿宋"/>
          <w:color w:val="000000" w:themeColor="text1"/>
          <w:szCs w:val="21"/>
          <w:lang w:val="en-GB"/>
          <w14:textFill>
            <w14:solidFill>
              <w14:schemeClr w14:val="tx1"/>
            </w14:solidFill>
          </w14:textFill>
        </w:rPr>
        <w:t>9787119052885</w:t>
      </w:r>
      <w:bookmarkEnd w:id="1"/>
    </w:p>
    <w:p w14:paraId="72388312">
      <w:pPr>
        <w:ind w:firstLine="420" w:firstLineChars="200"/>
        <w:rPr>
          <w:rFonts w:ascii="仿宋" w:hAnsi="仿宋" w:eastAsia="仿宋"/>
          <w:color w:val="000000" w:themeColor="text1"/>
          <w:szCs w:val="21"/>
          <w:lang w:val="en-GB"/>
          <w14:textFill>
            <w14:solidFill>
              <w14:schemeClr w14:val="tx1"/>
            </w14:solidFill>
          </w14:textFill>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16EB2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7D09338F">
            <w:pPr>
              <w:rPr>
                <w:rFonts w:ascii="黑体" w:hAnsi="黑体" w:eastAsia="黑体"/>
                <w:color w:val="000000" w:themeColor="text1"/>
                <w:szCs w:val="21"/>
                <w:lang w:val="en-GB"/>
                <w14:textFill>
                  <w14:solidFill>
                    <w14:schemeClr w14:val="tx1"/>
                  </w14:solidFill>
                </w14:textFill>
              </w:rPr>
            </w:pPr>
          </w:p>
        </w:tc>
        <w:tc>
          <w:tcPr>
            <w:tcW w:w="3316" w:type="dxa"/>
            <w:vAlign w:val="center"/>
          </w:tcPr>
          <w:p w14:paraId="650BF60C">
            <w:pPr>
              <w:jc w:val="distribute"/>
              <w:rPr>
                <w:rFonts w:ascii="黑体" w:hAnsi="黑体" w:eastAsia="黑体"/>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制定人：（课程</w:t>
            </w:r>
            <w:r>
              <w:rPr>
                <w:rFonts w:ascii="仿宋" w:hAnsi="仿宋" w:eastAsia="仿宋"/>
                <w:color w:val="000000" w:themeColor="text1"/>
                <w:szCs w:val="21"/>
                <w:lang w:val="en-GB"/>
                <w14:textFill>
                  <w14:solidFill>
                    <w14:schemeClr w14:val="tx1"/>
                  </w14:solidFill>
                </w14:textFill>
              </w:rPr>
              <w:t>负责人</w:t>
            </w:r>
            <w:r>
              <w:rPr>
                <w:rFonts w:hint="eastAsia" w:ascii="仿宋" w:hAnsi="仿宋" w:eastAsia="仿宋"/>
                <w:color w:val="000000" w:themeColor="text1"/>
                <w:szCs w:val="21"/>
                <w:lang w:val="en-GB"/>
                <w14:textFill>
                  <w14:solidFill>
                    <w14:schemeClr w14:val="tx1"/>
                  </w14:solidFill>
                </w14:textFill>
              </w:rPr>
              <w:t>）赵红菊</w:t>
            </w:r>
          </w:p>
        </w:tc>
      </w:tr>
      <w:tr w14:paraId="21F08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569EAA0D">
            <w:pPr>
              <w:rPr>
                <w:rFonts w:ascii="黑体" w:hAnsi="黑体" w:eastAsia="黑体"/>
                <w:color w:val="000000" w:themeColor="text1"/>
                <w:szCs w:val="21"/>
                <w:lang w:val="en-GB"/>
                <w14:textFill>
                  <w14:solidFill>
                    <w14:schemeClr w14:val="tx1"/>
                  </w14:solidFill>
                </w14:textFill>
              </w:rPr>
            </w:pPr>
          </w:p>
        </w:tc>
        <w:tc>
          <w:tcPr>
            <w:tcW w:w="3316" w:type="dxa"/>
            <w:vAlign w:val="center"/>
          </w:tcPr>
          <w:p w14:paraId="1FEEA9B0">
            <w:pPr>
              <w:jc w:val="distribute"/>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审核人</w:t>
            </w:r>
            <w:r>
              <w:rPr>
                <w:rFonts w:ascii="仿宋" w:hAnsi="仿宋" w:eastAsia="仿宋"/>
                <w:color w:val="000000" w:themeColor="text1"/>
                <w:szCs w:val="21"/>
                <w:lang w:val="en-GB"/>
                <w14:textFill>
                  <w14:solidFill>
                    <w14:schemeClr w14:val="tx1"/>
                  </w14:solidFill>
                </w14:textFill>
              </w:rPr>
              <w:t>：（</w:t>
            </w:r>
            <w:r>
              <w:rPr>
                <w:rFonts w:hint="eastAsia" w:ascii="仿宋" w:hAnsi="仿宋" w:eastAsia="仿宋"/>
                <w:color w:val="000000" w:themeColor="text1"/>
                <w:szCs w:val="21"/>
                <w:lang w:val="en-GB"/>
                <w14:textFill>
                  <w14:solidFill>
                    <w14:schemeClr w14:val="tx1"/>
                  </w14:solidFill>
                </w14:textFill>
              </w:rPr>
              <w:t>开课系主任</w:t>
            </w:r>
            <w:r>
              <w:rPr>
                <w:rFonts w:ascii="仿宋" w:hAnsi="仿宋" w:eastAsia="仿宋"/>
                <w:color w:val="000000" w:themeColor="text1"/>
                <w:szCs w:val="21"/>
                <w:lang w:val="en-GB"/>
                <w14:textFill>
                  <w14:solidFill>
                    <w14:schemeClr w14:val="tx1"/>
                  </w14:solidFill>
                </w14:textFill>
              </w:rPr>
              <w:t>）</w:t>
            </w:r>
            <w:r>
              <w:rPr>
                <w:rFonts w:hint="eastAsia" w:ascii="仿宋" w:hAnsi="仿宋" w:eastAsia="仿宋"/>
                <w:color w:val="000000" w:themeColor="text1"/>
                <w:szCs w:val="21"/>
                <w:lang w:val="en-GB"/>
                <w14:textFill>
                  <w14:solidFill>
                    <w14:schemeClr w14:val="tx1"/>
                  </w14:solidFill>
                </w14:textFill>
              </w:rPr>
              <w:t>晁娜娜</w:t>
            </w:r>
          </w:p>
        </w:tc>
      </w:tr>
      <w:tr w14:paraId="26E32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2464885C">
            <w:pPr>
              <w:rPr>
                <w:rFonts w:ascii="黑体" w:hAnsi="黑体" w:eastAsia="黑体"/>
                <w:color w:val="000000" w:themeColor="text1"/>
                <w:szCs w:val="21"/>
                <w:lang w:val="en-GB"/>
                <w14:textFill>
                  <w14:solidFill>
                    <w14:schemeClr w14:val="tx1"/>
                  </w14:solidFill>
                </w14:textFill>
              </w:rPr>
            </w:pPr>
          </w:p>
        </w:tc>
        <w:tc>
          <w:tcPr>
            <w:tcW w:w="3316" w:type="dxa"/>
            <w:vAlign w:val="center"/>
          </w:tcPr>
          <w:p w14:paraId="3FCFEDD0">
            <w:pPr>
              <w:jc w:val="distribute"/>
              <w:rPr>
                <w:rFonts w:ascii="仿宋" w:hAnsi="仿宋" w:eastAsia="仿宋"/>
                <w:color w:val="000000" w:themeColor="text1"/>
                <w:szCs w:val="21"/>
                <w:lang w:val="en-GB"/>
                <w14:textFill>
                  <w14:solidFill>
                    <w14:schemeClr w14:val="tx1"/>
                  </w14:solidFill>
                </w14:textFill>
              </w:rPr>
            </w:pPr>
            <w:r>
              <w:rPr>
                <w:rFonts w:hint="eastAsia" w:ascii="仿宋" w:hAnsi="仿宋" w:eastAsia="仿宋"/>
                <w:color w:val="000000" w:themeColor="text1"/>
                <w:szCs w:val="21"/>
                <w:lang w:val="en-GB"/>
                <w14:textFill>
                  <w14:solidFill>
                    <w14:schemeClr w14:val="tx1"/>
                  </w14:solidFill>
                </w14:textFill>
              </w:rPr>
              <w:t>制（修）订时间：202</w:t>
            </w:r>
            <w:r>
              <w:rPr>
                <w:rFonts w:hint="eastAsia" w:ascii="仿宋" w:hAnsi="仿宋" w:eastAsia="仿宋"/>
                <w:color w:val="000000" w:themeColor="text1"/>
                <w:szCs w:val="21"/>
                <w:lang w:val="en-US" w:eastAsia="zh-CN"/>
                <w14:textFill>
                  <w14:solidFill>
                    <w14:schemeClr w14:val="tx1"/>
                  </w14:solidFill>
                </w14:textFill>
              </w:rPr>
              <w:t>4</w:t>
            </w:r>
            <w:r>
              <w:rPr>
                <w:rFonts w:hint="eastAsia" w:ascii="仿宋" w:hAnsi="仿宋" w:eastAsia="仿宋"/>
                <w:color w:val="000000" w:themeColor="text1"/>
                <w:szCs w:val="21"/>
                <w:lang w:val="en-GB"/>
                <w14:textFill>
                  <w14:solidFill>
                    <w14:schemeClr w14:val="tx1"/>
                  </w14:solidFill>
                </w14:textFill>
              </w:rPr>
              <w:t>年</w:t>
            </w:r>
            <w:r>
              <w:rPr>
                <w:rFonts w:ascii="仿宋" w:hAnsi="仿宋" w:eastAsia="仿宋"/>
                <w:color w:val="000000" w:themeColor="text1"/>
                <w:szCs w:val="21"/>
                <w:lang w:val="en-GB"/>
                <w14:textFill>
                  <w14:solidFill>
                    <w14:schemeClr w14:val="tx1"/>
                  </w14:solidFill>
                </w14:textFill>
              </w:rPr>
              <w:t>9</w:t>
            </w:r>
            <w:r>
              <w:rPr>
                <w:rFonts w:hint="eastAsia" w:ascii="仿宋" w:hAnsi="仿宋" w:eastAsia="仿宋"/>
                <w:color w:val="000000" w:themeColor="text1"/>
                <w:szCs w:val="21"/>
                <w:lang w:val="en-GB"/>
                <w14:textFill>
                  <w14:solidFill>
                    <w14:schemeClr w14:val="tx1"/>
                  </w14:solidFill>
                </w14:textFill>
              </w:rPr>
              <w:t>月</w:t>
            </w:r>
          </w:p>
        </w:tc>
      </w:tr>
    </w:tbl>
    <w:p w14:paraId="256737C9">
      <w:pPr>
        <w:widowControl/>
        <w:jc w:val="left"/>
        <w:rPr>
          <w:rFonts w:ascii="仿宋" w:hAnsi="仿宋" w:eastAsia="仿宋"/>
          <w:color w:val="000000" w:themeColor="text1"/>
          <w:szCs w:val="21"/>
          <w14:textFill>
            <w14:solidFill>
              <w14:schemeClr w14:val="tx1"/>
            </w14:solidFill>
          </w14:textFill>
        </w:rPr>
      </w:pPr>
    </w:p>
    <w:p w14:paraId="51048E02">
      <w:pPr>
        <w:widowControl/>
        <w:jc w:val="left"/>
        <w:rPr>
          <w:rFonts w:ascii="仿宋" w:hAnsi="仿宋" w:eastAsia="仿宋"/>
          <w:color w:val="000000" w:themeColor="text1"/>
          <w:szCs w:val="21"/>
          <w14:textFill>
            <w14:solidFill>
              <w14:schemeClr w14:val="tx1"/>
            </w14:solidFill>
          </w14:textFill>
        </w:rPr>
      </w:pPr>
    </w:p>
    <w:p w14:paraId="73B36AE7">
      <w:pPr>
        <w:widowControl/>
        <w:jc w:val="left"/>
        <w:rPr>
          <w:rFonts w:ascii="仿宋" w:hAnsi="仿宋" w:eastAsia="仿宋"/>
          <w:color w:val="000000" w:themeColor="text1"/>
          <w:szCs w:val="21"/>
          <w14:textFill>
            <w14:solidFill>
              <w14:schemeClr w14:val="tx1"/>
            </w14:solidFill>
          </w14:textFill>
        </w:rPr>
      </w:pPr>
    </w:p>
    <w:p w14:paraId="70CC8D2D">
      <w:pPr>
        <w:widowControl/>
        <w:jc w:val="left"/>
        <w:rPr>
          <w:rFonts w:ascii="仿宋" w:hAnsi="仿宋" w:eastAsia="仿宋"/>
          <w:color w:val="000000" w:themeColor="text1"/>
          <w:szCs w:val="21"/>
          <w14:textFill>
            <w14:solidFill>
              <w14:schemeClr w14:val="tx1"/>
            </w14:solidFill>
          </w14:textFill>
        </w:rPr>
      </w:pPr>
    </w:p>
    <w:p w14:paraId="273E4DA9">
      <w:pPr>
        <w:widowControl/>
        <w:jc w:val="left"/>
        <w:rPr>
          <w:rFonts w:ascii="仿宋" w:hAnsi="仿宋" w:eastAsia="仿宋"/>
          <w:color w:val="000000" w:themeColor="text1"/>
          <w:szCs w:val="21"/>
          <w14:textFill>
            <w14:solidFill>
              <w14:schemeClr w14:val="tx1"/>
            </w14:solidFill>
          </w14:textFill>
        </w:rPr>
      </w:pPr>
    </w:p>
    <w:p w14:paraId="5ED3DD9D">
      <w:pPr>
        <w:widowControl/>
        <w:jc w:val="left"/>
        <w:rPr>
          <w:rFonts w:ascii="仿宋" w:hAnsi="仿宋" w:eastAsia="仿宋"/>
          <w:color w:val="000000" w:themeColor="text1"/>
          <w:szCs w:val="21"/>
          <w14:textFill>
            <w14:solidFill>
              <w14:schemeClr w14:val="tx1"/>
            </w14:solidFill>
          </w14:textFill>
        </w:rPr>
      </w:pPr>
    </w:p>
    <w:p w14:paraId="20B37634">
      <w:pPr>
        <w:widowControl/>
        <w:jc w:val="left"/>
        <w:rPr>
          <w:rFonts w:ascii="仿宋" w:hAnsi="仿宋" w:eastAsia="仿宋"/>
          <w:color w:val="000000" w:themeColor="text1"/>
          <w:szCs w:val="21"/>
          <w14:textFill>
            <w14:solidFill>
              <w14:schemeClr w14:val="tx1"/>
            </w14:solidFill>
          </w14:textFill>
        </w:rPr>
      </w:pPr>
    </w:p>
    <w:p w14:paraId="3237D476">
      <w:pPr>
        <w:widowControl/>
        <w:jc w:val="left"/>
        <w:rPr>
          <w:rFonts w:ascii="仿宋" w:hAnsi="仿宋" w:eastAsia="仿宋"/>
          <w:color w:val="000000" w:themeColor="text1"/>
          <w:szCs w:val="21"/>
          <w14:textFill>
            <w14:solidFill>
              <w14:schemeClr w14:val="tx1"/>
            </w14:solidFill>
          </w14:textFill>
        </w:rPr>
      </w:pPr>
    </w:p>
    <w:p w14:paraId="4B0748AF">
      <w:pPr>
        <w:widowControl/>
        <w:jc w:val="left"/>
        <w:rPr>
          <w:rFonts w:ascii="仿宋" w:hAnsi="仿宋" w:eastAsia="仿宋"/>
          <w:color w:val="000000" w:themeColor="text1"/>
          <w:szCs w:val="21"/>
          <w14:textFill>
            <w14:solidFill>
              <w14:schemeClr w14:val="tx1"/>
            </w14:solidFill>
          </w14:textFill>
        </w:rPr>
      </w:pPr>
    </w:p>
    <w:p w14:paraId="7EEAF1D2">
      <w:pPr>
        <w:spacing w:before="156" w:beforeLines="50" w:after="156" w:afterLines="50"/>
        <w:jc w:val="center"/>
        <w:rPr>
          <w:rFonts w:ascii="Times New Roman" w:hAnsi="Times New Roman" w:cs="Times New Roman"/>
          <w:b/>
          <w:color w:val="000000"/>
          <w:sz w:val="28"/>
          <w:szCs w:val="28"/>
          <w:shd w:val="clear" w:color="auto" w:fill="FBFBFB"/>
        </w:rPr>
      </w:pPr>
      <w:r>
        <w:rPr>
          <w:rFonts w:ascii="Times New Roman" w:hAnsi="Times New Roman" w:cs="Times New Roman"/>
          <w:b/>
          <w:color w:val="000000"/>
          <w:sz w:val="28"/>
          <w:szCs w:val="28"/>
          <w:shd w:val="clear" w:color="auto" w:fill="FBFBFB"/>
        </w:rPr>
        <w:t>Syllabus of Social Practice of Ideological Morality and Rule of Law</w:t>
      </w:r>
    </w:p>
    <w:p w14:paraId="164BF6CF">
      <w:pPr>
        <w:spacing w:before="156" w:beforeLines="50" w:after="156" w:afterLines="50" w:line="360" w:lineRule="auto"/>
        <w:rPr>
          <w:rFonts w:ascii="Times New Roman" w:hAnsi="Times New Roman" w:eastAsia="仿宋_GB2312" w:cs="Times New Roman"/>
          <w:b/>
          <w:spacing w:val="-3"/>
          <w:sz w:val="24"/>
          <w:szCs w:val="24"/>
          <w:lang w:val="en-GB"/>
        </w:rPr>
      </w:pPr>
      <w:bookmarkStart w:id="2" w:name="_Hlk83074642"/>
      <w:r>
        <w:rPr>
          <w:rFonts w:ascii="Times New Roman" w:hAnsi="Times New Roman" w:eastAsia="仿宋_GB2312" w:cs="Times New Roman"/>
          <w:b/>
          <w:spacing w:val="-3"/>
          <w:sz w:val="24"/>
          <w:szCs w:val="24"/>
          <w:lang w:val="en-GB"/>
        </w:rPr>
        <w:t>I.</w:t>
      </w:r>
      <w:r>
        <w:rPr>
          <w:rFonts w:ascii="Times New Roman" w:hAnsi="Times New Roman" w:eastAsia="宋体" w:cs="Times New Roman"/>
          <w:szCs w:val="24"/>
        </w:rPr>
        <w:t xml:space="preserve"> </w:t>
      </w:r>
      <w:r>
        <w:rPr>
          <w:rFonts w:ascii="Times New Roman" w:hAnsi="Times New Roman" w:eastAsia="仿宋_GB2312" w:cs="Times New Roman"/>
          <w:b/>
          <w:spacing w:val="-3"/>
          <w:sz w:val="24"/>
          <w:szCs w:val="24"/>
          <w:lang w:val="en-GB"/>
        </w:rPr>
        <w:t>Basic Information</w:t>
      </w:r>
    </w:p>
    <w:bookmarkEnd w:id="2"/>
    <w:p w14:paraId="7B481DDD">
      <w:pPr>
        <w:spacing w:before="62" w:beforeLines="20"/>
        <w:ind w:firstLine="284"/>
        <w:rPr>
          <w:rFonts w:ascii="Times New Roman" w:hAnsi="Times New Roman" w:eastAsia="仿宋_GB2312" w:cs="Times New Roman"/>
          <w:szCs w:val="21"/>
        </w:rPr>
      </w:pPr>
      <w:r>
        <w:rPr>
          <w:rFonts w:ascii="Times New Roman" w:hAnsi="Times New Roman" w:eastAsia="仿宋_GB2312" w:cs="Times New Roman"/>
          <w:b/>
          <w:szCs w:val="21"/>
        </w:rPr>
        <w:t>Course Name</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szCs w:val="21"/>
        </w:rPr>
        <w:t>Social Practice of Ideological Morality and Rule of Law</w:t>
      </w:r>
    </w:p>
    <w:p w14:paraId="18AEB01B">
      <w:pPr>
        <w:spacing w:before="62" w:beforeLines="20"/>
        <w:ind w:firstLine="284"/>
        <w:rPr>
          <w:rFonts w:ascii="Times New Roman" w:hAnsi="Times New Roman" w:eastAsia="仿宋_GB2312" w:cs="Times New Roman"/>
          <w:szCs w:val="21"/>
        </w:rPr>
      </w:pPr>
      <w:r>
        <w:rPr>
          <w:rFonts w:ascii="Times New Roman" w:hAnsi="Times New Roman" w:eastAsia="仿宋_GB2312" w:cs="Times New Roman"/>
          <w:b/>
          <w:szCs w:val="21"/>
        </w:rPr>
        <w:t>Name in Chinese</w:t>
      </w:r>
      <w:r>
        <w:rPr>
          <w:rFonts w:hint="eastAsia" w:ascii="Times New Roman" w:hAnsi="Times New Roman" w:eastAsia="仿宋_GB2312" w:cs="Times New Roman"/>
          <w:szCs w:val="21"/>
        </w:rPr>
        <w:t>：</w:t>
      </w:r>
      <w:r>
        <w:rPr>
          <w:rFonts w:hint="eastAsia" w:ascii="宋体" w:hAnsi="宋体" w:eastAsia="宋体" w:cs="Times New Roman"/>
          <w:szCs w:val="21"/>
        </w:rPr>
        <w:t>《思想道德与法治》社会实践</w:t>
      </w:r>
    </w:p>
    <w:p w14:paraId="6DB7C2E8">
      <w:pPr>
        <w:spacing w:before="62" w:beforeLines="20"/>
        <w:ind w:right="-1161" w:rightChars="-553" w:firstLine="284"/>
        <w:rPr>
          <w:rFonts w:ascii="Times New Roman" w:hAnsi="Times New Roman" w:eastAsia="仿宋_GB2312" w:cs="Times New Roman"/>
          <w:b/>
          <w:szCs w:val="21"/>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b/>
          <w:color w:val="000000" w:themeColor="text1"/>
          <w:szCs w:val="21"/>
          <w14:textFill>
            <w14:solidFill>
              <w14:schemeClr w14:val="tx1"/>
            </w14:solidFill>
          </w14:textFill>
        </w:rPr>
        <w:t>Opening Institution</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College of Business Administration/College of Marxism</w:t>
      </w:r>
    </w:p>
    <w:p w14:paraId="1987A830">
      <w:pPr>
        <w:spacing w:before="62" w:beforeLines="20"/>
        <w:ind w:right="-1161" w:rightChars="-553" w:firstLine="284"/>
        <w:rPr>
          <w:rFonts w:ascii="Times New Roman" w:hAnsi="Times New Roman" w:eastAsia="仿宋_GB2312" w:cs="Times New Roman"/>
          <w:color w:val="FF0000"/>
          <w:szCs w:val="21"/>
        </w:rPr>
      </w:pPr>
      <w:r>
        <w:rPr>
          <w:rFonts w:hint="eastAsia" w:ascii="Times New Roman" w:hAnsi="Times New Roman" w:eastAsia="仿宋_GB2312" w:cs="Times New Roman"/>
          <w:b/>
          <w:szCs w:val="21"/>
        </w:rPr>
        <w:t>Course No</w:t>
      </w:r>
      <w:r>
        <w:rPr>
          <w:rFonts w:hint="eastAsia" w:ascii="Times New Roman" w:hAnsi="Times New Roman" w:eastAsia="仿宋_GB2312" w:cs="Times New Roman"/>
          <w:szCs w:val="21"/>
        </w:rPr>
        <w:t>.</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160844X002</w:t>
      </w:r>
    </w:p>
    <w:p w14:paraId="044C0425">
      <w:pPr>
        <w:spacing w:before="62" w:beforeLines="20"/>
        <w:ind w:right="-1161" w:rightChars="-553" w:firstLine="284"/>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b/>
          <w:color w:val="000000" w:themeColor="text1"/>
          <w:szCs w:val="21"/>
          <w14:textFill>
            <w14:solidFill>
              <w14:schemeClr w14:val="tx1"/>
            </w14:solidFill>
          </w14:textFill>
        </w:rPr>
        <w:t>Total Credits</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w:t>
      </w:r>
    </w:p>
    <w:p w14:paraId="7347C216">
      <w:pPr>
        <w:spacing w:before="62" w:beforeLines="20"/>
        <w:ind w:right="-1161" w:rightChars="-553" w:firstLine="284"/>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b/>
          <w:color w:val="000000" w:themeColor="text1"/>
          <w:szCs w:val="21"/>
          <w14:textFill>
            <w14:solidFill>
              <w14:schemeClr w14:val="tx1"/>
            </w14:solidFill>
          </w14:textFill>
        </w:rPr>
        <w:t>Total Hours</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16</w:t>
      </w:r>
    </w:p>
    <w:p w14:paraId="22EDC8DB">
      <w:pPr>
        <w:spacing w:before="62" w:beforeLines="20"/>
        <w:ind w:right="-1161" w:rightChars="-553" w:firstLine="284"/>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b/>
          <w:color w:val="000000" w:themeColor="text1"/>
          <w:szCs w:val="21"/>
          <w14:textFill>
            <w14:solidFill>
              <w14:schemeClr w14:val="tx1"/>
            </w14:solidFill>
          </w14:textFill>
        </w:rPr>
        <w:t>Lecture Hours</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0</w:t>
      </w:r>
    </w:p>
    <w:p w14:paraId="173F495C">
      <w:pPr>
        <w:spacing w:before="62" w:beforeLines="20"/>
        <w:ind w:right="-1161" w:rightChars="-553" w:firstLine="284"/>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b/>
          <w:color w:val="000000" w:themeColor="text1"/>
          <w:szCs w:val="21"/>
          <w14:textFill>
            <w14:solidFill>
              <w14:schemeClr w14:val="tx1"/>
            </w14:solidFill>
          </w14:textFill>
        </w:rPr>
        <w:t xml:space="preserve">Lab Hours: </w:t>
      </w:r>
      <w:r>
        <w:rPr>
          <w:rFonts w:ascii="Times New Roman" w:hAnsi="Times New Roman" w:eastAsia="仿宋_GB2312" w:cs="Times New Roman"/>
          <w:color w:val="000000" w:themeColor="text1"/>
          <w:szCs w:val="21"/>
          <w14:textFill>
            <w14:solidFill>
              <w14:schemeClr w14:val="tx1"/>
            </w14:solidFill>
          </w14:textFill>
        </w:rPr>
        <w:t>0</w:t>
      </w:r>
    </w:p>
    <w:p w14:paraId="71EE130E">
      <w:pPr>
        <w:spacing w:before="62" w:beforeLines="20"/>
        <w:ind w:right="-1161" w:rightChars="-553" w:firstLine="284"/>
        <w:rPr>
          <w:rFonts w:ascii="Times New Roman" w:hAnsi="Times New Roman" w:eastAsia="仿宋_GB2312" w:cs="Times New Roman"/>
          <w:color w:val="000000" w:themeColor="text1"/>
          <w:szCs w:val="21"/>
          <w14:textFill>
            <w14:solidFill>
              <w14:schemeClr w14:val="tx1"/>
            </w14:solidFill>
          </w14:textFill>
        </w:rPr>
      </w:pPr>
      <w:r>
        <w:rPr>
          <w:rFonts w:hint="eastAsia" w:ascii="Times New Roman" w:hAnsi="Times New Roman" w:eastAsia="仿宋_GB2312" w:cs="Times New Roman"/>
          <w:b/>
          <w:color w:val="000000" w:themeColor="text1"/>
          <w:szCs w:val="21"/>
          <w14:textFill>
            <w14:solidFill>
              <w14:schemeClr w14:val="tx1"/>
            </w14:solidFill>
          </w14:textFill>
        </w:rPr>
        <w:t>Extracurricular Practice</w:t>
      </w:r>
      <w:r>
        <w:rPr>
          <w:rFonts w:hint="eastAsia" w:ascii="Times New Roman" w:hAnsi="Times New Roman" w:eastAsia="仿宋_GB2312" w:cs="Times New Roman"/>
          <w:color w:val="000000" w:themeColor="text1"/>
          <w:szCs w:val="21"/>
          <w14:textFill>
            <w14:solidFill>
              <w14:schemeClr w14:val="tx1"/>
            </w14:solidFill>
          </w14:textFill>
        </w:rPr>
        <w:t>：16</w:t>
      </w:r>
    </w:p>
    <w:p w14:paraId="555DE89C">
      <w:pPr>
        <w:spacing w:before="62" w:beforeLines="20"/>
        <w:ind w:right="-1161" w:rightChars="-553" w:firstLine="284"/>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b/>
          <w:color w:val="000000" w:themeColor="text1"/>
          <w:szCs w:val="21"/>
          <w14:textFill>
            <w14:solidFill>
              <w14:schemeClr w14:val="tx1"/>
            </w14:solidFill>
          </w14:textFill>
        </w:rPr>
        <w:t>Corresponding Majors</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A</w:t>
      </w:r>
      <w:r>
        <w:rPr>
          <w:rFonts w:hint="eastAsia" w:ascii="Times New Roman" w:hAnsi="Times New Roman" w:eastAsia="仿宋_GB2312" w:cs="Times New Roman"/>
          <w:color w:val="000000" w:themeColor="text1"/>
          <w:szCs w:val="21"/>
          <w14:textFill>
            <w14:solidFill>
              <w14:schemeClr w14:val="tx1"/>
            </w14:solidFill>
          </w14:textFill>
        </w:rPr>
        <w:t>ll majors</w:t>
      </w:r>
    </w:p>
    <w:p w14:paraId="0EB19180">
      <w:pPr>
        <w:spacing w:before="62" w:beforeLines="20"/>
        <w:ind w:right="-1161" w:rightChars="-553" w:firstLine="284"/>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b/>
          <w:color w:val="000000" w:themeColor="text1"/>
          <w:szCs w:val="21"/>
          <w14:textFill>
            <w14:solidFill>
              <w14:schemeClr w14:val="tx1"/>
            </w14:solidFill>
          </w14:textFill>
        </w:rPr>
        <w:t xml:space="preserve">Course Type: </w:t>
      </w:r>
      <w:r>
        <w:rPr>
          <w:rFonts w:ascii="Times New Roman" w:hAnsi="Times New Roman" w:eastAsia="仿宋_GB2312" w:cs="Times New Roman"/>
          <w:color w:val="000000" w:themeColor="text1"/>
          <w:szCs w:val="21"/>
          <w14:textFill>
            <w14:solidFill>
              <w14:schemeClr w14:val="tx1"/>
            </w14:solidFill>
          </w14:textFill>
        </w:rPr>
        <w:t>Required</w:t>
      </w:r>
    </w:p>
    <w:p w14:paraId="5567E660">
      <w:pPr>
        <w:spacing w:before="156" w:beforeLines="50" w:after="156" w:afterLines="50" w:line="360" w:lineRule="auto"/>
        <w:rPr>
          <w:rFonts w:ascii="Times New Roman" w:hAnsi="Times New Roman" w:eastAsia="仿宋_GB2312" w:cs="Times New Roman"/>
          <w:b/>
          <w:spacing w:val="-3"/>
          <w:sz w:val="24"/>
          <w:szCs w:val="24"/>
          <w:lang w:val="en-GB"/>
        </w:rPr>
        <w:sectPr>
          <w:type w:val="continuous"/>
          <w:pgSz w:w="11906" w:h="16838"/>
          <w:pgMar w:top="1440" w:right="1800" w:bottom="1440" w:left="1800" w:header="851" w:footer="992" w:gutter="0"/>
          <w:cols w:space="630" w:num="2"/>
          <w:docGrid w:type="lines" w:linePitch="312" w:charSpace="0"/>
        </w:sectPr>
      </w:pPr>
      <w:bookmarkStart w:id="3" w:name="_Hlk83075847"/>
    </w:p>
    <w:p w14:paraId="024E76DE">
      <w:pPr>
        <w:spacing w:before="312" w:beforeLines="100" w:after="156" w:afterLines="50" w:line="360" w:lineRule="auto"/>
        <w:rPr>
          <w:rFonts w:ascii="Times New Roman" w:hAnsi="Times New Roman" w:eastAsia="仿宋_GB2312" w:cs="Times New Roman"/>
          <w:b/>
          <w:spacing w:val="-3"/>
          <w:sz w:val="24"/>
          <w:szCs w:val="24"/>
          <w:lang w:val="en-GB"/>
        </w:rPr>
      </w:pPr>
      <w:r>
        <w:rPr>
          <w:rFonts w:ascii="Times New Roman" w:hAnsi="Times New Roman" w:eastAsia="仿宋_GB2312" w:cs="Times New Roman"/>
          <w:b/>
          <w:spacing w:val="-3"/>
          <w:sz w:val="24"/>
          <w:szCs w:val="24"/>
          <w:lang w:val="en-GB"/>
        </w:rPr>
        <w:fldChar w:fldCharType="begin"/>
      </w:r>
      <w:r>
        <w:rPr>
          <w:rFonts w:ascii="Times New Roman" w:hAnsi="Times New Roman" w:eastAsia="仿宋_GB2312" w:cs="Times New Roman"/>
          <w:b/>
          <w:spacing w:val="-3"/>
          <w:sz w:val="24"/>
          <w:szCs w:val="24"/>
          <w:lang w:val="en-GB"/>
        </w:rPr>
        <w:instrText xml:space="preserve"> </w:instrText>
      </w:r>
      <w:r>
        <w:rPr>
          <w:rFonts w:hint="eastAsia" w:ascii="Times New Roman" w:hAnsi="Times New Roman" w:eastAsia="仿宋_GB2312" w:cs="Times New Roman"/>
          <w:b/>
          <w:spacing w:val="-3"/>
          <w:sz w:val="24"/>
          <w:szCs w:val="24"/>
          <w:lang w:val="en-GB"/>
        </w:rPr>
        <w:instrText xml:space="preserve">= 2 \* ROMAN</w:instrText>
      </w:r>
      <w:r>
        <w:rPr>
          <w:rFonts w:ascii="Times New Roman" w:hAnsi="Times New Roman" w:eastAsia="仿宋_GB2312" w:cs="Times New Roman"/>
          <w:b/>
          <w:spacing w:val="-3"/>
          <w:sz w:val="24"/>
          <w:szCs w:val="24"/>
          <w:lang w:val="en-GB"/>
        </w:rPr>
        <w:instrText xml:space="preserve"> </w:instrText>
      </w:r>
      <w:r>
        <w:rPr>
          <w:rFonts w:ascii="Times New Roman" w:hAnsi="Times New Roman" w:eastAsia="仿宋_GB2312" w:cs="Times New Roman"/>
          <w:b/>
          <w:spacing w:val="-3"/>
          <w:sz w:val="24"/>
          <w:szCs w:val="24"/>
          <w:lang w:val="en-GB"/>
        </w:rPr>
        <w:fldChar w:fldCharType="separate"/>
      </w:r>
      <w:r>
        <w:rPr>
          <w:rFonts w:ascii="Times New Roman" w:hAnsi="Times New Roman" w:eastAsia="仿宋_GB2312" w:cs="Times New Roman"/>
          <w:b/>
          <w:spacing w:val="-3"/>
          <w:sz w:val="24"/>
          <w:szCs w:val="24"/>
          <w:lang w:val="en-GB"/>
        </w:rPr>
        <w:t>II</w:t>
      </w:r>
      <w:r>
        <w:rPr>
          <w:rFonts w:ascii="Times New Roman" w:hAnsi="Times New Roman" w:eastAsia="仿宋_GB2312" w:cs="Times New Roman"/>
          <w:b/>
          <w:spacing w:val="-3"/>
          <w:sz w:val="24"/>
          <w:szCs w:val="24"/>
          <w:lang w:val="en-GB"/>
        </w:rPr>
        <w:fldChar w:fldCharType="end"/>
      </w:r>
      <w:r>
        <w:rPr>
          <w:rFonts w:ascii="Times New Roman" w:hAnsi="Times New Roman" w:eastAsia="仿宋_GB2312" w:cs="Times New Roman"/>
          <w:b/>
          <w:spacing w:val="-3"/>
          <w:sz w:val="24"/>
          <w:szCs w:val="24"/>
          <w:lang w:val="en-GB"/>
        </w:rPr>
        <w:t>.</w:t>
      </w:r>
      <w:r>
        <w:rPr>
          <w:rFonts w:ascii="Times New Roman" w:hAnsi="Times New Roman" w:eastAsia="宋体" w:cs="Times New Roman"/>
          <w:szCs w:val="24"/>
        </w:rPr>
        <w:t xml:space="preserve"> </w:t>
      </w:r>
      <w:r>
        <w:rPr>
          <w:rFonts w:ascii="Times New Roman" w:hAnsi="Times New Roman" w:eastAsia="仿宋_GB2312" w:cs="Times New Roman"/>
          <w:b/>
          <w:spacing w:val="-3"/>
          <w:sz w:val="24"/>
          <w:szCs w:val="24"/>
          <w:lang w:val="en-GB"/>
        </w:rPr>
        <w:t xml:space="preserve">Course </w:t>
      </w:r>
      <w:bookmarkEnd w:id="3"/>
      <w:r>
        <w:rPr>
          <w:rFonts w:ascii="Times New Roman" w:hAnsi="Times New Roman" w:eastAsia="仿宋_GB2312" w:cs="Times New Roman"/>
          <w:b/>
          <w:spacing w:val="-3"/>
          <w:sz w:val="24"/>
          <w:szCs w:val="24"/>
          <w:lang w:val="en-GB"/>
        </w:rPr>
        <w:t>Introduction</w:t>
      </w:r>
    </w:p>
    <w:p w14:paraId="1732C8B7">
      <w:pPr>
        <w:ind w:firstLine="567"/>
        <w:rPr>
          <w:rFonts w:ascii="Times New Roman" w:hAnsi="Times New Roman" w:eastAsia="仿宋_GB2312" w:cs="Times New Roman"/>
          <w:szCs w:val="21"/>
        </w:rPr>
      </w:pPr>
      <w:r>
        <w:rPr>
          <w:rFonts w:ascii="Times New Roman" w:hAnsi="Times New Roman" w:eastAsia="仿宋_GB2312" w:cs="Times New Roman"/>
          <w:szCs w:val="21"/>
        </w:rPr>
        <w:t xml:space="preserve">This course is a compulsory course for general education platform and a compulsory course for college students stipulated by the Ministry of education. It takes Marxism Leninism, Mao Zedong Thought and the theoretical system of socialism with Chinese characteristics as the guidance, takes the socialist core values as the main line, takes the world outlook, values, outlook on life, morality and the concept of rule of law as the main content, comprehensively uses multi-disciplinary knowledge, and guides and educates college students to grow up for the society in view of College Students' ideological reality and social practical problems in reform and opening up ‘With ideals, morality, culture and discipline’, qualified builders and reliable successors dedicated to the cause of socialism with Chinese characteristics. </w:t>
      </w:r>
    </w:p>
    <w:p w14:paraId="124AD274">
      <w:pPr>
        <w:spacing w:before="156" w:beforeLines="50"/>
        <w:rPr>
          <w:rFonts w:ascii="Times New Roman" w:hAnsi="Times New Roman" w:eastAsia="仿宋_GB2312" w:cs="Times New Roman"/>
          <w:b/>
          <w:spacing w:val="-3"/>
          <w:sz w:val="24"/>
          <w:szCs w:val="24"/>
          <w:lang w:val="en-GB"/>
        </w:rPr>
      </w:pPr>
      <w:r>
        <w:rPr>
          <w:rFonts w:ascii="Times New Roman" w:hAnsi="Times New Roman" w:eastAsia="仿宋_GB2312" w:cs="Times New Roman"/>
          <w:b/>
          <w:spacing w:val="-3"/>
          <w:sz w:val="24"/>
          <w:szCs w:val="24"/>
          <w:lang w:val="en-GB"/>
        </w:rPr>
        <w:fldChar w:fldCharType="begin"/>
      </w:r>
      <w:r>
        <w:rPr>
          <w:rFonts w:ascii="Times New Roman" w:hAnsi="Times New Roman" w:eastAsia="仿宋_GB2312" w:cs="Times New Roman"/>
          <w:b/>
          <w:spacing w:val="-3"/>
          <w:sz w:val="24"/>
          <w:szCs w:val="24"/>
          <w:lang w:val="en-GB"/>
        </w:rPr>
        <w:instrText xml:space="preserve"> </w:instrText>
      </w:r>
      <w:r>
        <w:rPr>
          <w:rFonts w:hint="eastAsia" w:ascii="Times New Roman" w:hAnsi="Times New Roman" w:eastAsia="仿宋_GB2312" w:cs="Times New Roman"/>
          <w:b/>
          <w:spacing w:val="-3"/>
          <w:sz w:val="24"/>
          <w:szCs w:val="24"/>
          <w:lang w:val="en-GB"/>
        </w:rPr>
        <w:instrText xml:space="preserve">= 3 \* ROMAN</w:instrText>
      </w:r>
      <w:r>
        <w:rPr>
          <w:rFonts w:ascii="Times New Roman" w:hAnsi="Times New Roman" w:eastAsia="仿宋_GB2312" w:cs="Times New Roman"/>
          <w:b/>
          <w:spacing w:val="-3"/>
          <w:sz w:val="24"/>
          <w:szCs w:val="24"/>
          <w:lang w:val="en-GB"/>
        </w:rPr>
        <w:instrText xml:space="preserve"> </w:instrText>
      </w:r>
      <w:r>
        <w:rPr>
          <w:rFonts w:ascii="Times New Roman" w:hAnsi="Times New Roman" w:eastAsia="仿宋_GB2312" w:cs="Times New Roman"/>
          <w:b/>
          <w:spacing w:val="-3"/>
          <w:sz w:val="24"/>
          <w:szCs w:val="24"/>
          <w:lang w:val="en-GB"/>
        </w:rPr>
        <w:fldChar w:fldCharType="separate"/>
      </w:r>
      <w:r>
        <w:rPr>
          <w:rFonts w:ascii="Times New Roman" w:hAnsi="Times New Roman" w:eastAsia="仿宋_GB2312" w:cs="Times New Roman"/>
          <w:b/>
          <w:spacing w:val="-3"/>
          <w:sz w:val="24"/>
          <w:szCs w:val="24"/>
          <w:lang w:val="en-GB"/>
        </w:rPr>
        <w:t>III</w:t>
      </w:r>
      <w:r>
        <w:rPr>
          <w:rFonts w:ascii="Times New Roman" w:hAnsi="Times New Roman" w:eastAsia="仿宋_GB2312" w:cs="Times New Roman"/>
          <w:b/>
          <w:spacing w:val="-3"/>
          <w:sz w:val="24"/>
          <w:szCs w:val="24"/>
          <w:lang w:val="en-GB"/>
        </w:rPr>
        <w:fldChar w:fldCharType="end"/>
      </w:r>
      <w:r>
        <w:rPr>
          <w:rFonts w:ascii="Times New Roman" w:hAnsi="Times New Roman" w:eastAsia="仿宋_GB2312" w:cs="Times New Roman"/>
          <w:b/>
          <w:spacing w:val="-3"/>
          <w:sz w:val="24"/>
          <w:szCs w:val="24"/>
          <w:lang w:val="en-GB"/>
        </w:rPr>
        <w:t>.</w:t>
      </w:r>
      <w:r>
        <w:rPr>
          <w:rFonts w:ascii="Times New Roman" w:hAnsi="Times New Roman" w:eastAsia="宋体" w:cs="Times New Roman"/>
          <w:szCs w:val="24"/>
        </w:rPr>
        <w:t xml:space="preserve"> </w:t>
      </w:r>
      <w:r>
        <w:rPr>
          <w:rFonts w:ascii="Times New Roman" w:hAnsi="Times New Roman" w:eastAsia="仿宋_GB2312" w:cs="Times New Roman"/>
          <w:b/>
          <w:spacing w:val="-3"/>
          <w:sz w:val="24"/>
          <w:szCs w:val="24"/>
          <w:lang w:val="en-GB"/>
        </w:rPr>
        <w:t>Course Objective</w:t>
      </w:r>
    </w:p>
    <w:p w14:paraId="5B785892">
      <w:pPr>
        <w:spacing w:before="156" w:beforeLines="50"/>
        <w:ind w:firstLine="420"/>
        <w:rPr>
          <w:rFonts w:ascii="Times New Roman" w:hAnsi="Times New Roman" w:eastAsia="仿宋_GB2312" w:cs="Times New Roman"/>
          <w:szCs w:val="21"/>
        </w:rPr>
      </w:pPr>
      <w:r>
        <w:rPr>
          <w:rFonts w:ascii="Times New Roman" w:hAnsi="Times New Roman" w:eastAsia="仿宋_GB2312" w:cs="Times New Roman"/>
          <w:szCs w:val="21"/>
        </w:rPr>
        <w:t>Practical teaching is one of the important teaching links in the course of ideology, morality and the rule of law. In order to effectively implement the opinions on deepening the reform and innovation of school ideological and political theory course in the new era, better promote the reform and innovation of Ideological and political theory course, integrate practical teaching into the whole teaching, deepen classroom theoretical teaching, improve college students' practical ability, let college students sublimate their ideological realm and forge good ideological and moral character in practice, Learn to do things in practice, learn to be a man, and learn to use Marxist standpoint to analy</w:t>
      </w:r>
      <w:r>
        <w:rPr>
          <w:rFonts w:hint="eastAsia" w:ascii="Times New Roman" w:hAnsi="Times New Roman" w:eastAsia="仿宋_GB2312" w:cs="Times New Roman"/>
          <w:szCs w:val="21"/>
        </w:rPr>
        <w:t>s</w:t>
      </w:r>
      <w:r>
        <w:rPr>
          <w:rFonts w:ascii="Times New Roman" w:hAnsi="Times New Roman" w:eastAsia="仿宋_GB2312" w:cs="Times New Roman"/>
          <w:szCs w:val="21"/>
        </w:rPr>
        <w:t xml:space="preserve">is and solve practical problems, so as to improve cognitive ability, speculative ability and practical ability. </w:t>
      </w:r>
    </w:p>
    <w:p w14:paraId="32EACE3A">
      <w:pPr>
        <w:spacing w:before="156" w:beforeLines="50" w:line="360" w:lineRule="auto"/>
        <w:rPr>
          <w:rFonts w:ascii="Times New Roman" w:hAnsi="Times New Roman" w:eastAsia="仿宋_GB2312" w:cs="Times New Roman"/>
          <w:b/>
          <w:spacing w:val="-3"/>
          <w:sz w:val="24"/>
          <w:szCs w:val="24"/>
          <w:lang w:val="en-GB"/>
        </w:rPr>
      </w:pPr>
      <w:r>
        <w:rPr>
          <w:rFonts w:ascii="Times New Roman" w:hAnsi="Times New Roman" w:eastAsia="仿宋_GB2312" w:cs="Times New Roman"/>
          <w:b/>
          <w:spacing w:val="-3"/>
          <w:sz w:val="24"/>
          <w:szCs w:val="24"/>
          <w:lang w:val="en-GB"/>
        </w:rPr>
        <w:fldChar w:fldCharType="begin"/>
      </w:r>
      <w:r>
        <w:rPr>
          <w:rFonts w:ascii="Times New Roman" w:hAnsi="Times New Roman" w:eastAsia="仿宋_GB2312" w:cs="Times New Roman"/>
          <w:b/>
          <w:spacing w:val="-3"/>
          <w:sz w:val="24"/>
          <w:szCs w:val="24"/>
          <w:lang w:val="en-GB"/>
        </w:rPr>
        <w:instrText xml:space="preserve"> </w:instrText>
      </w:r>
      <w:r>
        <w:rPr>
          <w:rFonts w:hint="eastAsia" w:ascii="Times New Roman" w:hAnsi="Times New Roman" w:eastAsia="仿宋_GB2312" w:cs="Times New Roman"/>
          <w:b/>
          <w:spacing w:val="-3"/>
          <w:sz w:val="24"/>
          <w:szCs w:val="24"/>
          <w:lang w:val="en-GB"/>
        </w:rPr>
        <w:instrText xml:space="preserve">= 4 \* ROMAN</w:instrText>
      </w:r>
      <w:r>
        <w:rPr>
          <w:rFonts w:ascii="Times New Roman" w:hAnsi="Times New Roman" w:eastAsia="仿宋_GB2312" w:cs="Times New Roman"/>
          <w:b/>
          <w:spacing w:val="-3"/>
          <w:sz w:val="24"/>
          <w:szCs w:val="24"/>
          <w:lang w:val="en-GB"/>
        </w:rPr>
        <w:instrText xml:space="preserve"> </w:instrText>
      </w:r>
      <w:r>
        <w:rPr>
          <w:rFonts w:ascii="Times New Roman" w:hAnsi="Times New Roman" w:eastAsia="仿宋_GB2312" w:cs="Times New Roman"/>
          <w:b/>
          <w:spacing w:val="-3"/>
          <w:sz w:val="24"/>
          <w:szCs w:val="24"/>
          <w:lang w:val="en-GB"/>
        </w:rPr>
        <w:fldChar w:fldCharType="separate"/>
      </w:r>
      <w:r>
        <w:rPr>
          <w:rFonts w:ascii="Times New Roman" w:hAnsi="Times New Roman" w:eastAsia="仿宋_GB2312" w:cs="Times New Roman"/>
          <w:b/>
          <w:spacing w:val="-3"/>
          <w:sz w:val="24"/>
          <w:szCs w:val="24"/>
          <w:lang w:val="en-GB"/>
        </w:rPr>
        <w:t>IV</w:t>
      </w:r>
      <w:r>
        <w:rPr>
          <w:rFonts w:ascii="Times New Roman" w:hAnsi="Times New Roman" w:eastAsia="仿宋_GB2312" w:cs="Times New Roman"/>
          <w:b/>
          <w:spacing w:val="-3"/>
          <w:sz w:val="24"/>
          <w:szCs w:val="24"/>
          <w:lang w:val="en-GB"/>
        </w:rPr>
        <w:fldChar w:fldCharType="end"/>
      </w:r>
      <w:r>
        <w:rPr>
          <w:rFonts w:ascii="Times New Roman" w:hAnsi="Times New Roman" w:eastAsia="仿宋_GB2312" w:cs="Times New Roman"/>
          <w:b/>
          <w:spacing w:val="-3"/>
          <w:sz w:val="24"/>
          <w:szCs w:val="24"/>
          <w:lang w:val="en-GB"/>
        </w:rPr>
        <w:t xml:space="preserve">. </w:t>
      </w:r>
      <w:r>
        <w:rPr>
          <w:rFonts w:ascii="Times New Roman" w:hAnsi="Times New Roman" w:eastAsia="宋体" w:cs="Times New Roman"/>
          <w:szCs w:val="24"/>
        </w:rPr>
        <w:t xml:space="preserve"> </w:t>
      </w:r>
      <w:r>
        <w:rPr>
          <w:rFonts w:ascii="Times New Roman" w:hAnsi="Times New Roman" w:eastAsia="仿宋_GB2312" w:cs="Times New Roman"/>
          <w:b/>
          <w:spacing w:val="-3"/>
          <w:sz w:val="24"/>
          <w:szCs w:val="24"/>
          <w:lang w:val="en-GB"/>
        </w:rPr>
        <w:t xml:space="preserve">Contents </w:t>
      </w:r>
    </w:p>
    <w:p w14:paraId="74F66434">
      <w:pPr>
        <w:widowControl/>
        <w:spacing w:line="200" w:lineRule="exact"/>
        <w:jc w:val="center"/>
        <w:rPr>
          <w:rFonts w:ascii="Times New Roman" w:hAnsi="Times New Roman" w:eastAsia="宋体" w:cs="Times New Roman"/>
          <w:color w:val="000000"/>
          <w:kern w:val="0"/>
          <w:sz w:val="15"/>
          <w:szCs w:val="15"/>
        </w:rPr>
      </w:pPr>
      <w:r>
        <w:rPr>
          <w:rFonts w:hint="eastAsia" w:ascii="Times New Roman" w:hAnsi="Times New Roman" w:eastAsia="宋体" w:cs="Times New Roman"/>
          <w:color w:val="000000"/>
          <w:kern w:val="0"/>
          <w:sz w:val="15"/>
          <w:szCs w:val="15"/>
        </w:rPr>
        <w:t>（</w:t>
      </w:r>
      <w:r>
        <w:rPr>
          <w:rFonts w:ascii="Times New Roman" w:hAnsi="Times New Roman" w:eastAsia="宋体" w:cs="Times New Roman"/>
          <w:color w:val="000000"/>
          <w:kern w:val="0"/>
          <w:sz w:val="15"/>
          <w:szCs w:val="15"/>
        </w:rPr>
        <w:t>The following practical teaching content, according to the practical conditions and needs, each semester can be selected to carry out partially</w:t>
      </w:r>
      <w:r>
        <w:rPr>
          <w:rFonts w:hint="eastAsia" w:ascii="Times New Roman" w:hAnsi="Times New Roman" w:eastAsia="宋体" w:cs="Times New Roman"/>
          <w:color w:val="000000"/>
          <w:kern w:val="0"/>
          <w:sz w:val="15"/>
          <w:szCs w:val="15"/>
        </w:rPr>
        <w:t>）</w:t>
      </w:r>
    </w:p>
    <w:tbl>
      <w:tblPr>
        <w:tblStyle w:val="5"/>
        <w:tblW w:w="8161" w:type="dxa"/>
        <w:jc w:val="center"/>
        <w:tblLayout w:type="fixed"/>
        <w:tblCellMar>
          <w:top w:w="0" w:type="dxa"/>
          <w:left w:w="0" w:type="dxa"/>
          <w:bottom w:w="0" w:type="dxa"/>
          <w:right w:w="0" w:type="dxa"/>
        </w:tblCellMar>
      </w:tblPr>
      <w:tblGrid>
        <w:gridCol w:w="481"/>
        <w:gridCol w:w="1941"/>
        <w:gridCol w:w="2625"/>
        <w:gridCol w:w="1039"/>
        <w:gridCol w:w="1275"/>
        <w:gridCol w:w="800"/>
      </w:tblGrid>
      <w:tr w14:paraId="14406015">
        <w:tblPrEx>
          <w:tblCellMar>
            <w:top w:w="0" w:type="dxa"/>
            <w:left w:w="0" w:type="dxa"/>
            <w:bottom w:w="0" w:type="dxa"/>
            <w:right w:w="0" w:type="dxa"/>
          </w:tblCellMar>
        </w:tblPrEx>
        <w:trPr>
          <w:trHeight w:val="748" w:hRule="atLeast"/>
          <w:jc w:val="center"/>
        </w:trPr>
        <w:tc>
          <w:tcPr>
            <w:tcW w:w="48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B6F16A1">
            <w:pPr>
              <w:jc w:val="center"/>
              <w:rPr>
                <w:rFonts w:ascii="Times New Roman" w:hAnsi="Times New Roman" w:eastAsia="仿宋" w:cs="Times New Roman"/>
                <w:b/>
                <w:sz w:val="18"/>
                <w:szCs w:val="18"/>
              </w:rPr>
            </w:pPr>
            <w:r>
              <w:rPr>
                <w:rFonts w:ascii="Times New Roman" w:hAnsi="Times New Roman" w:eastAsia="仿宋" w:cs="Times New Roman"/>
                <w:b/>
                <w:sz w:val="18"/>
                <w:szCs w:val="18"/>
              </w:rPr>
              <w:t>No.</w:t>
            </w:r>
          </w:p>
        </w:tc>
        <w:tc>
          <w:tcPr>
            <w:tcW w:w="1941"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5FC3DC27">
            <w:pPr>
              <w:widowControl/>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Practice Content</w:t>
            </w:r>
          </w:p>
        </w:tc>
        <w:tc>
          <w:tcPr>
            <w:tcW w:w="262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77E1B0D0">
            <w:pPr>
              <w:widowControl/>
              <w:jc w:val="center"/>
              <w:rPr>
                <w:rFonts w:ascii="Times New Roman" w:hAnsi="Times New Roman" w:eastAsia="宋体" w:cs="Times New Roman"/>
                <w:b/>
                <w:color w:val="000000"/>
                <w:kern w:val="0"/>
                <w:sz w:val="18"/>
                <w:szCs w:val="24"/>
              </w:rPr>
            </w:pPr>
            <w:r>
              <w:rPr>
                <w:rFonts w:ascii="Times New Roman" w:hAnsi="Times New Roman" w:eastAsia="宋体" w:cs="Times New Roman"/>
                <w:b/>
                <w:color w:val="000000"/>
                <w:kern w:val="0"/>
                <w:sz w:val="18"/>
                <w:szCs w:val="24"/>
              </w:rPr>
              <w:t>Executive Summary</w:t>
            </w:r>
          </w:p>
          <w:p w14:paraId="284903F0">
            <w:pPr>
              <w:widowControl/>
              <w:jc w:val="center"/>
              <w:rPr>
                <w:rFonts w:ascii="Times New Roman" w:hAnsi="Times New Roman" w:eastAsia="宋体" w:cs="Times New Roman"/>
                <w:b/>
                <w:color w:val="000000"/>
                <w:kern w:val="0"/>
                <w:sz w:val="18"/>
                <w:szCs w:val="24"/>
              </w:rPr>
            </w:pPr>
            <w:r>
              <w:rPr>
                <w:rFonts w:ascii="Times New Roman" w:hAnsi="Times New Roman" w:eastAsia="宋体" w:cs="Times New Roman"/>
                <w:b/>
                <w:color w:val="000000"/>
                <w:kern w:val="0"/>
                <w:sz w:val="18"/>
                <w:szCs w:val="24"/>
              </w:rPr>
              <w:t>(practical reference topic)</w:t>
            </w:r>
          </w:p>
        </w:tc>
        <w:tc>
          <w:tcPr>
            <w:tcW w:w="1039"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1428E914">
            <w:pPr>
              <w:widowControl/>
              <w:jc w:val="center"/>
              <w:rPr>
                <w:rFonts w:ascii="Times New Roman" w:hAnsi="Times New Roman" w:eastAsia="宋体" w:cs="Times New Roman"/>
                <w:b/>
                <w:color w:val="000000"/>
                <w:kern w:val="0"/>
                <w:sz w:val="18"/>
                <w:szCs w:val="24"/>
              </w:rPr>
            </w:pPr>
            <w:r>
              <w:rPr>
                <w:rFonts w:ascii="Times New Roman" w:hAnsi="Times New Roman" w:eastAsia="宋体" w:cs="Times New Roman"/>
                <w:b/>
                <w:color w:val="000000"/>
                <w:kern w:val="0"/>
                <w:sz w:val="18"/>
                <w:szCs w:val="24"/>
              </w:rPr>
              <w:t>Group Capacity</w:t>
            </w:r>
          </w:p>
          <w:p w14:paraId="00826469">
            <w:pPr>
              <w:jc w:val="left"/>
              <w:rPr>
                <w:rFonts w:ascii="Times New Roman" w:hAnsi="Times New Roman" w:eastAsia="仿宋" w:cs="Times New Roman"/>
                <w:b/>
                <w:sz w:val="18"/>
                <w:szCs w:val="18"/>
              </w:rPr>
            </w:pPr>
          </w:p>
        </w:tc>
        <w:tc>
          <w:tcPr>
            <w:tcW w:w="127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2552AFD7">
            <w:pPr>
              <w:jc w:val="center"/>
              <w:rPr>
                <w:rFonts w:ascii="Times New Roman" w:hAnsi="Times New Roman" w:eastAsia="仿宋" w:cs="Times New Roman"/>
                <w:b/>
                <w:sz w:val="18"/>
                <w:szCs w:val="18"/>
              </w:rPr>
            </w:pPr>
            <w:r>
              <w:rPr>
                <w:rFonts w:ascii="Times New Roman" w:hAnsi="Times New Roman" w:cs="Times New Roman"/>
                <w:b/>
                <w:color w:val="000000"/>
                <w:sz w:val="18"/>
                <w:szCs w:val="18"/>
              </w:rPr>
              <w:t>Type</w:t>
            </w:r>
          </w:p>
        </w:tc>
        <w:tc>
          <w:tcPr>
            <w:tcW w:w="800"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70309E93">
            <w:pPr>
              <w:jc w:val="center"/>
              <w:rPr>
                <w:rFonts w:ascii="Times New Roman" w:hAnsi="Times New Roman" w:eastAsia="仿宋" w:cs="Times New Roman"/>
                <w:b/>
                <w:sz w:val="18"/>
                <w:szCs w:val="18"/>
              </w:rPr>
            </w:pPr>
            <w:r>
              <w:rPr>
                <w:rFonts w:ascii="Times New Roman" w:hAnsi="Times New Roman" w:cs="Times New Roman"/>
                <w:b/>
                <w:color w:val="000000"/>
                <w:sz w:val="18"/>
                <w:szCs w:val="36"/>
              </w:rPr>
              <w:t>Class Hours</w:t>
            </w:r>
          </w:p>
        </w:tc>
      </w:tr>
      <w:tr w14:paraId="51CBD071">
        <w:tblPrEx>
          <w:tblCellMar>
            <w:top w:w="0" w:type="dxa"/>
            <w:left w:w="0" w:type="dxa"/>
            <w:bottom w:w="0" w:type="dxa"/>
            <w:right w:w="0" w:type="dxa"/>
          </w:tblCellMar>
        </w:tblPrEx>
        <w:trPr>
          <w:trHeight w:val="285" w:hRule="atLeast"/>
          <w:jc w:val="center"/>
        </w:trPr>
        <w:tc>
          <w:tcPr>
            <w:tcW w:w="48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04B2CC71">
            <w:pPr>
              <w:jc w:val="center"/>
              <w:rPr>
                <w:rFonts w:ascii="Times New Roman" w:hAnsi="Times New Roman" w:eastAsia="仿宋" w:cs="Times New Roman"/>
                <w:sz w:val="18"/>
                <w:szCs w:val="18"/>
              </w:rPr>
            </w:pPr>
            <w:r>
              <w:rPr>
                <w:rFonts w:ascii="Times New Roman" w:hAnsi="Times New Roman" w:eastAsia="仿宋" w:cs="Times New Roman"/>
                <w:sz w:val="18"/>
                <w:szCs w:val="18"/>
              </w:rPr>
              <w:t>1</w:t>
            </w:r>
          </w:p>
        </w:tc>
        <w:tc>
          <w:tcPr>
            <w:tcW w:w="194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A59B11D">
            <w:pPr>
              <w:widowControl/>
              <w:shd w:val="clear" w:color="auto" w:fill="FBFBFB"/>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Learn about the New Age and the university</w:t>
            </w:r>
          </w:p>
        </w:tc>
        <w:tc>
          <w:tcPr>
            <w:tcW w:w="262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DEC89DD">
            <w:pPr>
              <w:widowControl/>
              <w:shd w:val="clear" w:color="auto" w:fill="FBFBFB"/>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College freshmen career planning survey, College freshmen interpersonal communication main obstacles and countermeasures research, College freshmen life attitude survey and analysis, College freshmen dormitory harmonious relationship survey</w:t>
            </w:r>
          </w:p>
        </w:tc>
        <w:tc>
          <w:tcPr>
            <w:tcW w:w="103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671C571">
            <w:pPr>
              <w:jc w:val="center"/>
              <w:rPr>
                <w:rFonts w:ascii="Times New Roman" w:hAnsi="Times New Roman" w:eastAsia="仿宋" w:cs="Times New Roman"/>
                <w:sz w:val="18"/>
                <w:szCs w:val="18"/>
              </w:rPr>
            </w:pPr>
            <w:r>
              <w:rPr>
                <w:rFonts w:ascii="Times New Roman" w:hAnsi="Times New Roman" w:eastAsia="仿宋" w:cs="Times New Roman"/>
                <w:sz w:val="18"/>
                <w:szCs w:val="18"/>
              </w:rPr>
              <w:t>free</w:t>
            </w:r>
          </w:p>
        </w:tc>
        <w:tc>
          <w:tcPr>
            <w:tcW w:w="127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5B057F1">
            <w:pPr>
              <w:jc w:val="center"/>
              <w:rPr>
                <w:rFonts w:ascii="Times New Roman" w:hAnsi="Times New Roman" w:eastAsia="仿宋" w:cs="Times New Roman"/>
                <w:sz w:val="16"/>
                <w:szCs w:val="18"/>
              </w:rPr>
            </w:pPr>
            <w:r>
              <w:rPr>
                <w:rFonts w:ascii="Times New Roman" w:hAnsi="Times New Roman" w:cs="Times New Roman"/>
                <w:color w:val="000000"/>
                <w:sz w:val="16"/>
                <w:szCs w:val="18"/>
                <w:shd w:val="clear" w:color="auto" w:fill="FBFBFB"/>
              </w:rPr>
              <w:t>Designability</w:t>
            </w:r>
          </w:p>
        </w:tc>
        <w:tc>
          <w:tcPr>
            <w:tcW w:w="800" w:type="dxa"/>
            <w:vMerge w:val="restart"/>
            <w:tcBorders>
              <w:top w:val="nil"/>
              <w:left w:val="nil"/>
              <w:right w:val="single" w:color="000000" w:sz="8" w:space="0"/>
            </w:tcBorders>
            <w:tcMar>
              <w:top w:w="0" w:type="dxa"/>
              <w:left w:w="108" w:type="dxa"/>
              <w:bottom w:w="0" w:type="dxa"/>
              <w:right w:w="108" w:type="dxa"/>
            </w:tcMar>
            <w:vAlign w:val="center"/>
          </w:tcPr>
          <w:p w14:paraId="192A94DD">
            <w:pPr>
              <w:jc w:val="center"/>
              <w:rPr>
                <w:rFonts w:ascii="Times New Roman" w:hAnsi="Times New Roman" w:eastAsia="仿宋" w:cs="Times New Roman"/>
                <w:sz w:val="18"/>
                <w:szCs w:val="18"/>
                <w:lang w:val="zh-CN"/>
              </w:rPr>
            </w:pPr>
          </w:p>
          <w:p w14:paraId="119DB3BC">
            <w:pPr>
              <w:jc w:val="center"/>
              <w:rPr>
                <w:rFonts w:ascii="Times New Roman" w:hAnsi="Times New Roman" w:eastAsia="仿宋" w:cs="Times New Roman"/>
                <w:sz w:val="18"/>
                <w:szCs w:val="18"/>
                <w:lang w:val="zh-CN"/>
              </w:rPr>
            </w:pPr>
          </w:p>
          <w:p w14:paraId="6A04F7C7">
            <w:pPr>
              <w:jc w:val="center"/>
              <w:rPr>
                <w:rFonts w:ascii="Times New Roman" w:hAnsi="Times New Roman" w:eastAsia="仿宋" w:cs="Times New Roman"/>
                <w:sz w:val="18"/>
                <w:szCs w:val="18"/>
                <w:lang w:val="zh-CN"/>
              </w:rPr>
            </w:pPr>
          </w:p>
          <w:p w14:paraId="5BA28E3E">
            <w:pPr>
              <w:jc w:val="center"/>
              <w:rPr>
                <w:rFonts w:ascii="Times New Roman" w:hAnsi="Times New Roman" w:eastAsia="仿宋" w:cs="Times New Roman"/>
                <w:sz w:val="18"/>
                <w:szCs w:val="18"/>
                <w:lang w:val="zh-CN"/>
              </w:rPr>
            </w:pPr>
          </w:p>
          <w:p w14:paraId="0637D185">
            <w:pPr>
              <w:jc w:val="center"/>
              <w:rPr>
                <w:rFonts w:ascii="Times New Roman" w:hAnsi="Times New Roman" w:eastAsia="仿宋" w:cs="Times New Roman"/>
                <w:sz w:val="18"/>
                <w:szCs w:val="18"/>
                <w:lang w:val="zh-CN"/>
              </w:rPr>
            </w:pPr>
          </w:p>
          <w:p w14:paraId="266D8B7F">
            <w:pPr>
              <w:jc w:val="center"/>
              <w:rPr>
                <w:rFonts w:ascii="Times New Roman" w:hAnsi="Times New Roman" w:eastAsia="仿宋" w:cs="Times New Roman"/>
                <w:sz w:val="18"/>
                <w:szCs w:val="18"/>
                <w:lang w:val="zh-CN"/>
              </w:rPr>
            </w:pPr>
          </w:p>
          <w:p w14:paraId="538D591B">
            <w:pPr>
              <w:jc w:val="center"/>
              <w:rPr>
                <w:rFonts w:ascii="Times New Roman" w:hAnsi="Times New Roman" w:eastAsia="仿宋" w:cs="Times New Roman"/>
                <w:sz w:val="18"/>
                <w:szCs w:val="18"/>
                <w:lang w:val="zh-CN"/>
              </w:rPr>
            </w:pPr>
          </w:p>
          <w:p w14:paraId="70A05612">
            <w:pPr>
              <w:jc w:val="center"/>
              <w:rPr>
                <w:rFonts w:ascii="Times New Roman" w:hAnsi="Times New Roman" w:eastAsia="仿宋" w:cs="Times New Roman"/>
                <w:sz w:val="18"/>
                <w:szCs w:val="18"/>
                <w:lang w:val="zh-CN"/>
              </w:rPr>
            </w:pPr>
          </w:p>
          <w:p w14:paraId="5212D4A4">
            <w:pPr>
              <w:jc w:val="center"/>
              <w:rPr>
                <w:rFonts w:ascii="Times New Roman" w:hAnsi="Times New Roman" w:eastAsia="仿宋" w:cs="Times New Roman"/>
                <w:sz w:val="18"/>
                <w:szCs w:val="18"/>
                <w:lang w:val="zh-CN"/>
              </w:rPr>
            </w:pPr>
          </w:p>
          <w:p w14:paraId="37748B31">
            <w:pPr>
              <w:jc w:val="center"/>
              <w:rPr>
                <w:rFonts w:ascii="Times New Roman" w:hAnsi="Times New Roman" w:eastAsia="仿宋" w:cs="Times New Roman"/>
                <w:sz w:val="18"/>
                <w:szCs w:val="18"/>
                <w:lang w:val="zh-CN"/>
              </w:rPr>
            </w:pPr>
          </w:p>
          <w:p w14:paraId="0D0CBB0F">
            <w:pPr>
              <w:jc w:val="center"/>
              <w:rPr>
                <w:rFonts w:ascii="Times New Roman" w:hAnsi="Times New Roman" w:eastAsia="仿宋" w:cs="Times New Roman"/>
                <w:sz w:val="18"/>
                <w:szCs w:val="18"/>
                <w:lang w:val="zh-CN"/>
              </w:rPr>
            </w:pPr>
          </w:p>
          <w:p w14:paraId="3C70E346">
            <w:pPr>
              <w:jc w:val="cente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16</w:t>
            </w:r>
          </w:p>
        </w:tc>
      </w:tr>
      <w:tr w14:paraId="2495FAD7">
        <w:tblPrEx>
          <w:tblCellMar>
            <w:top w:w="0" w:type="dxa"/>
            <w:left w:w="0" w:type="dxa"/>
            <w:bottom w:w="0" w:type="dxa"/>
            <w:right w:w="0" w:type="dxa"/>
          </w:tblCellMar>
        </w:tblPrEx>
        <w:trPr>
          <w:trHeight w:val="285" w:hRule="atLeast"/>
          <w:jc w:val="center"/>
        </w:trPr>
        <w:tc>
          <w:tcPr>
            <w:tcW w:w="48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13085AFE">
            <w:pPr>
              <w:jc w:val="cente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94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770E1">
            <w:pP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 xml:space="preserve">Set lofty ideals </w:t>
            </w:r>
          </w:p>
        </w:tc>
        <w:tc>
          <w:tcPr>
            <w:tcW w:w="262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6D240D4">
            <w:pPr>
              <w:rPr>
                <w:rFonts w:ascii="Times New Roman" w:hAnsi="Times New Roman" w:eastAsia="宋体" w:cs="Times New Roman"/>
                <w:color w:val="000000"/>
                <w:kern w:val="0"/>
                <w:sz w:val="18"/>
                <w:szCs w:val="18"/>
              </w:rPr>
            </w:pPr>
            <w:r>
              <w:rPr>
                <w:rFonts w:ascii="Times New Roman" w:hAnsi="Times New Roman" w:eastAsia="宋体" w:cs="Times New Roman"/>
                <w:kern w:val="0"/>
                <w:sz w:val="18"/>
                <w:szCs w:val="18"/>
              </w:rPr>
              <w:t>The survey of employment of graduates, the survey of ideal occupation of college students, The survey of employment willingness of college students in the west, etc</w:t>
            </w:r>
          </w:p>
        </w:tc>
        <w:tc>
          <w:tcPr>
            <w:tcW w:w="103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B0DDDBC">
            <w:pPr>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8-12</w:t>
            </w:r>
          </w:p>
        </w:tc>
        <w:tc>
          <w:tcPr>
            <w:tcW w:w="127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E002B2C">
            <w:pPr>
              <w:jc w:val="center"/>
              <w:rPr>
                <w:rFonts w:ascii="Times New Roman" w:hAnsi="Times New Roman" w:eastAsia="宋体" w:cs="Times New Roman"/>
                <w:color w:val="000000"/>
                <w:kern w:val="0"/>
                <w:sz w:val="16"/>
                <w:szCs w:val="18"/>
              </w:rPr>
            </w:pPr>
            <w:r>
              <w:rPr>
                <w:rFonts w:ascii="Times New Roman" w:hAnsi="Times New Roman" w:eastAsia="宋体" w:cs="Times New Roman"/>
                <w:color w:val="000000"/>
                <w:kern w:val="0"/>
                <w:sz w:val="16"/>
                <w:szCs w:val="18"/>
              </w:rPr>
              <w:t>Verifiability</w:t>
            </w:r>
          </w:p>
        </w:tc>
        <w:tc>
          <w:tcPr>
            <w:tcW w:w="800" w:type="dxa"/>
            <w:vMerge w:val="continue"/>
            <w:tcBorders>
              <w:left w:val="nil"/>
              <w:right w:val="single" w:color="000000" w:sz="8" w:space="0"/>
            </w:tcBorders>
            <w:tcMar>
              <w:top w:w="0" w:type="dxa"/>
              <w:left w:w="108" w:type="dxa"/>
              <w:bottom w:w="0" w:type="dxa"/>
              <w:right w:w="108" w:type="dxa"/>
            </w:tcMar>
            <w:vAlign w:val="center"/>
          </w:tcPr>
          <w:p w14:paraId="57850176">
            <w:pPr>
              <w:rPr>
                <w:rFonts w:ascii="Times New Roman" w:hAnsi="Times New Roman" w:eastAsia="仿宋" w:cs="Times New Roman"/>
                <w:sz w:val="18"/>
                <w:szCs w:val="18"/>
              </w:rPr>
            </w:pPr>
          </w:p>
        </w:tc>
      </w:tr>
      <w:tr w14:paraId="0763163F">
        <w:tblPrEx>
          <w:tblCellMar>
            <w:top w:w="0" w:type="dxa"/>
            <w:left w:w="0" w:type="dxa"/>
            <w:bottom w:w="0" w:type="dxa"/>
            <w:right w:w="0" w:type="dxa"/>
          </w:tblCellMar>
        </w:tblPrEx>
        <w:trPr>
          <w:trHeight w:val="285" w:hRule="atLeast"/>
          <w:jc w:val="center"/>
        </w:trPr>
        <w:tc>
          <w:tcPr>
            <w:tcW w:w="48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28C4BDF5">
            <w:pPr>
              <w:jc w:val="center"/>
              <w:rPr>
                <w:rFonts w:ascii="Times New Roman" w:hAnsi="Times New Roman" w:eastAsia="仿宋" w:cs="Times New Roman"/>
                <w:sz w:val="18"/>
                <w:szCs w:val="18"/>
              </w:rPr>
            </w:pPr>
            <w:r>
              <w:rPr>
                <w:rFonts w:ascii="Times New Roman" w:hAnsi="Times New Roman" w:eastAsia="仿宋" w:cs="Times New Roman"/>
                <w:sz w:val="18"/>
                <w:szCs w:val="18"/>
              </w:rPr>
              <w:t>3</w:t>
            </w:r>
          </w:p>
        </w:tc>
        <w:tc>
          <w:tcPr>
            <w:tcW w:w="194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EB82E28">
            <w:pPr>
              <w:rPr>
                <w:rFonts w:ascii="Times New Roman" w:hAnsi="Times New Roman" w:eastAsia="仿宋" w:cs="Times New Roman"/>
                <w:sz w:val="18"/>
                <w:szCs w:val="18"/>
              </w:rPr>
            </w:pPr>
            <w:r>
              <w:rPr>
                <w:rFonts w:ascii="Times New Roman" w:hAnsi="Times New Roman" w:eastAsia="宋体" w:cs="Times New Roman"/>
                <w:color w:val="000000"/>
                <w:kern w:val="0"/>
                <w:sz w:val="18"/>
                <w:szCs w:val="18"/>
              </w:rPr>
              <w:t xml:space="preserve">Carry forward the Chinese spirit </w:t>
            </w:r>
          </w:p>
        </w:tc>
        <w:tc>
          <w:tcPr>
            <w:tcW w:w="262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CF7951">
            <w:pPr>
              <w:jc w:val="left"/>
              <w:rPr>
                <w:rFonts w:ascii="Times New Roman" w:hAnsi="Times New Roman" w:eastAsia="仿宋" w:cs="Times New Roman"/>
                <w:sz w:val="18"/>
                <w:szCs w:val="18"/>
              </w:rPr>
            </w:pPr>
            <w:r>
              <w:rPr>
                <w:rFonts w:ascii="Times New Roman" w:hAnsi="Times New Roman" w:eastAsia="宋体" w:cs="Times New Roman"/>
                <w:color w:val="000000"/>
                <w:kern w:val="0"/>
                <w:sz w:val="18"/>
                <w:szCs w:val="18"/>
              </w:rPr>
              <w:t>Investigation and analysis of characteristics of patriotic behavior of college students</w:t>
            </w:r>
          </w:p>
        </w:tc>
        <w:tc>
          <w:tcPr>
            <w:tcW w:w="103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46DE887">
            <w:pPr>
              <w:jc w:val="center"/>
              <w:rPr>
                <w:rFonts w:ascii="Times New Roman" w:hAnsi="Times New Roman" w:eastAsia="仿宋" w:cs="Times New Roman"/>
                <w:sz w:val="18"/>
                <w:szCs w:val="18"/>
              </w:rPr>
            </w:pPr>
            <w:r>
              <w:rPr>
                <w:rFonts w:ascii="Times New Roman" w:hAnsi="Times New Roman" w:eastAsia="仿宋" w:cs="Times New Roman"/>
                <w:sz w:val="18"/>
                <w:szCs w:val="18"/>
              </w:rPr>
              <w:t>8-12</w:t>
            </w:r>
          </w:p>
        </w:tc>
        <w:tc>
          <w:tcPr>
            <w:tcW w:w="127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77E3D30">
            <w:pPr>
              <w:widowControl/>
              <w:jc w:val="center"/>
              <w:rPr>
                <w:rFonts w:ascii="Times New Roman" w:hAnsi="Times New Roman" w:eastAsia="宋体" w:cs="Times New Roman"/>
                <w:color w:val="000000"/>
                <w:kern w:val="0"/>
                <w:sz w:val="16"/>
                <w:szCs w:val="18"/>
              </w:rPr>
            </w:pPr>
            <w:r>
              <w:rPr>
                <w:rFonts w:ascii="Times New Roman" w:hAnsi="Times New Roman" w:eastAsia="宋体" w:cs="Times New Roman"/>
                <w:color w:val="000000"/>
                <w:kern w:val="0"/>
                <w:sz w:val="16"/>
                <w:szCs w:val="18"/>
              </w:rPr>
              <w:t>Comprehensive</w:t>
            </w:r>
          </w:p>
          <w:p w14:paraId="30FE327B">
            <w:pPr>
              <w:jc w:val="center"/>
              <w:rPr>
                <w:rFonts w:ascii="Times New Roman" w:hAnsi="Times New Roman" w:eastAsia="仿宋" w:cs="Times New Roman"/>
                <w:sz w:val="18"/>
                <w:szCs w:val="18"/>
              </w:rPr>
            </w:pPr>
          </w:p>
        </w:tc>
        <w:tc>
          <w:tcPr>
            <w:tcW w:w="800" w:type="dxa"/>
            <w:vMerge w:val="continue"/>
            <w:tcBorders>
              <w:left w:val="nil"/>
              <w:right w:val="single" w:color="000000" w:sz="8" w:space="0"/>
            </w:tcBorders>
            <w:tcMar>
              <w:top w:w="0" w:type="dxa"/>
              <w:left w:w="108" w:type="dxa"/>
              <w:bottom w:w="0" w:type="dxa"/>
              <w:right w:w="108" w:type="dxa"/>
            </w:tcMar>
            <w:vAlign w:val="center"/>
          </w:tcPr>
          <w:p w14:paraId="22E35C92">
            <w:pPr>
              <w:rPr>
                <w:rFonts w:ascii="Times New Roman" w:hAnsi="Times New Roman" w:eastAsia="仿宋" w:cs="Times New Roman"/>
                <w:sz w:val="18"/>
                <w:szCs w:val="18"/>
              </w:rPr>
            </w:pPr>
          </w:p>
        </w:tc>
      </w:tr>
      <w:tr w14:paraId="769AAF4D">
        <w:tblPrEx>
          <w:tblCellMar>
            <w:top w:w="0" w:type="dxa"/>
            <w:left w:w="0" w:type="dxa"/>
            <w:bottom w:w="0" w:type="dxa"/>
            <w:right w:w="0" w:type="dxa"/>
          </w:tblCellMar>
        </w:tblPrEx>
        <w:trPr>
          <w:trHeight w:val="285" w:hRule="atLeast"/>
          <w:jc w:val="center"/>
        </w:trPr>
        <w:tc>
          <w:tcPr>
            <w:tcW w:w="48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7F59341E">
            <w:pPr>
              <w:jc w:val="center"/>
              <w:rPr>
                <w:rFonts w:ascii="Times New Roman" w:hAnsi="Times New Roman" w:eastAsia="仿宋" w:cs="Times New Roman"/>
                <w:sz w:val="18"/>
                <w:szCs w:val="18"/>
              </w:rPr>
            </w:pPr>
            <w:r>
              <w:rPr>
                <w:rFonts w:ascii="Times New Roman" w:hAnsi="Times New Roman" w:eastAsia="仿宋" w:cs="Times New Roman"/>
                <w:sz w:val="18"/>
                <w:szCs w:val="18"/>
              </w:rPr>
              <w:t>4</w:t>
            </w:r>
          </w:p>
        </w:tc>
        <w:tc>
          <w:tcPr>
            <w:tcW w:w="194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C315CCF">
            <w:pPr>
              <w:widowControl/>
              <w:shd w:val="clear" w:color="auto" w:fill="FBFBFB"/>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Inherit traditional Chinese virtues</w:t>
            </w:r>
          </w:p>
        </w:tc>
        <w:tc>
          <w:tcPr>
            <w:tcW w:w="262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CC2390F">
            <w:pPr>
              <w:widowControl/>
              <w:shd w:val="clear" w:color="auto" w:fill="FBFBFB"/>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Investigation and analysis of college students' volunteer service activities, Investigation and countermeasure research on college students' civilized status on campus, Investigation and analysis of college students' network morality, Investigation and analysis of college students' food waste, investigation and analysis of Karamay citizens' civilized status, Investigation and analysis of the pros and cons of college students' love.</w:t>
            </w:r>
          </w:p>
        </w:tc>
        <w:tc>
          <w:tcPr>
            <w:tcW w:w="103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213AF58">
            <w:pPr>
              <w:jc w:val="center"/>
              <w:rPr>
                <w:rFonts w:ascii="Times New Roman" w:hAnsi="Times New Roman" w:eastAsia="仿宋" w:cs="Times New Roman"/>
                <w:sz w:val="18"/>
                <w:szCs w:val="18"/>
              </w:rPr>
            </w:pPr>
            <w:r>
              <w:rPr>
                <w:rFonts w:ascii="Times New Roman" w:hAnsi="Times New Roman" w:eastAsia="仿宋" w:cs="Times New Roman"/>
                <w:sz w:val="18"/>
                <w:szCs w:val="18"/>
              </w:rPr>
              <w:t>8-12</w:t>
            </w:r>
          </w:p>
        </w:tc>
        <w:tc>
          <w:tcPr>
            <w:tcW w:w="127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3A93F8">
            <w:pPr>
              <w:widowControl/>
              <w:jc w:val="center"/>
              <w:rPr>
                <w:rFonts w:ascii="Times New Roman" w:hAnsi="Times New Roman" w:eastAsia="宋体" w:cs="Times New Roman"/>
                <w:color w:val="000000"/>
                <w:kern w:val="0"/>
                <w:sz w:val="16"/>
                <w:szCs w:val="18"/>
              </w:rPr>
            </w:pPr>
            <w:r>
              <w:rPr>
                <w:rFonts w:ascii="Times New Roman" w:hAnsi="Times New Roman" w:eastAsia="宋体" w:cs="Times New Roman"/>
                <w:color w:val="000000"/>
                <w:kern w:val="0"/>
                <w:sz w:val="16"/>
                <w:szCs w:val="18"/>
              </w:rPr>
              <w:t>Comprehensive</w:t>
            </w:r>
          </w:p>
        </w:tc>
        <w:tc>
          <w:tcPr>
            <w:tcW w:w="800" w:type="dxa"/>
            <w:vMerge w:val="continue"/>
            <w:tcBorders>
              <w:left w:val="nil"/>
              <w:right w:val="single" w:color="000000" w:sz="8" w:space="0"/>
            </w:tcBorders>
            <w:tcMar>
              <w:top w:w="0" w:type="dxa"/>
              <w:left w:w="108" w:type="dxa"/>
              <w:bottom w:w="0" w:type="dxa"/>
              <w:right w:w="108" w:type="dxa"/>
            </w:tcMar>
            <w:vAlign w:val="center"/>
          </w:tcPr>
          <w:p w14:paraId="3A4B5222">
            <w:pPr>
              <w:rPr>
                <w:rFonts w:ascii="Times New Roman" w:hAnsi="Times New Roman" w:eastAsia="仿宋" w:cs="Times New Roman"/>
                <w:sz w:val="18"/>
                <w:szCs w:val="18"/>
              </w:rPr>
            </w:pPr>
          </w:p>
        </w:tc>
      </w:tr>
      <w:tr w14:paraId="6F11B3DE">
        <w:tblPrEx>
          <w:tblCellMar>
            <w:top w:w="0" w:type="dxa"/>
            <w:left w:w="0" w:type="dxa"/>
            <w:bottom w:w="0" w:type="dxa"/>
            <w:right w:w="0" w:type="dxa"/>
          </w:tblCellMar>
        </w:tblPrEx>
        <w:trPr>
          <w:trHeight w:val="285" w:hRule="atLeast"/>
          <w:jc w:val="center"/>
        </w:trPr>
        <w:tc>
          <w:tcPr>
            <w:tcW w:w="48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27440BB8">
            <w:pPr>
              <w:jc w:val="center"/>
              <w:rPr>
                <w:rFonts w:ascii="Times New Roman" w:hAnsi="Times New Roman" w:eastAsia="仿宋" w:cs="Times New Roman"/>
                <w:sz w:val="18"/>
                <w:szCs w:val="18"/>
              </w:rPr>
            </w:pPr>
            <w:r>
              <w:rPr>
                <w:rFonts w:ascii="Times New Roman" w:hAnsi="Times New Roman" w:eastAsia="仿宋" w:cs="Times New Roman"/>
                <w:sz w:val="18"/>
                <w:szCs w:val="18"/>
              </w:rPr>
              <w:t>5</w:t>
            </w:r>
          </w:p>
        </w:tc>
        <w:tc>
          <w:tcPr>
            <w:tcW w:w="194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882574D">
            <w:pPr>
              <w:widowControl/>
              <w:shd w:val="clear" w:color="auto" w:fill="FBFBFB"/>
              <w:jc w:val="left"/>
              <w:rPr>
                <w:rFonts w:ascii="Times New Roman" w:hAnsi="Times New Roman" w:eastAsia="宋体" w:cs="Times New Roman"/>
                <w:color w:val="000000"/>
                <w:kern w:val="0"/>
                <w:sz w:val="18"/>
                <w:szCs w:val="24"/>
              </w:rPr>
            </w:pPr>
            <w:r>
              <w:rPr>
                <w:rFonts w:ascii="Times New Roman" w:hAnsi="Times New Roman" w:eastAsia="宋体" w:cs="Times New Roman"/>
                <w:color w:val="000000"/>
                <w:kern w:val="0"/>
                <w:sz w:val="18"/>
                <w:szCs w:val="24"/>
              </w:rPr>
              <w:t>Cultivate legal literacy</w:t>
            </w:r>
          </w:p>
        </w:tc>
        <w:tc>
          <w:tcPr>
            <w:tcW w:w="262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B5C0D6C">
            <w:pPr>
              <w:widowControl/>
              <w:jc w:val="left"/>
              <w:rPr>
                <w:rFonts w:ascii="Times New Roman" w:hAnsi="Times New Roman" w:eastAsia="宋体" w:cs="Times New Roman"/>
                <w:color w:val="000000"/>
                <w:kern w:val="0"/>
                <w:sz w:val="18"/>
                <w:szCs w:val="24"/>
              </w:rPr>
            </w:pPr>
            <w:r>
              <w:rPr>
                <w:rFonts w:ascii="Times New Roman" w:hAnsi="Times New Roman" w:eastAsia="宋体" w:cs="Times New Roman"/>
                <w:color w:val="000000"/>
                <w:kern w:val="0"/>
                <w:sz w:val="18"/>
                <w:szCs w:val="24"/>
              </w:rPr>
              <w:t>Investigation and countermeasure research of college students' cognition of Internet fraud, Investigation and countermeasure research of college students' awareness of fraud prevention, Investigation and reason analysis of college students' constitutional knowledge, etc</w:t>
            </w:r>
          </w:p>
        </w:tc>
        <w:tc>
          <w:tcPr>
            <w:tcW w:w="1039"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57BCA2A">
            <w:pPr>
              <w:jc w:val="center"/>
              <w:rPr>
                <w:rFonts w:ascii="Times New Roman" w:hAnsi="Times New Roman" w:eastAsia="仿宋" w:cs="Times New Roman"/>
                <w:sz w:val="18"/>
                <w:szCs w:val="18"/>
              </w:rPr>
            </w:pPr>
            <w:r>
              <w:rPr>
                <w:rFonts w:ascii="Times New Roman" w:hAnsi="Times New Roman" w:eastAsia="仿宋" w:cs="Times New Roman"/>
                <w:sz w:val="18"/>
                <w:szCs w:val="18"/>
              </w:rPr>
              <w:t>8-12</w:t>
            </w:r>
          </w:p>
        </w:tc>
        <w:tc>
          <w:tcPr>
            <w:tcW w:w="127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907969C">
            <w:pPr>
              <w:widowControl/>
              <w:jc w:val="center"/>
              <w:rPr>
                <w:rFonts w:ascii="Times New Roman" w:hAnsi="Times New Roman" w:eastAsia="宋体" w:cs="Times New Roman"/>
                <w:color w:val="000000"/>
                <w:kern w:val="0"/>
                <w:sz w:val="16"/>
                <w:szCs w:val="18"/>
              </w:rPr>
            </w:pPr>
            <w:r>
              <w:rPr>
                <w:rFonts w:ascii="Times New Roman" w:hAnsi="Times New Roman" w:eastAsia="宋体" w:cs="Times New Roman"/>
                <w:color w:val="000000"/>
                <w:kern w:val="0"/>
                <w:sz w:val="16"/>
                <w:szCs w:val="18"/>
              </w:rPr>
              <w:t>Comprehensive</w:t>
            </w:r>
          </w:p>
        </w:tc>
        <w:tc>
          <w:tcPr>
            <w:tcW w:w="800" w:type="dxa"/>
            <w:vMerge w:val="continue"/>
            <w:tcBorders>
              <w:left w:val="nil"/>
              <w:right w:val="single" w:color="000000" w:sz="8" w:space="0"/>
            </w:tcBorders>
            <w:tcMar>
              <w:top w:w="0" w:type="dxa"/>
              <w:left w:w="108" w:type="dxa"/>
              <w:bottom w:w="0" w:type="dxa"/>
              <w:right w:w="108" w:type="dxa"/>
            </w:tcMar>
            <w:vAlign w:val="center"/>
          </w:tcPr>
          <w:p w14:paraId="0329A0FD">
            <w:pPr>
              <w:rPr>
                <w:rFonts w:ascii="Times New Roman" w:hAnsi="Times New Roman" w:eastAsia="仿宋" w:cs="Times New Roman"/>
                <w:sz w:val="18"/>
                <w:szCs w:val="18"/>
              </w:rPr>
            </w:pPr>
          </w:p>
        </w:tc>
      </w:tr>
    </w:tbl>
    <w:p w14:paraId="152E4111">
      <w:pPr>
        <w:spacing w:before="312" w:beforeLines="100"/>
        <w:rPr>
          <w:rFonts w:ascii="Times New Roman" w:hAnsi="Times New Roman" w:eastAsia="仿宋_GB2312" w:cs="Times New Roman"/>
          <w:b/>
          <w:spacing w:val="-3"/>
          <w:sz w:val="24"/>
          <w:szCs w:val="24"/>
          <w:lang w:val="en-GB"/>
        </w:rPr>
      </w:pPr>
      <w:r>
        <w:rPr>
          <w:rFonts w:ascii="Times New Roman" w:hAnsi="Times New Roman" w:eastAsia="仿宋_GB2312" w:cs="Times New Roman"/>
          <w:b/>
          <w:spacing w:val="-3"/>
          <w:sz w:val="24"/>
          <w:szCs w:val="24"/>
          <w:lang w:val="en-GB"/>
        </w:rPr>
        <w:fldChar w:fldCharType="begin"/>
      </w:r>
      <w:r>
        <w:rPr>
          <w:rFonts w:ascii="Times New Roman" w:hAnsi="Times New Roman" w:eastAsia="仿宋_GB2312" w:cs="Times New Roman"/>
          <w:b/>
          <w:spacing w:val="-3"/>
          <w:sz w:val="24"/>
          <w:szCs w:val="24"/>
          <w:lang w:val="en-GB"/>
        </w:rPr>
        <w:instrText xml:space="preserve"> </w:instrText>
      </w:r>
      <w:r>
        <w:rPr>
          <w:rFonts w:hint="eastAsia" w:ascii="Times New Roman" w:hAnsi="Times New Roman" w:eastAsia="仿宋_GB2312" w:cs="Times New Roman"/>
          <w:b/>
          <w:spacing w:val="-3"/>
          <w:sz w:val="24"/>
          <w:szCs w:val="24"/>
          <w:lang w:val="en-GB"/>
        </w:rPr>
        <w:instrText xml:space="preserve">= 5 \* ROMAN</w:instrText>
      </w:r>
      <w:r>
        <w:rPr>
          <w:rFonts w:ascii="Times New Roman" w:hAnsi="Times New Roman" w:eastAsia="仿宋_GB2312" w:cs="Times New Roman"/>
          <w:b/>
          <w:spacing w:val="-3"/>
          <w:sz w:val="24"/>
          <w:szCs w:val="24"/>
          <w:lang w:val="en-GB"/>
        </w:rPr>
        <w:instrText xml:space="preserve"> </w:instrText>
      </w:r>
      <w:r>
        <w:rPr>
          <w:rFonts w:ascii="Times New Roman" w:hAnsi="Times New Roman" w:eastAsia="仿宋_GB2312" w:cs="Times New Roman"/>
          <w:b/>
          <w:spacing w:val="-3"/>
          <w:sz w:val="24"/>
          <w:szCs w:val="24"/>
          <w:lang w:val="en-GB"/>
        </w:rPr>
        <w:fldChar w:fldCharType="separate"/>
      </w:r>
      <w:r>
        <w:rPr>
          <w:rFonts w:ascii="Times New Roman" w:hAnsi="Times New Roman" w:eastAsia="仿宋_GB2312" w:cs="Times New Roman"/>
          <w:b/>
          <w:spacing w:val="-3"/>
          <w:sz w:val="24"/>
          <w:szCs w:val="24"/>
          <w:lang w:val="en-GB"/>
        </w:rPr>
        <w:t>V</w:t>
      </w:r>
      <w:r>
        <w:rPr>
          <w:rFonts w:ascii="Times New Roman" w:hAnsi="Times New Roman" w:eastAsia="仿宋_GB2312" w:cs="Times New Roman"/>
          <w:b/>
          <w:spacing w:val="-3"/>
          <w:sz w:val="24"/>
          <w:szCs w:val="24"/>
          <w:lang w:val="en-GB"/>
        </w:rPr>
        <w:fldChar w:fldCharType="end"/>
      </w:r>
      <w:r>
        <w:rPr>
          <w:rFonts w:ascii="Times New Roman" w:hAnsi="Times New Roman" w:eastAsia="仿宋_GB2312" w:cs="Times New Roman"/>
          <w:b/>
          <w:spacing w:val="-3"/>
          <w:sz w:val="24"/>
          <w:szCs w:val="24"/>
          <w:lang w:val="en-GB"/>
        </w:rPr>
        <w:t xml:space="preserve">. </w:t>
      </w:r>
      <w:r>
        <w:rPr>
          <w:rFonts w:hint="eastAsia" w:ascii="Times New Roman" w:hAnsi="Times New Roman" w:eastAsia="仿宋_GB2312" w:cs="Times New Roman"/>
          <w:b/>
          <w:spacing w:val="-3"/>
          <w:sz w:val="24"/>
          <w:szCs w:val="24"/>
          <w:lang w:val="en-GB"/>
        </w:rPr>
        <w:t xml:space="preserve">Teaching </w:t>
      </w:r>
      <w:r>
        <w:rPr>
          <w:rFonts w:ascii="Times New Roman" w:hAnsi="Times New Roman" w:eastAsia="仿宋_GB2312" w:cs="Times New Roman"/>
          <w:b/>
          <w:spacing w:val="-3"/>
          <w:sz w:val="24"/>
          <w:szCs w:val="24"/>
          <w:lang w:val="en-GB"/>
        </w:rPr>
        <w:t>M</w:t>
      </w:r>
      <w:r>
        <w:rPr>
          <w:rFonts w:hint="eastAsia" w:ascii="Times New Roman" w:hAnsi="Times New Roman" w:eastAsia="仿宋_GB2312" w:cs="Times New Roman"/>
          <w:b/>
          <w:spacing w:val="-3"/>
          <w:sz w:val="24"/>
          <w:szCs w:val="24"/>
          <w:lang w:val="en-GB"/>
        </w:rPr>
        <w:t>ethods</w:t>
      </w:r>
      <w:r>
        <w:t xml:space="preserve"> </w:t>
      </w:r>
      <w:r>
        <w:rPr>
          <w:rFonts w:ascii="Times New Roman" w:hAnsi="Times New Roman" w:eastAsia="仿宋_GB2312" w:cs="Times New Roman"/>
          <w:b/>
          <w:spacing w:val="-3"/>
          <w:sz w:val="24"/>
          <w:szCs w:val="24"/>
          <w:lang w:val="en-GB"/>
        </w:rPr>
        <w:t>Practice (method) Requirements</w:t>
      </w:r>
    </w:p>
    <w:p w14:paraId="2A82E57F">
      <w:pPr>
        <w:spacing w:before="156" w:beforeLines="50"/>
        <w:ind w:firstLine="420"/>
        <w:rPr>
          <w:rFonts w:ascii="Times New Roman" w:hAnsi="Times New Roman" w:eastAsia="仿宋_GB2312" w:cs="Times New Roman"/>
          <w:spacing w:val="-3"/>
          <w:szCs w:val="24"/>
          <w:lang w:val="en-GB"/>
        </w:rPr>
      </w:pPr>
      <w:r>
        <w:rPr>
          <w:rFonts w:ascii="Times New Roman" w:hAnsi="Times New Roman" w:eastAsia="仿宋_GB2312" w:cs="Times New Roman"/>
          <w:spacing w:val="-3"/>
          <w:szCs w:val="24"/>
          <w:lang w:val="en-GB"/>
        </w:rPr>
        <w:t>1. Practical activities are carried out in groups of about 8-12 people in each group.</w:t>
      </w:r>
    </w:p>
    <w:p w14:paraId="7AAAF513">
      <w:pPr>
        <w:spacing w:before="156" w:beforeLines="50"/>
        <w:ind w:firstLine="420"/>
        <w:rPr>
          <w:rFonts w:ascii="Times New Roman" w:hAnsi="Times New Roman" w:eastAsia="仿宋_GB2312" w:cs="Times New Roman"/>
          <w:spacing w:val="-3"/>
          <w:szCs w:val="24"/>
          <w:lang w:val="en-GB"/>
        </w:rPr>
      </w:pPr>
      <w:r>
        <w:rPr>
          <w:rFonts w:ascii="Times New Roman" w:hAnsi="Times New Roman" w:eastAsia="仿宋_GB2312" w:cs="Times New Roman"/>
          <w:spacing w:val="-3"/>
          <w:szCs w:val="24"/>
          <w:lang w:val="en-GB"/>
        </w:rPr>
        <w:t>2. After the practice activities, each group shall submit a practice report with a content of no less than 4000 words.</w:t>
      </w:r>
    </w:p>
    <w:p w14:paraId="0B88E619">
      <w:pPr>
        <w:spacing w:before="156" w:beforeLines="50" w:line="360" w:lineRule="auto"/>
        <w:rPr>
          <w:rFonts w:ascii="Times New Roman" w:hAnsi="Times New Roman" w:eastAsia="仿宋" w:cs="Times New Roman"/>
          <w:color w:val="FF0000"/>
          <w:szCs w:val="21"/>
        </w:rPr>
      </w:pPr>
      <w:r>
        <w:rPr>
          <w:rFonts w:ascii="Times New Roman" w:hAnsi="Times New Roman" w:eastAsia="仿宋_GB2312" w:cs="Times New Roman"/>
          <w:b/>
          <w:spacing w:val="-3"/>
          <w:sz w:val="24"/>
          <w:szCs w:val="24"/>
          <w:lang w:val="en-GB"/>
        </w:rPr>
        <w:fldChar w:fldCharType="begin"/>
      </w:r>
      <w:r>
        <w:rPr>
          <w:rFonts w:ascii="Times New Roman" w:hAnsi="Times New Roman" w:eastAsia="仿宋_GB2312" w:cs="Times New Roman"/>
          <w:b/>
          <w:spacing w:val="-3"/>
          <w:sz w:val="24"/>
          <w:szCs w:val="24"/>
          <w:lang w:val="en-GB"/>
        </w:rPr>
        <w:instrText xml:space="preserve"> </w:instrText>
      </w:r>
      <w:r>
        <w:rPr>
          <w:rFonts w:hint="eastAsia" w:ascii="Times New Roman" w:hAnsi="Times New Roman" w:eastAsia="仿宋_GB2312" w:cs="Times New Roman"/>
          <w:b/>
          <w:spacing w:val="-3"/>
          <w:sz w:val="24"/>
          <w:szCs w:val="24"/>
          <w:lang w:val="en-GB"/>
        </w:rPr>
        <w:instrText xml:space="preserve">= 6 \* ROMAN</w:instrText>
      </w:r>
      <w:r>
        <w:rPr>
          <w:rFonts w:ascii="Times New Roman" w:hAnsi="Times New Roman" w:eastAsia="仿宋_GB2312" w:cs="Times New Roman"/>
          <w:b/>
          <w:spacing w:val="-3"/>
          <w:sz w:val="24"/>
          <w:szCs w:val="24"/>
          <w:lang w:val="en-GB"/>
        </w:rPr>
        <w:instrText xml:space="preserve"> </w:instrText>
      </w:r>
      <w:r>
        <w:rPr>
          <w:rFonts w:ascii="Times New Roman" w:hAnsi="Times New Roman" w:eastAsia="仿宋_GB2312" w:cs="Times New Roman"/>
          <w:b/>
          <w:spacing w:val="-3"/>
          <w:sz w:val="24"/>
          <w:szCs w:val="24"/>
          <w:lang w:val="en-GB"/>
        </w:rPr>
        <w:fldChar w:fldCharType="separate"/>
      </w:r>
      <w:r>
        <w:rPr>
          <w:rFonts w:ascii="Times New Roman" w:hAnsi="Times New Roman" w:eastAsia="仿宋_GB2312" w:cs="Times New Roman"/>
          <w:b/>
          <w:spacing w:val="-3"/>
          <w:sz w:val="24"/>
          <w:szCs w:val="24"/>
          <w:lang w:val="en-GB"/>
        </w:rPr>
        <w:t>VI</w:t>
      </w:r>
      <w:r>
        <w:rPr>
          <w:rFonts w:ascii="Times New Roman" w:hAnsi="Times New Roman" w:eastAsia="仿宋_GB2312" w:cs="Times New Roman"/>
          <w:b/>
          <w:spacing w:val="-3"/>
          <w:sz w:val="24"/>
          <w:szCs w:val="24"/>
          <w:lang w:val="en-GB"/>
        </w:rPr>
        <w:fldChar w:fldCharType="end"/>
      </w:r>
      <w:r>
        <w:rPr>
          <w:rFonts w:ascii="Times New Roman" w:hAnsi="Times New Roman" w:eastAsia="仿宋_GB2312" w:cs="Times New Roman"/>
          <w:b/>
          <w:spacing w:val="-3"/>
          <w:sz w:val="24"/>
          <w:szCs w:val="24"/>
          <w:lang w:val="en-GB"/>
        </w:rPr>
        <w:t>. Assessment Method</w:t>
      </w:r>
      <w:r>
        <w:t xml:space="preserve"> </w:t>
      </w:r>
    </w:p>
    <w:tbl>
      <w:tblPr>
        <w:tblStyle w:val="5"/>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4248"/>
        <w:gridCol w:w="4048"/>
      </w:tblGrid>
      <w:tr w14:paraId="0078207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42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DEFFADE">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仿宋" w:hAnsi="仿宋" w:eastAsia="仿宋" w:cs="Calibri"/>
                <w:color w:val="000000" w:themeColor="text1"/>
                <w:kern w:val="0"/>
                <w:sz w:val="24"/>
                <w:szCs w:val="28"/>
                <w14:textFill>
                  <w14:solidFill>
                    <w14:schemeClr w14:val="tx1"/>
                  </w14:solidFill>
                </w14:textFill>
              </w:rPr>
              <w:t>Whether to schedule the test</w:t>
            </w:r>
          </w:p>
        </w:tc>
        <w:tc>
          <w:tcPr>
            <w:tcW w:w="404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A77C974">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hint="eastAsia" w:ascii="inherit" w:hAnsi="inherit" w:eastAsia="宋体" w:cs="Times New Roman"/>
                <w:color w:val="000000" w:themeColor="text1"/>
                <w:kern w:val="0"/>
                <w:sz w:val="24"/>
                <w:szCs w:val="20"/>
                <w14:textFill>
                  <w14:solidFill>
                    <w14:schemeClr w14:val="tx1"/>
                  </w14:solidFill>
                </w14:textFill>
              </w:rPr>
              <w:t xml:space="preserve">No </w:t>
            </w:r>
          </w:p>
        </w:tc>
      </w:tr>
      <w:tr w14:paraId="06CBAC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247" w:hRule="atLeast"/>
        </w:trPr>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B8226FC">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仿宋" w:hAnsi="仿宋" w:eastAsia="仿宋" w:cs="Calibri"/>
                <w:color w:val="000000" w:themeColor="text1"/>
                <w:kern w:val="0"/>
                <w:sz w:val="24"/>
                <w:szCs w:val="28"/>
                <w14:textFill>
                  <w14:solidFill>
                    <w14:schemeClr w14:val="tx1"/>
                  </w14:solidFill>
                </w14:textFill>
              </w:rPr>
              <w:t>Assessment form report</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6B1E5C66">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Report</w:t>
            </w:r>
          </w:p>
        </w:tc>
      </w:tr>
      <w:tr w14:paraId="7AFBD9C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4E9276A8">
            <w:pPr>
              <w:widowControl/>
              <w:spacing w:line="300" w:lineRule="atLeast"/>
              <w:jc w:val="center"/>
              <w:rPr>
                <w:rFonts w:ascii="仿宋" w:hAnsi="仿宋" w:eastAsia="仿宋" w:cs="Calibri"/>
                <w:color w:val="000000" w:themeColor="text1"/>
                <w:kern w:val="0"/>
                <w:sz w:val="24"/>
                <w:szCs w:val="28"/>
                <w14:textFill>
                  <w14:solidFill>
                    <w14:schemeClr w14:val="tx1"/>
                  </w14:solidFill>
                </w14:textFill>
              </w:rPr>
            </w:pPr>
            <w:r>
              <w:rPr>
                <w:rFonts w:ascii="仿宋" w:hAnsi="仿宋" w:eastAsia="仿宋" w:cs="Calibri"/>
                <w:color w:val="000000" w:themeColor="text1"/>
                <w:kern w:val="0"/>
                <w:sz w:val="24"/>
                <w:szCs w:val="28"/>
                <w14:textFill>
                  <w14:solidFill>
                    <w14:schemeClr w14:val="tx1"/>
                  </w14:solidFill>
                </w14:textFill>
              </w:rPr>
              <w:t>Grade assessment method</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63DEF221">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Two-tier system</w:t>
            </w:r>
          </w:p>
        </w:tc>
      </w:tr>
      <w:tr w14:paraId="5FFD89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2ADF199D">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仿宋" w:hAnsi="仿宋" w:eastAsia="仿宋" w:cs="Calibri"/>
                <w:color w:val="000000" w:themeColor="text1"/>
                <w:kern w:val="0"/>
                <w:sz w:val="24"/>
                <w:szCs w:val="28"/>
                <w14:textFill>
                  <w14:solidFill>
                    <w14:schemeClr w14:val="tx1"/>
                  </w14:solidFill>
                </w14:textFill>
              </w:rPr>
              <w:t>Process score</w:t>
            </w:r>
            <w:r>
              <w:rPr>
                <w:rFonts w:hint="eastAsia" w:ascii="仿宋" w:hAnsi="仿宋" w:eastAsia="仿宋" w:cs="Calibri"/>
                <w:color w:val="000000" w:themeColor="text1"/>
                <w:kern w:val="0"/>
                <w:sz w:val="24"/>
                <w:szCs w:val="28"/>
                <w14:textFill>
                  <w14:solidFill>
                    <w14:schemeClr w14:val="tx1"/>
                  </w14:solidFill>
                </w14:textFill>
              </w:rPr>
              <w:t xml:space="preserve"> /%</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4BE65FFF">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0</w:t>
            </w:r>
          </w:p>
        </w:tc>
      </w:tr>
      <w:tr w14:paraId="6D7202D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C9CB1AD">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仿宋" w:hAnsi="仿宋" w:eastAsia="仿宋" w:cs="Calibri"/>
                <w:color w:val="000000" w:themeColor="text1"/>
                <w:kern w:val="0"/>
                <w:sz w:val="24"/>
                <w:szCs w:val="28"/>
                <w14:textFill>
                  <w14:solidFill>
                    <w14:schemeClr w14:val="tx1"/>
                  </w14:solidFill>
                </w14:textFill>
              </w:rPr>
              <w:t>Experimental performance</w:t>
            </w:r>
            <w:r>
              <w:rPr>
                <w:rFonts w:hint="eastAsia" w:ascii="仿宋" w:hAnsi="仿宋" w:eastAsia="仿宋" w:cs="Calibri"/>
                <w:color w:val="000000" w:themeColor="text1"/>
                <w:kern w:val="0"/>
                <w:sz w:val="24"/>
                <w:szCs w:val="28"/>
                <w14:textFill>
                  <w14:solidFill>
                    <w14:schemeClr w14:val="tx1"/>
                  </w14:solidFill>
                </w14:textFill>
              </w:rPr>
              <w:t xml:space="preserve"> /%</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42590DC4">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 0</w:t>
            </w:r>
          </w:p>
        </w:tc>
      </w:tr>
      <w:tr w14:paraId="645C7AF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FFFFFF"/>
          <w:tblCellMar>
            <w:top w:w="15" w:type="dxa"/>
            <w:left w:w="15" w:type="dxa"/>
            <w:bottom w:w="15" w:type="dxa"/>
            <w:right w:w="15" w:type="dxa"/>
          </w:tblCellMar>
        </w:tblPrEx>
        <w:trPr>
          <w:trHeight w:val="345" w:hRule="atLeast"/>
        </w:trPr>
        <w:tc>
          <w:tcPr>
            <w:tcW w:w="42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49E344B3">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仿宋" w:hAnsi="仿宋" w:eastAsia="仿宋" w:cs="Calibri"/>
                <w:color w:val="000000" w:themeColor="text1"/>
                <w:kern w:val="0"/>
                <w:sz w:val="24"/>
                <w:szCs w:val="28"/>
                <w14:textFill>
                  <w14:solidFill>
                    <w14:schemeClr w14:val="tx1"/>
                  </w14:solidFill>
                </w14:textFill>
              </w:rPr>
              <w:t>Final exam results</w:t>
            </w:r>
            <w:r>
              <w:rPr>
                <w:rFonts w:hint="eastAsia" w:ascii="仿宋" w:hAnsi="仿宋" w:eastAsia="仿宋" w:cs="Calibri"/>
                <w:color w:val="000000" w:themeColor="text1"/>
                <w:kern w:val="0"/>
                <w:sz w:val="24"/>
                <w:szCs w:val="28"/>
                <w14:textFill>
                  <w14:solidFill>
                    <w14:schemeClr w14:val="tx1"/>
                  </w14:solidFill>
                </w14:textFill>
              </w:rPr>
              <w:t xml:space="preserve"> /%</w:t>
            </w:r>
          </w:p>
        </w:tc>
        <w:tc>
          <w:tcPr>
            <w:tcW w:w="404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2ECF5E2C">
            <w:pPr>
              <w:widowControl/>
              <w:spacing w:line="300" w:lineRule="atLeast"/>
              <w:jc w:val="center"/>
              <w:rPr>
                <w:rFonts w:hint="eastAsia" w:ascii="inherit" w:hAnsi="inherit" w:eastAsia="宋体" w:cs="Times New Roman"/>
                <w:color w:val="000000" w:themeColor="text1"/>
                <w:kern w:val="0"/>
                <w:sz w:val="24"/>
                <w:szCs w:val="20"/>
                <w14:textFill>
                  <w14:solidFill>
                    <w14:schemeClr w14:val="tx1"/>
                  </w14:solidFill>
                </w14:textFill>
              </w:rPr>
            </w:pPr>
            <w:r>
              <w:rPr>
                <w:rFonts w:ascii="inherit" w:hAnsi="inherit" w:eastAsia="宋体" w:cs="Times New Roman"/>
                <w:color w:val="000000" w:themeColor="text1"/>
                <w:kern w:val="0"/>
                <w:sz w:val="24"/>
                <w:szCs w:val="20"/>
                <w14:textFill>
                  <w14:solidFill>
                    <w14:schemeClr w14:val="tx1"/>
                  </w14:solidFill>
                </w14:textFill>
              </w:rPr>
              <w:t>100% </w:t>
            </w:r>
          </w:p>
        </w:tc>
      </w:tr>
    </w:tbl>
    <w:p w14:paraId="4AE69D1D">
      <w:pPr>
        <w:spacing w:before="156" w:beforeLines="50" w:line="360" w:lineRule="auto"/>
        <w:rPr>
          <w:rFonts w:ascii="Times New Roman" w:hAnsi="Times New Roman" w:eastAsia="仿宋_GB2312" w:cs="Times New Roman"/>
          <w:b/>
          <w:spacing w:val="-3"/>
          <w:sz w:val="24"/>
          <w:szCs w:val="24"/>
          <w:lang w:val="en-GB"/>
        </w:rPr>
      </w:pPr>
      <w:r>
        <w:rPr>
          <w:rFonts w:ascii="Times New Roman" w:hAnsi="Times New Roman" w:eastAsia="仿宋_GB2312" w:cs="Times New Roman"/>
          <w:b/>
          <w:spacing w:val="-3"/>
          <w:sz w:val="24"/>
          <w:szCs w:val="24"/>
          <w:lang w:val="en-GB"/>
        </w:rPr>
        <w:fldChar w:fldCharType="begin"/>
      </w:r>
      <w:r>
        <w:rPr>
          <w:rFonts w:ascii="Times New Roman" w:hAnsi="Times New Roman" w:eastAsia="仿宋_GB2312" w:cs="Times New Roman"/>
          <w:b/>
          <w:spacing w:val="-3"/>
          <w:sz w:val="24"/>
          <w:szCs w:val="24"/>
          <w:lang w:val="en-GB"/>
        </w:rPr>
        <w:instrText xml:space="preserve"> </w:instrText>
      </w:r>
      <w:r>
        <w:rPr>
          <w:rFonts w:hint="eastAsia" w:ascii="Times New Roman" w:hAnsi="Times New Roman" w:eastAsia="仿宋_GB2312" w:cs="Times New Roman"/>
          <w:b/>
          <w:spacing w:val="-3"/>
          <w:sz w:val="24"/>
          <w:szCs w:val="24"/>
          <w:lang w:val="en-GB"/>
        </w:rPr>
        <w:instrText xml:space="preserve">= 6 \* ROMAN</w:instrText>
      </w:r>
      <w:r>
        <w:rPr>
          <w:rFonts w:ascii="Times New Roman" w:hAnsi="Times New Roman" w:eastAsia="仿宋_GB2312" w:cs="Times New Roman"/>
          <w:b/>
          <w:spacing w:val="-3"/>
          <w:sz w:val="24"/>
          <w:szCs w:val="24"/>
          <w:lang w:val="en-GB"/>
        </w:rPr>
        <w:instrText xml:space="preserve"> </w:instrText>
      </w:r>
      <w:r>
        <w:rPr>
          <w:rFonts w:ascii="Times New Roman" w:hAnsi="Times New Roman" w:eastAsia="仿宋_GB2312" w:cs="Times New Roman"/>
          <w:b/>
          <w:spacing w:val="-3"/>
          <w:sz w:val="24"/>
          <w:szCs w:val="24"/>
          <w:lang w:val="en-GB"/>
        </w:rPr>
        <w:fldChar w:fldCharType="separate"/>
      </w:r>
      <w:r>
        <w:rPr>
          <w:rFonts w:ascii="Times New Roman" w:hAnsi="Times New Roman" w:eastAsia="仿宋_GB2312" w:cs="Times New Roman"/>
          <w:b/>
          <w:spacing w:val="-3"/>
          <w:sz w:val="24"/>
          <w:szCs w:val="24"/>
          <w:lang w:val="en-GB"/>
        </w:rPr>
        <w:fldChar w:fldCharType="begin"/>
      </w:r>
      <w:r>
        <w:rPr>
          <w:rFonts w:ascii="Times New Roman" w:hAnsi="Times New Roman" w:eastAsia="仿宋_GB2312" w:cs="Times New Roman"/>
          <w:b/>
          <w:spacing w:val="-3"/>
          <w:sz w:val="24"/>
          <w:szCs w:val="24"/>
          <w:lang w:val="en-GB"/>
        </w:rPr>
        <w:instrText xml:space="preserve"> </w:instrText>
      </w:r>
      <w:r>
        <w:rPr>
          <w:rFonts w:hint="eastAsia" w:ascii="Times New Roman" w:hAnsi="Times New Roman" w:eastAsia="仿宋_GB2312" w:cs="Times New Roman"/>
          <w:b/>
          <w:spacing w:val="-3"/>
          <w:sz w:val="24"/>
          <w:szCs w:val="24"/>
          <w:lang w:val="en-GB"/>
        </w:rPr>
        <w:instrText xml:space="preserve">= 7 \* ROMAN</w:instrText>
      </w:r>
      <w:r>
        <w:rPr>
          <w:rFonts w:ascii="Times New Roman" w:hAnsi="Times New Roman" w:eastAsia="仿宋_GB2312" w:cs="Times New Roman"/>
          <w:b/>
          <w:spacing w:val="-3"/>
          <w:sz w:val="24"/>
          <w:szCs w:val="24"/>
          <w:lang w:val="en-GB"/>
        </w:rPr>
        <w:instrText xml:space="preserve"> </w:instrText>
      </w:r>
      <w:r>
        <w:rPr>
          <w:rFonts w:ascii="Times New Roman" w:hAnsi="Times New Roman" w:eastAsia="仿宋_GB2312" w:cs="Times New Roman"/>
          <w:b/>
          <w:spacing w:val="-3"/>
          <w:sz w:val="24"/>
          <w:szCs w:val="24"/>
          <w:lang w:val="en-GB"/>
        </w:rPr>
        <w:fldChar w:fldCharType="separate"/>
      </w:r>
      <w:r>
        <w:rPr>
          <w:rFonts w:ascii="Times New Roman" w:hAnsi="Times New Roman" w:eastAsia="仿宋_GB2312" w:cs="Times New Roman"/>
          <w:b/>
          <w:spacing w:val="-3"/>
          <w:sz w:val="24"/>
          <w:szCs w:val="24"/>
          <w:lang w:val="en-GB"/>
        </w:rPr>
        <w:t>VII</w:t>
      </w:r>
      <w:r>
        <w:rPr>
          <w:rFonts w:ascii="Times New Roman" w:hAnsi="Times New Roman" w:eastAsia="仿宋_GB2312" w:cs="Times New Roman"/>
          <w:b/>
          <w:spacing w:val="-3"/>
          <w:sz w:val="24"/>
          <w:szCs w:val="24"/>
          <w:lang w:val="en-GB"/>
        </w:rPr>
        <w:fldChar w:fldCharType="end"/>
      </w:r>
      <w:r>
        <w:rPr>
          <w:rFonts w:ascii="Times New Roman" w:hAnsi="Times New Roman" w:eastAsia="仿宋_GB2312" w:cs="Times New Roman"/>
          <w:b/>
          <w:spacing w:val="-3"/>
          <w:sz w:val="24"/>
          <w:szCs w:val="24"/>
          <w:lang w:val="en-GB"/>
        </w:rPr>
        <w:fldChar w:fldCharType="end"/>
      </w:r>
      <w:r>
        <w:rPr>
          <w:rFonts w:ascii="Times New Roman" w:hAnsi="Times New Roman" w:eastAsia="仿宋_GB2312" w:cs="Times New Roman"/>
          <w:b/>
          <w:spacing w:val="-3"/>
          <w:sz w:val="24"/>
          <w:szCs w:val="24"/>
          <w:lang w:val="en-GB"/>
        </w:rPr>
        <w:t>. Teaching materials and reference books</w:t>
      </w:r>
    </w:p>
    <w:p w14:paraId="0C2648A4">
      <w:pPr>
        <w:spacing w:before="156" w:beforeLines="50" w:line="360" w:lineRule="auto"/>
        <w:rPr>
          <w:rFonts w:ascii="Times New Roman" w:hAnsi="Times New Roman" w:eastAsia="仿宋_GB2312" w:cs="Times New Roman"/>
          <w:b/>
          <w:spacing w:val="-3"/>
          <w:sz w:val="24"/>
          <w:szCs w:val="24"/>
        </w:rPr>
      </w:pPr>
      <w:r>
        <w:rPr>
          <w:rFonts w:ascii="Times New Roman" w:hAnsi="Times New Roman" w:eastAsia="仿宋_GB2312" w:cs="Times New Roman"/>
          <w:b/>
          <w:spacing w:val="-3"/>
          <w:sz w:val="24"/>
          <w:szCs w:val="24"/>
        </w:rPr>
        <w:t>(I) Teaching materials</w:t>
      </w:r>
    </w:p>
    <w:p w14:paraId="33BD6CA8">
      <w:pPr>
        <w:spacing w:before="156" w:beforeLines="50" w:line="360" w:lineRule="auto"/>
        <w:rPr>
          <w:rFonts w:ascii="Times New Roman" w:hAnsi="Times New Roman" w:eastAsia="仿宋_GB2312" w:cs="Times New Roman"/>
          <w:i/>
          <w:spacing w:val="-3"/>
          <w:szCs w:val="21"/>
        </w:rPr>
      </w:pPr>
      <w:r>
        <w:rPr>
          <w:rFonts w:ascii="Times New Roman" w:hAnsi="Times New Roman" w:eastAsia="仿宋_GB2312" w:cs="Times New Roman"/>
          <w:i/>
          <w:spacing w:val="-3"/>
          <w:szCs w:val="21"/>
        </w:rPr>
        <w:t xml:space="preserve">Morality and the Rule of Law (2023 edition), Higher Education Press, 2023 edition, ISBN: 9787040599022 </w:t>
      </w:r>
    </w:p>
    <w:p w14:paraId="04FE41E6">
      <w:pPr>
        <w:spacing w:before="156" w:beforeLines="50" w:line="360" w:lineRule="auto"/>
        <w:rPr>
          <w:rFonts w:ascii="Times New Roman" w:hAnsi="Times New Roman" w:eastAsia="仿宋_GB2312" w:cs="Times New Roman"/>
          <w:b/>
          <w:spacing w:val="-3"/>
          <w:sz w:val="24"/>
          <w:szCs w:val="24"/>
        </w:rPr>
      </w:pPr>
      <w:r>
        <w:rPr>
          <w:rFonts w:ascii="Times New Roman" w:hAnsi="Times New Roman" w:eastAsia="仿宋_GB2312" w:cs="Times New Roman"/>
          <w:b/>
          <w:spacing w:val="-3"/>
          <w:sz w:val="24"/>
          <w:szCs w:val="24"/>
        </w:rPr>
        <w:t>(II) Bibliography or literature</w:t>
      </w:r>
    </w:p>
    <w:p w14:paraId="2932D85E">
      <w:pPr>
        <w:rPr>
          <w:rFonts w:ascii="Times New Roman" w:hAnsi="Times New Roman" w:eastAsia="仿宋_GB2312" w:cs="Times New Roman"/>
          <w:spacing w:val="-3"/>
          <w:szCs w:val="24"/>
        </w:rPr>
      </w:pPr>
      <w:r>
        <w:rPr>
          <w:rFonts w:ascii="Times New Roman" w:hAnsi="Times New Roman" w:eastAsia="仿宋_GB2312" w:cs="Times New Roman"/>
          <w:spacing w:val="-3"/>
          <w:szCs w:val="24"/>
        </w:rPr>
        <w:t xml:space="preserve">[1]. </w:t>
      </w:r>
      <w:r>
        <w:rPr>
          <w:rFonts w:ascii="Times New Roman" w:hAnsi="Times New Roman" w:eastAsia="仿宋_GB2312" w:cs="Times New Roman"/>
          <w:i/>
          <w:spacing w:val="-3"/>
          <w:szCs w:val="24"/>
        </w:rPr>
        <w:t>The study reader of socialist core value system</w:t>
      </w:r>
      <w:r>
        <w:rPr>
          <w:rFonts w:ascii="Times New Roman" w:hAnsi="Times New Roman" w:eastAsia="仿宋_GB2312" w:cs="Times New Roman"/>
          <w:spacing w:val="-3"/>
          <w:szCs w:val="24"/>
        </w:rPr>
        <w:t xml:space="preserve">, the compilation group of this book, learning press, 2009, 1st edition. </w:t>
      </w:r>
      <w:r>
        <w:rPr>
          <w:rFonts w:hint="eastAsia" w:ascii="Times New Roman" w:hAnsi="Times New Roman" w:eastAsia="仿宋_GB2312" w:cs="Times New Roman"/>
          <w:spacing w:val="-3"/>
          <w:szCs w:val="24"/>
        </w:rPr>
        <w:t>ISBN：9787503543432</w:t>
      </w:r>
    </w:p>
    <w:p w14:paraId="1EA35063">
      <w:pPr>
        <w:spacing w:before="156" w:beforeLines="50"/>
        <w:rPr>
          <w:rFonts w:ascii="Times New Roman" w:hAnsi="Times New Roman" w:eastAsia="仿宋_GB2312" w:cs="Times New Roman"/>
          <w:spacing w:val="-3"/>
          <w:szCs w:val="24"/>
        </w:rPr>
      </w:pPr>
      <w:r>
        <w:rPr>
          <w:rFonts w:ascii="Times New Roman" w:hAnsi="Times New Roman" w:eastAsia="仿宋_GB2312" w:cs="Times New Roman"/>
          <w:spacing w:val="-3"/>
          <w:szCs w:val="24"/>
        </w:rPr>
        <w:t xml:space="preserve">[2]. </w:t>
      </w:r>
      <w:r>
        <w:rPr>
          <w:rFonts w:ascii="Times New Roman" w:hAnsi="Times New Roman" w:eastAsia="仿宋_GB2312" w:cs="Times New Roman"/>
          <w:i/>
          <w:spacing w:val="-3"/>
          <w:szCs w:val="24"/>
        </w:rPr>
        <w:t>The construction of China's legal system</w:t>
      </w:r>
      <w:r>
        <w:rPr>
          <w:rFonts w:ascii="Times New Roman" w:hAnsi="Times New Roman" w:eastAsia="仿宋_GB2312" w:cs="Times New Roman"/>
          <w:spacing w:val="-3"/>
          <w:szCs w:val="24"/>
        </w:rPr>
        <w:t xml:space="preserve">, the compilation of this book, foreign language publishing house, 2008, 1st edition. </w:t>
      </w:r>
      <w:r>
        <w:rPr>
          <w:rFonts w:hint="eastAsia" w:ascii="Times New Roman" w:hAnsi="Times New Roman" w:eastAsia="仿宋_GB2312" w:cs="Times New Roman"/>
          <w:spacing w:val="-3"/>
          <w:szCs w:val="24"/>
        </w:rPr>
        <w:t>ISBN：9787119052885</w:t>
      </w:r>
    </w:p>
    <w:p w14:paraId="7A4FAF51">
      <w:pPr>
        <w:ind w:firstLine="4252" w:firstLineChars="2025"/>
        <w:rPr>
          <w:rFonts w:ascii="Times New Roman" w:hAnsi="Times New Roman" w:cs="Times New Roman"/>
          <w:color w:val="000000"/>
        </w:rPr>
      </w:pPr>
      <w:r>
        <w:rPr>
          <w:rFonts w:ascii="Times New Roman" w:hAnsi="Times New Roman" w:cs="Times New Roman"/>
          <w:color w:val="000000"/>
        </w:rPr>
        <w:t>Prepared by: (Course leader) Zhao Hongju</w:t>
      </w:r>
    </w:p>
    <w:p w14:paraId="5E05AFF5">
      <w:pPr>
        <w:ind w:firstLine="4252" w:firstLineChars="2025"/>
        <w:rPr>
          <w:rFonts w:ascii="Times New Roman" w:hAnsi="Times New Roman" w:cs="Times New Roman"/>
          <w:color w:val="000000"/>
        </w:rPr>
      </w:pPr>
      <w:r>
        <w:rPr>
          <w:rFonts w:ascii="Times New Roman" w:hAnsi="Times New Roman" w:cs="Times New Roman"/>
          <w:color w:val="000000"/>
        </w:rPr>
        <w:t>Reviewed by: (Head of department) C</w:t>
      </w:r>
      <w:r>
        <w:rPr>
          <w:rFonts w:hint="eastAsia" w:ascii="Times New Roman" w:hAnsi="Times New Roman" w:cs="Times New Roman"/>
          <w:color w:val="000000"/>
        </w:rPr>
        <w:t>hao</w:t>
      </w:r>
      <w:r>
        <w:rPr>
          <w:rFonts w:ascii="Times New Roman" w:hAnsi="Times New Roman" w:cs="Times New Roman"/>
          <w:color w:val="000000"/>
        </w:rPr>
        <w:t xml:space="preserve"> N</w:t>
      </w:r>
      <w:r>
        <w:rPr>
          <w:rFonts w:hint="eastAsia" w:ascii="Times New Roman" w:hAnsi="Times New Roman" w:cs="Times New Roman"/>
          <w:color w:val="000000"/>
        </w:rPr>
        <w:t>ana</w:t>
      </w:r>
    </w:p>
    <w:p w14:paraId="1B3C3BD3">
      <w:pPr>
        <w:ind w:firstLine="4252" w:firstLineChars="2025"/>
        <w:rPr>
          <w:rFonts w:hint="eastAsia" w:ascii="黑体" w:hAnsi="黑体" w:eastAsiaTheme="minorEastAsia"/>
          <w:szCs w:val="21"/>
          <w:lang w:val="en-US" w:eastAsia="zh-CN"/>
        </w:rPr>
      </w:pPr>
      <w:r>
        <w:rPr>
          <w:rFonts w:ascii="Times New Roman" w:hAnsi="Times New Roman" w:cs="Times New Roman"/>
          <w:color w:val="000000"/>
        </w:rPr>
        <w:t xml:space="preserve">Preparation (Revision) time: </w:t>
      </w:r>
      <w:r>
        <w:rPr>
          <w:rFonts w:ascii="Times New Roman" w:hAnsi="Times New Roman" w:cs="Times New Roman"/>
          <w:color w:val="000000"/>
          <w:szCs w:val="36"/>
        </w:rPr>
        <w:t>September</w:t>
      </w:r>
      <w:r>
        <w:rPr>
          <w:rFonts w:ascii="Times New Roman" w:hAnsi="Times New Roman" w:cs="Times New Roman"/>
          <w:color w:val="000000"/>
          <w:sz w:val="13"/>
        </w:rPr>
        <w:t xml:space="preserve"> </w:t>
      </w:r>
      <w:r>
        <w:rPr>
          <w:rFonts w:ascii="Times New Roman" w:hAnsi="Times New Roman" w:cs="Times New Roman"/>
          <w:color w:val="000000"/>
        </w:rPr>
        <w:t>202</w:t>
      </w:r>
      <w:r>
        <w:rPr>
          <w:rFonts w:hint="eastAsia" w:ascii="Times New Roman" w:hAnsi="Times New Roman" w:cs="Times New Roman"/>
          <w:color w:val="000000"/>
          <w:lang w:val="en-US" w:eastAsia="zh-CN"/>
        </w:rPr>
        <w:t>4</w:t>
      </w:r>
      <w:bookmarkStart w:id="4" w:name="_GoBack"/>
      <w:bookmarkEnd w:id="4"/>
    </w:p>
    <w:p w14:paraId="486B9759">
      <w:pPr>
        <w:widowControl/>
        <w:jc w:val="left"/>
        <w:rPr>
          <w:rFonts w:ascii="仿宋" w:hAnsi="仿宋" w:eastAsia="仿宋"/>
          <w:color w:val="000000" w:themeColor="text1"/>
          <w:szCs w:val="21"/>
          <w14:textFill>
            <w14:solidFill>
              <w14:schemeClr w14:val="tx1"/>
            </w14:solidFill>
          </w14:textFill>
        </w:rPr>
      </w:pPr>
    </w:p>
    <w:p w14:paraId="4A43ED50">
      <w:pPr>
        <w:widowControl/>
        <w:jc w:val="left"/>
        <w:rPr>
          <w:rFonts w:hint="eastAsia" w:ascii="仿宋" w:hAnsi="仿宋" w:eastAsia="仿宋"/>
          <w:color w:val="000000" w:themeColor="text1"/>
          <w:szCs w:val="21"/>
          <w14:textFill>
            <w14:solidFill>
              <w14:schemeClr w14:val="tx1"/>
            </w14:solidFill>
          </w14:textFill>
        </w:rPr>
      </w:pPr>
    </w:p>
    <w:p w14:paraId="50891ABB">
      <w:pPr>
        <w:widowControl/>
        <w:jc w:val="left"/>
        <w:rPr>
          <w:rFonts w:hint="eastAsia" w:ascii="仿宋" w:hAnsi="仿宋" w:eastAsia="仿宋"/>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inherit">
    <w:altName w:val="Cambria"/>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A70FAC"/>
    <w:multiLevelType w:val="multilevel"/>
    <w:tmpl w:val="52A70FAC"/>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jNGY2NGRkMWViYjU5M2JjMzEyYWU0ODA0ZWRkNDUifQ=="/>
  </w:docVars>
  <w:rsids>
    <w:rsidRoot w:val="00BC67B7"/>
    <w:rsid w:val="00000047"/>
    <w:rsid w:val="000012F6"/>
    <w:rsid w:val="00013C9C"/>
    <w:rsid w:val="0002163E"/>
    <w:rsid w:val="000225C6"/>
    <w:rsid w:val="00024024"/>
    <w:rsid w:val="00063270"/>
    <w:rsid w:val="000935D8"/>
    <w:rsid w:val="00095535"/>
    <w:rsid w:val="00097821"/>
    <w:rsid w:val="000A206D"/>
    <w:rsid w:val="000A6985"/>
    <w:rsid w:val="000A77A5"/>
    <w:rsid w:val="000B586C"/>
    <w:rsid w:val="000C2407"/>
    <w:rsid w:val="000D4B75"/>
    <w:rsid w:val="000F1964"/>
    <w:rsid w:val="000F3B78"/>
    <w:rsid w:val="00120828"/>
    <w:rsid w:val="0012261C"/>
    <w:rsid w:val="00135B87"/>
    <w:rsid w:val="00152FF0"/>
    <w:rsid w:val="00157375"/>
    <w:rsid w:val="00160F94"/>
    <w:rsid w:val="00164A0A"/>
    <w:rsid w:val="001753DB"/>
    <w:rsid w:val="00191AC2"/>
    <w:rsid w:val="001C3E45"/>
    <w:rsid w:val="001C7304"/>
    <w:rsid w:val="001C7E55"/>
    <w:rsid w:val="001D1904"/>
    <w:rsid w:val="001D6AC8"/>
    <w:rsid w:val="001E1D14"/>
    <w:rsid w:val="001E7080"/>
    <w:rsid w:val="00213E0A"/>
    <w:rsid w:val="00224CDE"/>
    <w:rsid w:val="00232C11"/>
    <w:rsid w:val="00232D6E"/>
    <w:rsid w:val="002342D8"/>
    <w:rsid w:val="002376A3"/>
    <w:rsid w:val="0024262F"/>
    <w:rsid w:val="002626E5"/>
    <w:rsid w:val="0028273B"/>
    <w:rsid w:val="002A3A8F"/>
    <w:rsid w:val="002A408B"/>
    <w:rsid w:val="002B076F"/>
    <w:rsid w:val="002D1F83"/>
    <w:rsid w:val="002F257A"/>
    <w:rsid w:val="002F3F12"/>
    <w:rsid w:val="002F7478"/>
    <w:rsid w:val="00301FA0"/>
    <w:rsid w:val="003066C2"/>
    <w:rsid w:val="00312ED9"/>
    <w:rsid w:val="00323C78"/>
    <w:rsid w:val="00347821"/>
    <w:rsid w:val="00367F49"/>
    <w:rsid w:val="00371333"/>
    <w:rsid w:val="00376947"/>
    <w:rsid w:val="003953CE"/>
    <w:rsid w:val="00397C67"/>
    <w:rsid w:val="003B15CF"/>
    <w:rsid w:val="003B38A8"/>
    <w:rsid w:val="00407BC5"/>
    <w:rsid w:val="00417D20"/>
    <w:rsid w:val="0043026A"/>
    <w:rsid w:val="00450C57"/>
    <w:rsid w:val="004570C3"/>
    <w:rsid w:val="00464C96"/>
    <w:rsid w:val="004904BB"/>
    <w:rsid w:val="004A0FBE"/>
    <w:rsid w:val="004A3E0E"/>
    <w:rsid w:val="004A4A83"/>
    <w:rsid w:val="004A514A"/>
    <w:rsid w:val="004C3A3A"/>
    <w:rsid w:val="004C4F8B"/>
    <w:rsid w:val="004C62F2"/>
    <w:rsid w:val="004E09C9"/>
    <w:rsid w:val="004E2539"/>
    <w:rsid w:val="004F1734"/>
    <w:rsid w:val="00503321"/>
    <w:rsid w:val="00537824"/>
    <w:rsid w:val="00561F5C"/>
    <w:rsid w:val="005655B5"/>
    <w:rsid w:val="00571584"/>
    <w:rsid w:val="00577F32"/>
    <w:rsid w:val="00584BEC"/>
    <w:rsid w:val="005A2D7B"/>
    <w:rsid w:val="005C0AEB"/>
    <w:rsid w:val="005C2583"/>
    <w:rsid w:val="005C4162"/>
    <w:rsid w:val="005D0EB7"/>
    <w:rsid w:val="005D55D3"/>
    <w:rsid w:val="0060338A"/>
    <w:rsid w:val="00613316"/>
    <w:rsid w:val="00613396"/>
    <w:rsid w:val="006177D4"/>
    <w:rsid w:val="006230CE"/>
    <w:rsid w:val="00646053"/>
    <w:rsid w:val="00661093"/>
    <w:rsid w:val="0068539C"/>
    <w:rsid w:val="00687F5E"/>
    <w:rsid w:val="00695B84"/>
    <w:rsid w:val="006A5CB0"/>
    <w:rsid w:val="006D72E2"/>
    <w:rsid w:val="006E3C90"/>
    <w:rsid w:val="006E6047"/>
    <w:rsid w:val="006E61EC"/>
    <w:rsid w:val="006F22B1"/>
    <w:rsid w:val="00725486"/>
    <w:rsid w:val="007430B6"/>
    <w:rsid w:val="00746E2D"/>
    <w:rsid w:val="007512F6"/>
    <w:rsid w:val="00753477"/>
    <w:rsid w:val="00784BB5"/>
    <w:rsid w:val="00790533"/>
    <w:rsid w:val="007937E3"/>
    <w:rsid w:val="007A25CB"/>
    <w:rsid w:val="007D1E51"/>
    <w:rsid w:val="007E37D9"/>
    <w:rsid w:val="007E7088"/>
    <w:rsid w:val="007F26CF"/>
    <w:rsid w:val="007F5635"/>
    <w:rsid w:val="00807D2F"/>
    <w:rsid w:val="00817338"/>
    <w:rsid w:val="00846B4E"/>
    <w:rsid w:val="008A41F6"/>
    <w:rsid w:val="008B30BD"/>
    <w:rsid w:val="008B5CCB"/>
    <w:rsid w:val="008C3341"/>
    <w:rsid w:val="008D0627"/>
    <w:rsid w:val="008E22BF"/>
    <w:rsid w:val="008E546B"/>
    <w:rsid w:val="008F46EA"/>
    <w:rsid w:val="00903996"/>
    <w:rsid w:val="009453DB"/>
    <w:rsid w:val="00946A20"/>
    <w:rsid w:val="009631F6"/>
    <w:rsid w:val="00970FC4"/>
    <w:rsid w:val="009823A0"/>
    <w:rsid w:val="00984456"/>
    <w:rsid w:val="00992EA1"/>
    <w:rsid w:val="009A7FD2"/>
    <w:rsid w:val="009C135F"/>
    <w:rsid w:val="009F7A5E"/>
    <w:rsid w:val="00A25C6A"/>
    <w:rsid w:val="00A5411F"/>
    <w:rsid w:val="00A639D1"/>
    <w:rsid w:val="00A65CD2"/>
    <w:rsid w:val="00A869CB"/>
    <w:rsid w:val="00A93E4B"/>
    <w:rsid w:val="00AB7E60"/>
    <w:rsid w:val="00AC5BFF"/>
    <w:rsid w:val="00AC71DC"/>
    <w:rsid w:val="00AD3D23"/>
    <w:rsid w:val="00AE627B"/>
    <w:rsid w:val="00B03799"/>
    <w:rsid w:val="00B041B7"/>
    <w:rsid w:val="00B10112"/>
    <w:rsid w:val="00B14422"/>
    <w:rsid w:val="00B34225"/>
    <w:rsid w:val="00B3682A"/>
    <w:rsid w:val="00B36916"/>
    <w:rsid w:val="00B441AC"/>
    <w:rsid w:val="00B73369"/>
    <w:rsid w:val="00B85F2A"/>
    <w:rsid w:val="00BC67B7"/>
    <w:rsid w:val="00BD7624"/>
    <w:rsid w:val="00BF3E02"/>
    <w:rsid w:val="00C15464"/>
    <w:rsid w:val="00C25C32"/>
    <w:rsid w:val="00C42886"/>
    <w:rsid w:val="00C450FB"/>
    <w:rsid w:val="00CA4E7D"/>
    <w:rsid w:val="00CE1C18"/>
    <w:rsid w:val="00CE65CA"/>
    <w:rsid w:val="00CF5B91"/>
    <w:rsid w:val="00D102D3"/>
    <w:rsid w:val="00D1344C"/>
    <w:rsid w:val="00D17EE1"/>
    <w:rsid w:val="00D2634B"/>
    <w:rsid w:val="00D63625"/>
    <w:rsid w:val="00D769CC"/>
    <w:rsid w:val="00D816BB"/>
    <w:rsid w:val="00D81961"/>
    <w:rsid w:val="00D8667E"/>
    <w:rsid w:val="00DA16CB"/>
    <w:rsid w:val="00DA6167"/>
    <w:rsid w:val="00DA6FE5"/>
    <w:rsid w:val="00DC2E48"/>
    <w:rsid w:val="00DC391D"/>
    <w:rsid w:val="00DC3A65"/>
    <w:rsid w:val="00DF0653"/>
    <w:rsid w:val="00DF6243"/>
    <w:rsid w:val="00DF7905"/>
    <w:rsid w:val="00E00FDC"/>
    <w:rsid w:val="00E10ABD"/>
    <w:rsid w:val="00E23736"/>
    <w:rsid w:val="00E43781"/>
    <w:rsid w:val="00E53C11"/>
    <w:rsid w:val="00E6041B"/>
    <w:rsid w:val="00E816B4"/>
    <w:rsid w:val="00E81AFD"/>
    <w:rsid w:val="00E97447"/>
    <w:rsid w:val="00EA1986"/>
    <w:rsid w:val="00EA45F0"/>
    <w:rsid w:val="00EA66BF"/>
    <w:rsid w:val="00EB66C6"/>
    <w:rsid w:val="00EB6794"/>
    <w:rsid w:val="00EB7E26"/>
    <w:rsid w:val="00ED683D"/>
    <w:rsid w:val="00EE33B5"/>
    <w:rsid w:val="00EE4889"/>
    <w:rsid w:val="00F1639F"/>
    <w:rsid w:val="00F168F2"/>
    <w:rsid w:val="00F1749D"/>
    <w:rsid w:val="00F217B2"/>
    <w:rsid w:val="00F25B4F"/>
    <w:rsid w:val="00F433CC"/>
    <w:rsid w:val="00F52F38"/>
    <w:rsid w:val="00F66842"/>
    <w:rsid w:val="00F83047"/>
    <w:rsid w:val="00FA70BB"/>
    <w:rsid w:val="00FB5CF3"/>
    <w:rsid w:val="00FE6015"/>
    <w:rsid w:val="1B452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character" w:customStyle="1" w:styleId="10">
    <w:name w:val="批注框文本 字符"/>
    <w:basedOn w:val="7"/>
    <w:link w:val="2"/>
    <w:semiHidden/>
    <w:uiPriority w:val="99"/>
    <w:rPr>
      <w:sz w:val="18"/>
      <w:szCs w:val="18"/>
    </w:rPr>
  </w:style>
  <w:style w:type="paragraph" w:styleId="11">
    <w:name w:val="List Paragraph"/>
    <w:basedOn w:val="1"/>
    <w:qFormat/>
    <w:uiPriority w:val="34"/>
    <w:pPr>
      <w:ind w:firstLine="420" w:firstLineChars="200"/>
    </w:pPr>
  </w:style>
  <w:style w:type="table" w:customStyle="1" w:styleId="12">
    <w:name w:val="网格型1"/>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2035</Words>
  <Characters>5665</Characters>
  <Lines>47</Lines>
  <Paragraphs>13</Paragraphs>
  <TotalTime>633</TotalTime>
  <ScaleCrop>false</ScaleCrop>
  <LinksUpToDate>false</LinksUpToDate>
  <CharactersWithSpaces>6303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安然</cp:lastModifiedBy>
  <cp:lastPrinted>2021-09-22T03:14:00Z</cp:lastPrinted>
  <dcterms:modified xsi:type="dcterms:W3CDTF">2024-09-02T15:25:55Z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AD25B3EB9F8848CFAB4B76FFB6B4E570_12</vt:lpwstr>
  </property>
</Properties>
</file>