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《马克思主义基本原理》</w:t>
      </w:r>
      <w:r>
        <w:rPr>
          <w:rFonts w:hint="eastAsia" w:ascii="方正小标宋简体" w:hAnsi="黑体" w:eastAsia="方正小标宋简体"/>
          <w:sz w:val="32"/>
          <w:szCs w:val="21"/>
          <w:lang w:val="en-US" w:eastAsia="zh-CN"/>
        </w:rPr>
        <w:t>实践</w:t>
      </w:r>
      <w:r>
        <w:rPr>
          <w:rFonts w:hint="eastAsia" w:ascii="方正小标宋简体" w:hAnsi="黑体" w:eastAsia="方正小标宋简体"/>
          <w:sz w:val="32"/>
          <w:szCs w:val="21"/>
          <w:lang w:val="en-GB"/>
        </w:rPr>
        <w:t>教学大纲</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zCs w:val="21"/>
                <w:lang w:val="en-GB"/>
              </w:rPr>
            </w:pPr>
            <w:r>
              <w:rPr>
                <w:rFonts w:hint="eastAsia" w:ascii="仿宋" w:hAnsi="仿宋" w:eastAsia="仿宋"/>
                <w:szCs w:val="21"/>
                <w:lang w:val="en-GB"/>
              </w:rPr>
              <w:t>课程名称：《马克思主义基本原理》社会实践</w:t>
            </w:r>
          </w:p>
        </w:tc>
        <w:tc>
          <w:tcPr>
            <w:tcW w:w="3969" w:type="dxa"/>
            <w:vAlign w:val="center"/>
          </w:tcPr>
          <w:p>
            <w:pPr>
              <w:pStyle w:val="1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ascii="黑体" w:hAnsi="黑体" w:eastAsia="黑体"/>
                <w:szCs w:val="21"/>
                <w:lang w:val="en-GB"/>
              </w:rPr>
            </w:pPr>
            <w:r>
              <w:rPr>
                <w:rFonts w:hint="eastAsia" w:ascii="仿宋" w:hAnsi="仿宋" w:eastAsia="仿宋"/>
                <w:szCs w:val="21"/>
                <w:lang w:val="en-GB"/>
              </w:rPr>
              <w:t>英文课程名称：</w:t>
            </w:r>
            <w:r>
              <w:rPr>
                <w:rFonts w:hint="eastAsia" w:ascii="仿宋" w:hAnsi="仿宋" w:eastAsia="仿宋"/>
                <w:color w:val="000000" w:themeColor="text1"/>
                <w:szCs w:val="21"/>
                <w:lang w:val="en-GB"/>
                <w14:textFill>
                  <w14:solidFill>
                    <w14:schemeClr w14:val="tx1"/>
                  </w14:solidFill>
                </w14:textFill>
              </w:rPr>
              <w:t>：</w:t>
            </w:r>
            <w:r>
              <w:rPr>
                <w:rFonts w:ascii="仿宋" w:hAnsi="仿宋" w:eastAsia="仿宋"/>
                <w:color w:val="000000" w:themeColor="text1"/>
                <w:szCs w:val="21"/>
                <w:lang w:val="en-GB"/>
                <w14:textFill>
                  <w14:solidFill>
                    <w14:schemeClr w14:val="tx1"/>
                  </w14:solidFill>
                </w14:textFill>
              </w:rPr>
              <w:t>An introduction to the basic principles of Marxism</w:t>
            </w:r>
          </w:p>
        </w:tc>
      </w:tr>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zCs w:val="21"/>
                <w:lang w:val="en-GB"/>
              </w:rPr>
            </w:pPr>
            <w:r>
              <w:rPr>
                <w:rFonts w:hint="eastAsia" w:ascii="仿宋" w:hAnsi="仿宋" w:eastAsia="仿宋"/>
                <w:szCs w:val="21"/>
                <w:lang w:val="en-GB"/>
              </w:rPr>
              <w:t>课程</w:t>
            </w:r>
            <w:r>
              <w:rPr>
                <w:rFonts w:hint="eastAsia" w:ascii="仿宋" w:hAnsi="仿宋" w:eastAsia="仿宋"/>
                <w:szCs w:val="21"/>
                <w:lang w:val="en-GB" w:eastAsia="zh-CN"/>
              </w:rPr>
              <w:t>代码：160844</w:t>
            </w:r>
            <w:r>
              <w:rPr>
                <w:rFonts w:hint="eastAsia" w:ascii="仿宋" w:hAnsi="仿宋" w:eastAsia="仿宋"/>
                <w:szCs w:val="21"/>
                <w:lang w:val="en-US" w:eastAsia="zh-CN"/>
              </w:rPr>
              <w:t>X</w:t>
            </w:r>
            <w:r>
              <w:rPr>
                <w:rFonts w:hint="eastAsia" w:ascii="仿宋" w:hAnsi="仿宋" w:eastAsia="仿宋"/>
                <w:szCs w:val="21"/>
                <w:lang w:val="en-GB" w:eastAsia="zh-CN"/>
              </w:rPr>
              <w:t>00</w:t>
            </w:r>
            <w:r>
              <w:rPr>
                <w:rFonts w:hint="eastAsia" w:ascii="仿宋" w:hAnsi="仿宋" w:eastAsia="仿宋"/>
                <w:szCs w:val="21"/>
                <w:lang w:val="en-US" w:eastAsia="zh-CN"/>
              </w:rPr>
              <w:t>4</w:t>
            </w:r>
          </w:p>
        </w:tc>
        <w:tc>
          <w:tcPr>
            <w:tcW w:w="396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1</w:t>
            </w:r>
          </w:p>
        </w:tc>
      </w:tr>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16</w:t>
            </w:r>
          </w:p>
        </w:tc>
        <w:tc>
          <w:tcPr>
            <w:tcW w:w="396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zCs w:val="21"/>
                <w:lang w:val="en-GB"/>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p>
        </w:tc>
      </w:tr>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szCs w:val="21"/>
                <w:lang w:val="en-GB"/>
              </w:rPr>
            </w:pPr>
            <w:r>
              <w:rPr>
                <w:rFonts w:hint="eastAsia" w:ascii="仿宋" w:hAnsi="仿宋" w:eastAsia="仿宋"/>
                <w:szCs w:val="21"/>
                <w:lang w:val="en-GB"/>
              </w:rPr>
              <w:t>实验学时：</w:t>
            </w:r>
          </w:p>
        </w:tc>
        <w:tc>
          <w:tcPr>
            <w:tcW w:w="396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szCs w:val="21"/>
                <w:lang w:val="en-GB"/>
              </w:rPr>
            </w:pPr>
            <w:r>
              <w:rPr>
                <w:rFonts w:hint="eastAsia" w:ascii="仿宋" w:hAnsi="仿宋" w:eastAsia="仿宋"/>
                <w:szCs w:val="21"/>
                <w:lang w:val="en-GB"/>
              </w:rPr>
              <w:t>上机学时：</w:t>
            </w:r>
          </w:p>
        </w:tc>
      </w:tr>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zCs w:val="21"/>
                <w:lang w:val="en-GB"/>
              </w:rPr>
            </w:pPr>
            <w:r>
              <w:rPr>
                <w:rFonts w:hint="eastAsia" w:ascii="仿宋" w:hAnsi="仿宋" w:eastAsia="仿宋"/>
                <w:szCs w:val="21"/>
                <w:lang w:val="en-GB"/>
              </w:rPr>
              <w:t>开课学院：</w:t>
            </w:r>
            <w:r>
              <w:rPr>
                <w:rFonts w:hint="eastAsia" w:ascii="仿宋" w:hAnsi="仿宋" w:eastAsia="仿宋"/>
                <w:szCs w:val="21"/>
                <w:lang w:val="en-GB" w:eastAsia="zh-CN"/>
              </w:rPr>
              <w:t>工商管理学院</w:t>
            </w:r>
            <w:r>
              <w:rPr>
                <w:rFonts w:hint="eastAsia" w:ascii="仿宋" w:hAnsi="仿宋" w:eastAsia="仿宋"/>
                <w:szCs w:val="21"/>
                <w:lang w:val="en-US" w:eastAsia="zh-CN"/>
              </w:rPr>
              <w:t>/马克思主义学院</w:t>
            </w:r>
          </w:p>
        </w:tc>
        <w:tc>
          <w:tcPr>
            <w:tcW w:w="396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所有</w:t>
            </w:r>
          </w:p>
        </w:tc>
      </w:tr>
      <w:tr>
        <w:trPr>
          <w:jc w:val="right"/>
        </w:trPr>
        <w:tc>
          <w:tcPr>
            <w:tcW w:w="4025"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hAnsi="黑体" w:eastAsia="黑体"/>
                <w:szCs w:val="21"/>
                <w:lang w:val="en-GB"/>
              </w:rPr>
            </w:pPr>
            <w:r>
              <w:rPr>
                <w:rFonts w:hint="eastAsia" w:ascii="仿宋" w:hAnsi="仿宋" w:eastAsia="仿宋"/>
                <w:szCs w:val="21"/>
                <w:lang w:val="en-GB"/>
              </w:rPr>
              <w:t>课程性质：必修/选修</w:t>
            </w:r>
          </w:p>
        </w:tc>
        <w:tc>
          <w:tcPr>
            <w:tcW w:w="3969"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黑体" w:hAnsi="黑体" w:eastAsia="仿宋"/>
                <w:szCs w:val="21"/>
                <w:lang w:val="en-US" w:eastAsia="zh-CN"/>
              </w:rPr>
            </w:pPr>
            <w:r>
              <w:rPr>
                <w:rFonts w:hint="eastAsia" w:ascii="仿宋" w:hAnsi="仿宋" w:eastAsia="仿宋"/>
                <w:szCs w:val="21"/>
                <w:lang w:val="en-GB"/>
              </w:rPr>
              <w:t>先修课程：</w:t>
            </w:r>
            <w:r>
              <w:rPr>
                <w:rFonts w:hint="eastAsia" w:ascii="仿宋" w:hAnsi="仿宋" w:eastAsia="仿宋"/>
                <w:szCs w:val="21"/>
                <w:lang w:val="en-US" w:eastAsia="zh-CN"/>
              </w:rPr>
              <w:t>中国近现代史纲要</w:t>
            </w:r>
          </w:p>
        </w:tc>
      </w:tr>
    </w:tbl>
    <w:p>
      <w:pPr>
        <w:rPr>
          <w:rFonts w:hint="eastAsia" w:ascii="黑体" w:hAnsi="黑体" w:eastAsia="黑体"/>
          <w:szCs w:val="21"/>
          <w:lang w:val="en-GB"/>
        </w:r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hAnsi="黑体" w:eastAsia="黑体"/>
          <w:szCs w:val="21"/>
          <w:lang w:val="en-GB"/>
        </w:rPr>
      </w:pPr>
      <w:r>
        <w:rPr>
          <w:rFonts w:hint="eastAsia" w:ascii="黑体" w:hAnsi="黑体" w:eastAsia="黑体"/>
          <w:szCs w:val="21"/>
          <w:lang w:val="en-GB"/>
        </w:rPr>
        <w:t>二、课程</w:t>
      </w:r>
      <w:r>
        <w:rPr>
          <w:rFonts w:ascii="黑体" w:hAnsi="黑体" w:eastAsia="黑体"/>
          <w:szCs w:val="21"/>
          <w:lang w:val="en-GB"/>
        </w:rPr>
        <w:t>简介</w:t>
      </w:r>
    </w:p>
    <w:p>
      <w:pPr>
        <w:pStyle w:val="5"/>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szCs w:val="21"/>
          <w:lang w:val="en-GB"/>
        </w:rPr>
      </w:pPr>
      <w:r>
        <w:rPr>
          <w:rFonts w:hint="eastAsia" w:ascii="仿宋" w:hAnsi="仿宋" w:eastAsia="仿宋" w:cstheme="minorBidi"/>
          <w:kern w:val="2"/>
          <w:sz w:val="21"/>
          <w:szCs w:val="21"/>
          <w:lang w:val="en-GB" w:eastAsia="zh-CN" w:bidi="ar-SA"/>
        </w:rPr>
        <w:t>实践教学是《马克思主义基本原理概论》课的重要教学环节之一，本课程实践教学的目的是为了切实落实理论联系实际的根本方法，使学生更深刻、更全面地掌握马克思主义基本原理和方法，培养学生运用所学的基本观点和基本立场解决实际问题的能力，提高学生的实践能力和社会适应能力。通过实践教学这一环节，要使学生能够运用所学知识去认识社会、认识自身、指导人生实践，加深对书本知识的理解，使学生牢固树立马克思主义和中国特色社会主义信念，掌握当代中国马克思主义观察世界、分析国情的思维方法，提高政治理论素养，激发全面建设小康社会、投身于现代化事业的积极性、主动性和创造性，从而进一步提高本课程的教学质量和教学效果。</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hAnsi="黑体" w:eastAsia="黑体"/>
          <w:szCs w:val="21"/>
          <w:lang w:val="en-GB"/>
        </w:rPr>
      </w:pPr>
      <w:r>
        <w:rPr>
          <w:rFonts w:hint="eastAsia" w:ascii="黑体" w:hAnsi="黑体" w:eastAsia="黑体"/>
          <w:szCs w:val="21"/>
          <w:lang w:val="en-GB"/>
        </w:rPr>
        <w:t>三、教学目标</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20" w:firstLineChars="0"/>
        <w:textAlignment w:val="auto"/>
        <w:rPr>
          <w:rFonts w:hint="eastAsia" w:ascii="仿宋" w:hAnsi="仿宋" w:eastAsia="仿宋" w:cstheme="minorBidi"/>
          <w:kern w:val="2"/>
          <w:sz w:val="21"/>
          <w:szCs w:val="21"/>
          <w:lang w:val="en-GB" w:eastAsia="zh-CN" w:bidi="ar-SA"/>
        </w:rPr>
      </w:pPr>
      <w:r>
        <w:rPr>
          <w:rFonts w:hint="eastAsia" w:ascii="仿宋" w:hAnsi="仿宋" w:eastAsia="仿宋" w:cstheme="minorBidi"/>
          <w:kern w:val="2"/>
          <w:sz w:val="21"/>
          <w:szCs w:val="21"/>
          <w:lang w:val="en-GB" w:eastAsia="zh-CN" w:bidi="ar-SA"/>
        </w:rPr>
        <w:t>学生初步能够运用马克思主义理论和方法来认识和分析现实中的现象和问题，能指导自己的行为。</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20" w:firstLineChars="0"/>
        <w:textAlignment w:val="auto"/>
        <w:rPr>
          <w:rFonts w:hint="eastAsia" w:ascii="仿宋" w:hAnsi="仿宋" w:eastAsia="仿宋" w:cstheme="minorBidi"/>
          <w:kern w:val="2"/>
          <w:sz w:val="21"/>
          <w:szCs w:val="21"/>
          <w:lang w:val="en-GB" w:eastAsia="zh-CN" w:bidi="ar-SA"/>
        </w:rPr>
      </w:pPr>
      <w:r>
        <w:rPr>
          <w:rFonts w:hint="eastAsia" w:ascii="仿宋" w:hAnsi="仿宋" w:eastAsia="仿宋" w:cstheme="minorBidi"/>
          <w:kern w:val="2"/>
          <w:sz w:val="21"/>
          <w:szCs w:val="21"/>
          <w:lang w:val="en-GB" w:eastAsia="zh-CN" w:bidi="ar-SA"/>
        </w:rPr>
        <w:t>加深对马克思主义理论的认识，在实际工作中，学生有一定的政治分析力、政治观察力、政治判断力。</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20" w:firstLineChars="0"/>
        <w:textAlignment w:val="auto"/>
        <w:rPr>
          <w:rFonts w:hint="eastAsia" w:ascii="仿宋" w:hAnsi="仿宋" w:eastAsia="仿宋" w:cstheme="minorBidi"/>
          <w:kern w:val="2"/>
          <w:sz w:val="21"/>
          <w:szCs w:val="21"/>
          <w:lang w:val="en-GB" w:eastAsia="zh-CN" w:bidi="ar-SA"/>
        </w:rPr>
      </w:pPr>
      <w:r>
        <w:rPr>
          <w:rFonts w:hint="eastAsia" w:ascii="仿宋" w:hAnsi="仿宋" w:eastAsia="仿宋" w:cstheme="minorBidi"/>
          <w:kern w:val="2"/>
          <w:sz w:val="21"/>
          <w:szCs w:val="21"/>
          <w:lang w:val="en-GB" w:eastAsia="zh-CN" w:bidi="ar-SA"/>
        </w:rPr>
        <w:t>开阔学生的视野，培养学生的意志，增强学生的各种能力实际相结合。</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20" w:firstLineChars="0"/>
        <w:textAlignment w:val="auto"/>
        <w:rPr>
          <w:rFonts w:hint="eastAsia" w:ascii="仿宋" w:hAnsi="仿宋" w:eastAsia="仿宋" w:cstheme="minorBidi"/>
          <w:kern w:val="2"/>
          <w:sz w:val="21"/>
          <w:szCs w:val="21"/>
          <w:lang w:val="en-GB" w:eastAsia="zh-CN" w:bidi="ar-SA"/>
        </w:rPr>
      </w:pPr>
      <w:r>
        <w:rPr>
          <w:rFonts w:hint="eastAsia" w:ascii="仿宋" w:hAnsi="仿宋" w:eastAsia="仿宋" w:cstheme="minorBidi"/>
          <w:kern w:val="2"/>
          <w:sz w:val="21"/>
          <w:szCs w:val="21"/>
          <w:lang w:val="en-GB" w:eastAsia="zh-CN" w:bidi="ar-SA"/>
        </w:rPr>
        <w:t>促进教学改革，使理论密切联系实际，增强思想政治理论课的针对性、实效性和吸引力。</w:t>
      </w:r>
    </w:p>
    <w:p>
      <w:pPr>
        <w:rPr>
          <w:rFonts w:hint="eastAsia" w:ascii="黑体" w:hAnsi="黑体" w:eastAsia="黑体"/>
          <w:szCs w:val="21"/>
          <w:lang w:val="en-GB"/>
        </w:rPr>
      </w:pPr>
      <w:r>
        <w:rPr>
          <w:rFonts w:hint="eastAsia" w:ascii="黑体" w:hAnsi="黑体" w:eastAsia="黑体"/>
          <w:szCs w:val="21"/>
          <w:lang w:val="en-GB"/>
        </w:rPr>
        <w:br w:type="page"/>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szCs w:val="21"/>
          <w:lang w:val="en-GB"/>
        </w:rPr>
      </w:pPr>
      <w:r>
        <w:rPr>
          <w:rFonts w:hint="eastAsia" w:ascii="黑体" w:hAnsi="黑体" w:eastAsia="黑体"/>
          <w:szCs w:val="21"/>
          <w:lang w:val="en-GB"/>
        </w:rPr>
        <w:t>教学内容与学习要求</w:t>
      </w:r>
    </w:p>
    <w:p>
      <w:pPr>
        <w:numPr>
          <w:ilvl w:val="0"/>
          <w:numId w:val="0"/>
        </w:numPr>
        <w:rPr>
          <w:rFonts w:hint="default" w:ascii="黑体" w:hAnsi="黑体" w:eastAsia="黑体"/>
          <w:szCs w:val="21"/>
          <w:lang w:val="en-US" w:eastAsia="zh-CN"/>
        </w:rPr>
      </w:pPr>
    </w:p>
    <w:tbl>
      <w:tblPr>
        <w:tblStyle w:val="6"/>
        <w:tblW w:w="8697"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0" w:type="dxa"/>
          <w:bottom w:w="0" w:type="dxa"/>
          <w:right w:w="0" w:type="dxa"/>
        </w:tblCellMar>
      </w:tblPr>
      <w:tblGrid>
        <w:gridCol w:w="397"/>
        <w:gridCol w:w="2299"/>
        <w:gridCol w:w="2299"/>
        <w:gridCol w:w="701"/>
        <w:gridCol w:w="849"/>
        <w:gridCol w:w="1000"/>
        <w:gridCol w:w="1152"/>
      </w:tblGrid>
      <w:tr>
        <w:trPr>
          <w:trHeight w:val="748" w:hRule="atLeast"/>
          <w:jc w:val="center"/>
        </w:trPr>
        <w:tc>
          <w:tcPr>
            <w:tcW w:w="397" w:type="dxa"/>
            <w:tcBorders>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序号</w:t>
            </w:r>
          </w:p>
        </w:tc>
        <w:tc>
          <w:tcPr>
            <w:tcW w:w="2299" w:type="dxa"/>
            <w:tcBorders>
              <w:left w:val="nil"/>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实践内容</w:t>
            </w:r>
          </w:p>
        </w:tc>
        <w:tc>
          <w:tcPr>
            <w:tcW w:w="2299" w:type="dxa"/>
            <w:tcBorders>
              <w:left w:val="nil"/>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内容提要（实践参考主题）</w:t>
            </w:r>
          </w:p>
        </w:tc>
        <w:tc>
          <w:tcPr>
            <w:tcW w:w="701" w:type="dxa"/>
            <w:tcBorders>
              <w:left w:val="nil"/>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实践人数</w:t>
            </w:r>
          </w:p>
        </w:tc>
        <w:tc>
          <w:tcPr>
            <w:tcW w:w="849" w:type="dxa"/>
            <w:tcBorders>
              <w:left w:val="nil"/>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实践类型</w:t>
            </w:r>
          </w:p>
        </w:tc>
        <w:tc>
          <w:tcPr>
            <w:tcW w:w="1000" w:type="dxa"/>
            <w:tcBorders>
              <w:left w:val="nil"/>
              <w:bottom w:val="single" w:color="000000" w:sz="8" w:space="0"/>
              <w:right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实践类别</w:t>
            </w:r>
          </w:p>
        </w:tc>
        <w:tc>
          <w:tcPr>
            <w:tcW w:w="1152" w:type="dxa"/>
            <w:tcBorders>
              <w:left w:val="nil"/>
              <w:bottom w:val="single" w:color="000000" w:sz="8" w:space="0"/>
            </w:tcBorders>
            <w:tcMar>
              <w:top w:w="0" w:type="dxa"/>
              <w:left w:w="108" w:type="dxa"/>
              <w:bottom w:w="0" w:type="dxa"/>
              <w:right w:w="108" w:type="dxa"/>
            </w:tcMar>
            <w:vAlign w:val="center"/>
          </w:tcPr>
          <w:p>
            <w:pPr>
              <w:jc w:val="center"/>
              <w:rPr>
                <w:rFonts w:ascii="仿宋" w:hAnsi="仿宋" w:eastAsia="仿宋"/>
                <w:b/>
                <w:sz w:val="18"/>
                <w:szCs w:val="18"/>
              </w:rPr>
            </w:pPr>
            <w:r>
              <w:rPr>
                <w:rFonts w:hint="eastAsia" w:ascii="仿宋" w:hAnsi="仿宋" w:eastAsia="仿宋"/>
                <w:b/>
                <w:sz w:val="18"/>
                <w:szCs w:val="18"/>
              </w:rPr>
              <w:t>实践学时</w:t>
            </w:r>
          </w:p>
        </w:tc>
      </w:tr>
      <w:tr>
        <w:trPr>
          <w:trHeight w:val="285" w:hRule="atLeast"/>
          <w:jc w:val="center"/>
        </w:trPr>
        <w:tc>
          <w:tcPr>
            <w:tcW w:w="397" w:type="dxa"/>
            <w:tcBorders>
              <w:top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1</w:t>
            </w:r>
          </w:p>
        </w:tc>
        <w:tc>
          <w:tcPr>
            <w:tcW w:w="229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观看一部与课程相关的影片，撰写观后感</w:t>
            </w:r>
          </w:p>
        </w:tc>
        <w:tc>
          <w:tcPr>
            <w:tcW w:w="229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观看</w:t>
            </w:r>
            <w:r>
              <w:rPr>
                <w:rFonts w:hint="eastAsia" w:ascii="仿宋" w:hAnsi="仿宋" w:eastAsia="仿宋"/>
                <w:sz w:val="18"/>
                <w:szCs w:val="18"/>
                <w:lang w:eastAsia="zh-CN"/>
              </w:rPr>
              <w:t>《</w:t>
            </w:r>
            <w:r>
              <w:rPr>
                <w:rFonts w:hint="eastAsia" w:ascii="仿宋" w:hAnsi="仿宋" w:eastAsia="仿宋"/>
                <w:sz w:val="18"/>
                <w:szCs w:val="18"/>
                <w:lang w:val="en-US" w:eastAsia="zh-CN"/>
              </w:rPr>
              <w:t>不朽的马克思》、《青年马克思》等</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lang w:val="en-US" w:eastAsia="zh-CN"/>
              </w:rPr>
              <w:t>4</w:t>
            </w:r>
            <w:r>
              <w:rPr>
                <w:rFonts w:hint="eastAsia" w:ascii="仿宋" w:hAnsi="仿宋" w:eastAsia="仿宋"/>
                <w:sz w:val="18"/>
                <w:szCs w:val="18"/>
              </w:rPr>
              <w:t>-</w:t>
            </w:r>
            <w:r>
              <w:rPr>
                <w:rFonts w:ascii="仿宋" w:hAnsi="仿宋" w:eastAsia="仿宋"/>
                <w:sz w:val="18"/>
                <w:szCs w:val="18"/>
              </w:rPr>
              <w:t>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验证性、综合性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专业基础</w:t>
            </w:r>
          </w:p>
        </w:tc>
        <w:tc>
          <w:tcPr>
            <w:tcW w:w="1152" w:type="dxa"/>
            <w:vMerge w:val="restart"/>
            <w:tcBorders>
              <w:top w:val="nil"/>
              <w:left w:val="nil"/>
            </w:tcBorders>
            <w:tcMar>
              <w:top w:w="0" w:type="dxa"/>
              <w:left w:w="108" w:type="dxa"/>
              <w:bottom w:w="0" w:type="dxa"/>
              <w:right w:w="108" w:type="dxa"/>
            </w:tcMar>
            <w:vAlign w:val="center"/>
          </w:tcPr>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ascii="仿宋" w:hAnsi="仿宋" w:eastAsia="仿宋"/>
                <w:sz w:val="18"/>
                <w:szCs w:val="18"/>
                <w:lang w:val="zh-CN"/>
              </w:rPr>
            </w:pPr>
          </w:p>
          <w:p>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共</w:t>
            </w:r>
            <w:r>
              <w:rPr>
                <w:rFonts w:ascii="仿宋" w:hAnsi="仿宋" w:eastAsia="仿宋"/>
                <w:sz w:val="18"/>
                <w:szCs w:val="18"/>
                <w:lang w:val="zh-CN"/>
              </w:rPr>
              <w:t>16</w:t>
            </w:r>
            <w:r>
              <w:rPr>
                <w:rFonts w:hint="eastAsia" w:ascii="仿宋" w:hAnsi="仿宋" w:eastAsia="仿宋"/>
                <w:sz w:val="18"/>
                <w:szCs w:val="18"/>
                <w:lang w:val="en-US" w:eastAsia="zh-CN"/>
              </w:rPr>
              <w:t>学时</w:t>
            </w:r>
          </w:p>
          <w:p>
            <w:pPr>
              <w:jc w:val="center"/>
              <w:rPr>
                <w:rFonts w:hint="default" w:ascii="仿宋" w:hAnsi="仿宋" w:eastAsia="仿宋"/>
                <w:sz w:val="18"/>
                <w:szCs w:val="18"/>
                <w:lang w:val="en-US" w:eastAsia="zh-CN"/>
              </w:rPr>
            </w:pPr>
          </w:p>
        </w:tc>
      </w:tr>
      <w:tr>
        <w:trPr>
          <w:trHeight w:val="90" w:hRule="atLeast"/>
          <w:jc w:val="center"/>
        </w:trPr>
        <w:tc>
          <w:tcPr>
            <w:tcW w:w="397" w:type="dxa"/>
            <w:tcBorders>
              <w:top w:val="nil"/>
              <w:bottom w:val="single" w:color="000000" w:sz="8" w:space="0"/>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2</w:t>
            </w:r>
          </w:p>
        </w:tc>
        <w:tc>
          <w:tcPr>
            <w:tcW w:w="229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rPr>
              <w:t xml:space="preserve">阅读一本与课程相关的著作，撰写读书报告。 </w:t>
            </w:r>
          </w:p>
        </w:tc>
        <w:tc>
          <w:tcPr>
            <w:tcW w:w="229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rPr>
              <w:t>一般是</w:t>
            </w:r>
            <w:r>
              <w:rPr>
                <w:rFonts w:hint="eastAsia" w:ascii="仿宋" w:hAnsi="仿宋" w:eastAsia="仿宋"/>
                <w:sz w:val="18"/>
                <w:szCs w:val="18"/>
                <w:lang w:val="en-US" w:eastAsia="zh-CN"/>
              </w:rPr>
              <w:t>与</w:t>
            </w:r>
            <w:r>
              <w:rPr>
                <w:rFonts w:hint="eastAsia" w:ascii="仿宋" w:hAnsi="仿宋" w:eastAsia="仿宋"/>
                <w:sz w:val="18"/>
                <w:szCs w:val="18"/>
              </w:rPr>
              <w:t>课程基本理论教学部分</w:t>
            </w:r>
            <w:r>
              <w:rPr>
                <w:rFonts w:hint="eastAsia" w:ascii="仿宋" w:hAnsi="仿宋" w:eastAsia="仿宋"/>
                <w:sz w:val="18"/>
                <w:szCs w:val="18"/>
                <w:lang w:val="en-US" w:eastAsia="zh-CN"/>
              </w:rPr>
              <w:t>相关</w:t>
            </w:r>
            <w:r>
              <w:rPr>
                <w:rFonts w:hint="eastAsia" w:ascii="仿宋" w:hAnsi="仿宋" w:eastAsia="仿宋"/>
                <w:sz w:val="18"/>
                <w:szCs w:val="18"/>
              </w:rPr>
              <w:t>的原著</w:t>
            </w:r>
          </w:p>
        </w:tc>
        <w:tc>
          <w:tcPr>
            <w:tcW w:w="701"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4</w:t>
            </w:r>
            <w:r>
              <w:rPr>
                <w:rFonts w:hint="eastAsia" w:ascii="仿宋" w:hAnsi="仿宋" w:eastAsia="仿宋"/>
                <w:sz w:val="18"/>
                <w:szCs w:val="18"/>
              </w:rPr>
              <w:t>-12</w:t>
            </w:r>
          </w:p>
        </w:tc>
        <w:tc>
          <w:tcPr>
            <w:tcW w:w="849"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rPr>
              <w:t>验证性、综合性</w:t>
            </w:r>
          </w:p>
        </w:tc>
        <w:tc>
          <w:tcPr>
            <w:tcW w:w="1000" w:type="dxa"/>
            <w:tcBorders>
              <w:top w:val="nil"/>
              <w:left w:val="nil"/>
              <w:bottom w:val="single" w:color="000000" w:sz="8" w:space="0"/>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ascii="Calibri" w:hAnsi="Calibri" w:eastAsia="仿宋" w:cs="Calibri"/>
                <w:sz w:val="18"/>
                <w:szCs w:val="18"/>
              </w:rPr>
              <w:t> </w:t>
            </w:r>
            <w:r>
              <w:rPr>
                <w:rFonts w:hint="eastAsia" w:ascii="仿宋" w:hAnsi="仿宋" w:eastAsia="仿宋"/>
                <w:sz w:val="18"/>
                <w:szCs w:val="18"/>
              </w:rPr>
              <w:t>专业基础</w:t>
            </w:r>
          </w:p>
        </w:tc>
        <w:tc>
          <w:tcPr>
            <w:tcW w:w="1152" w:type="dxa"/>
            <w:vMerge w:val="continue"/>
            <w:tcBorders>
              <w:left w:val="nil"/>
            </w:tcBorders>
            <w:tcMar>
              <w:top w:w="0" w:type="dxa"/>
              <w:left w:w="108" w:type="dxa"/>
              <w:bottom w:w="0" w:type="dxa"/>
              <w:right w:w="108" w:type="dxa"/>
            </w:tcMar>
            <w:vAlign w:val="center"/>
          </w:tcPr>
          <w:p>
            <w:pPr>
              <w:rPr>
                <w:rFonts w:ascii="仿宋" w:hAnsi="仿宋" w:eastAsia="仿宋"/>
                <w:sz w:val="18"/>
                <w:szCs w:val="18"/>
              </w:rPr>
            </w:pPr>
          </w:p>
        </w:tc>
      </w:tr>
      <w:tr>
        <w:trPr>
          <w:trHeight w:val="285" w:hRule="atLeast"/>
          <w:jc w:val="center"/>
        </w:trPr>
        <w:tc>
          <w:tcPr>
            <w:tcW w:w="397" w:type="dxa"/>
            <w:tcBorders>
              <w:top w:val="nil"/>
              <w:bottom w:val="nil"/>
              <w:right w:val="single" w:color="000000" w:sz="8" w:space="0"/>
            </w:tcBorders>
            <w:tcMar>
              <w:top w:w="0" w:type="dxa"/>
              <w:left w:w="108" w:type="dxa"/>
              <w:bottom w:w="0" w:type="dxa"/>
              <w:right w:w="108" w:type="dxa"/>
            </w:tcMar>
            <w:vAlign w:val="center"/>
          </w:tcPr>
          <w:p>
            <w:pPr>
              <w:rPr>
                <w:rFonts w:hint="eastAsia" w:ascii="仿宋" w:hAnsi="仿宋" w:eastAsia="仿宋"/>
                <w:sz w:val="18"/>
                <w:szCs w:val="18"/>
              </w:rPr>
            </w:pP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用马克思主义相关原理阐释中石大校训、校风、校徽中所内含的哲学意蕴。</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可三者选一，也可逐一诠释</w:t>
            </w:r>
          </w:p>
        </w:tc>
        <w:tc>
          <w:tcPr>
            <w:tcW w:w="701" w:type="dxa"/>
            <w:tcBorders>
              <w:top w:val="nil"/>
              <w:left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p>
        </w:tc>
        <w:tc>
          <w:tcPr>
            <w:tcW w:w="849" w:type="dxa"/>
            <w:tcBorders>
              <w:top w:val="nil"/>
              <w:left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p>
        </w:tc>
        <w:tc>
          <w:tcPr>
            <w:tcW w:w="1000" w:type="dxa"/>
            <w:tcBorders>
              <w:top w:val="nil"/>
              <w:left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p>
        </w:tc>
        <w:tc>
          <w:tcPr>
            <w:tcW w:w="1152" w:type="dxa"/>
            <w:vMerge w:val="continue"/>
            <w:tcBorders>
              <w:left w:val="nil"/>
            </w:tcBorders>
            <w:tcMar>
              <w:top w:w="0" w:type="dxa"/>
              <w:left w:w="108" w:type="dxa"/>
              <w:bottom w:w="0" w:type="dxa"/>
              <w:right w:w="108" w:type="dxa"/>
            </w:tcMar>
            <w:vAlign w:val="center"/>
          </w:tcPr>
          <w:p>
            <w:pPr>
              <w:rPr>
                <w:rFonts w:ascii="仿宋" w:hAnsi="仿宋" w:eastAsia="仿宋"/>
                <w:sz w:val="18"/>
                <w:szCs w:val="18"/>
              </w:rPr>
            </w:pPr>
          </w:p>
        </w:tc>
      </w:tr>
      <w:tr>
        <w:trPr>
          <w:trHeight w:val="3265" w:hRule="atLeast"/>
          <w:jc w:val="center"/>
        </w:trPr>
        <w:tc>
          <w:tcPr>
            <w:tcW w:w="397" w:type="dxa"/>
            <w:tcBorders>
              <w:top w:val="nil"/>
              <w:bottom w:val="nil"/>
              <w:right w:val="single" w:color="000000" w:sz="8" w:space="0"/>
            </w:tcBorders>
            <w:tcMar>
              <w:top w:w="0" w:type="dxa"/>
              <w:left w:w="108" w:type="dxa"/>
              <w:bottom w:w="0" w:type="dxa"/>
              <w:right w:w="108" w:type="dxa"/>
            </w:tcMar>
            <w:vAlign w:val="center"/>
          </w:tcPr>
          <w:p>
            <w:pPr>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研读习总书记给中国石油大学（北京）克拉玛依校区毕业生的回信，以实践小组为单位采访或观看学校毕业生在工作岗位上践行回信精神的事迹和体会（视频、报道），用马克思主义基本原理阐释回信精神所蕴含的哲学道理</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p>
        </w:tc>
        <w:tc>
          <w:tcPr>
            <w:tcW w:w="701"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4</w:t>
            </w:r>
            <w:r>
              <w:rPr>
                <w:rFonts w:hint="eastAsia" w:ascii="仿宋" w:hAnsi="仿宋" w:eastAsia="仿宋"/>
                <w:sz w:val="18"/>
                <w:szCs w:val="18"/>
              </w:rPr>
              <w:t>-12</w:t>
            </w:r>
          </w:p>
        </w:tc>
        <w:tc>
          <w:tcPr>
            <w:tcW w:w="84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验证性、综合性</w:t>
            </w:r>
          </w:p>
        </w:tc>
        <w:tc>
          <w:tcPr>
            <w:tcW w:w="1000"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专业基础</w:t>
            </w:r>
          </w:p>
        </w:tc>
        <w:tc>
          <w:tcPr>
            <w:tcW w:w="1152" w:type="dxa"/>
            <w:vMerge w:val="continue"/>
            <w:tcBorders>
              <w:left w:val="nil"/>
            </w:tcBorders>
            <w:tcMar>
              <w:top w:w="0" w:type="dxa"/>
              <w:left w:w="108" w:type="dxa"/>
              <w:bottom w:w="0" w:type="dxa"/>
              <w:right w:w="108" w:type="dxa"/>
            </w:tcMar>
            <w:vAlign w:val="center"/>
          </w:tcPr>
          <w:p>
            <w:pPr>
              <w:rPr>
                <w:rFonts w:ascii="仿宋" w:hAnsi="仿宋" w:eastAsia="仿宋"/>
                <w:sz w:val="18"/>
                <w:szCs w:val="18"/>
              </w:rPr>
            </w:pPr>
          </w:p>
        </w:tc>
      </w:tr>
      <w:tr>
        <w:trPr>
          <w:trHeight w:val="285" w:hRule="atLeast"/>
          <w:jc w:val="center"/>
        </w:trPr>
        <w:tc>
          <w:tcPr>
            <w:tcW w:w="397" w:type="dxa"/>
            <w:tcBorders>
              <w:top w:val="nil"/>
              <w:bottom w:val="nil"/>
              <w:right w:val="single" w:color="000000" w:sz="8" w:space="0"/>
            </w:tcBorders>
            <w:tcMar>
              <w:top w:w="0" w:type="dxa"/>
              <w:left w:w="108" w:type="dxa"/>
              <w:bottom w:w="0" w:type="dxa"/>
              <w:right w:w="108" w:type="dxa"/>
            </w:tcMar>
            <w:vAlign w:val="center"/>
          </w:tcPr>
          <w:p>
            <w:pP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以实践小组为单位联系参观克拉玛依博物馆，或深入市民调研采访，用马克思主义基本原理阐释油田开采、油城建设或石油精神、石油文化所内含的哲学意蕴。</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四者选一即可</w:t>
            </w:r>
          </w:p>
        </w:tc>
        <w:tc>
          <w:tcPr>
            <w:tcW w:w="701"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4</w:t>
            </w:r>
            <w:r>
              <w:rPr>
                <w:rFonts w:hint="eastAsia" w:ascii="仿宋" w:hAnsi="仿宋" w:eastAsia="仿宋"/>
                <w:sz w:val="18"/>
                <w:szCs w:val="18"/>
              </w:rPr>
              <w:t>-12</w:t>
            </w:r>
          </w:p>
        </w:tc>
        <w:tc>
          <w:tcPr>
            <w:tcW w:w="84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验证性、综合性</w:t>
            </w:r>
          </w:p>
        </w:tc>
        <w:tc>
          <w:tcPr>
            <w:tcW w:w="1000"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rPr>
              <w:t>专业基础</w:t>
            </w:r>
          </w:p>
        </w:tc>
        <w:tc>
          <w:tcPr>
            <w:tcW w:w="1152" w:type="dxa"/>
            <w:vMerge w:val="restart"/>
            <w:tcBorders>
              <w:left w:val="nil"/>
            </w:tcBorders>
            <w:tcMar>
              <w:top w:w="0" w:type="dxa"/>
              <w:left w:w="108" w:type="dxa"/>
              <w:bottom w:w="0" w:type="dxa"/>
              <w:right w:w="108" w:type="dxa"/>
            </w:tcMar>
            <w:vAlign w:val="center"/>
          </w:tcPr>
          <w:p>
            <w:pPr>
              <w:rPr>
                <w:rFonts w:ascii="仿宋" w:hAnsi="仿宋" w:eastAsia="仿宋"/>
                <w:sz w:val="18"/>
                <w:szCs w:val="18"/>
              </w:rPr>
            </w:pPr>
          </w:p>
        </w:tc>
      </w:tr>
      <w:tr>
        <w:trPr>
          <w:trHeight w:val="601" w:hRule="atLeast"/>
          <w:jc w:val="center"/>
        </w:trPr>
        <w:tc>
          <w:tcPr>
            <w:tcW w:w="397" w:type="dxa"/>
            <w:tcBorders>
              <w:top w:val="nil"/>
              <w:bottom w:val="nil"/>
              <w:right w:val="single" w:color="000000" w:sz="8" w:space="0"/>
            </w:tcBorders>
            <w:tcMar>
              <w:top w:w="0" w:type="dxa"/>
              <w:left w:w="108" w:type="dxa"/>
              <w:bottom w:w="0" w:type="dxa"/>
              <w:right w:w="108" w:type="dxa"/>
            </w:tcMar>
            <w:vAlign w:val="center"/>
          </w:tcPr>
          <w:p>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5</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其他与课程相关的实践课题</w:t>
            </w:r>
          </w:p>
        </w:tc>
        <w:tc>
          <w:tcPr>
            <w:tcW w:w="229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题目自拟</w:t>
            </w:r>
          </w:p>
        </w:tc>
        <w:tc>
          <w:tcPr>
            <w:tcW w:w="701"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lang w:val="en-US" w:eastAsia="zh-CN"/>
              </w:rPr>
              <w:t>4</w:t>
            </w:r>
            <w:r>
              <w:rPr>
                <w:rFonts w:ascii="仿宋" w:hAnsi="仿宋" w:eastAsia="仿宋"/>
                <w:sz w:val="18"/>
                <w:szCs w:val="18"/>
              </w:rPr>
              <w:t>-12</w:t>
            </w:r>
          </w:p>
        </w:tc>
        <w:tc>
          <w:tcPr>
            <w:tcW w:w="849"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验证性、综合性</w:t>
            </w:r>
          </w:p>
        </w:tc>
        <w:tc>
          <w:tcPr>
            <w:tcW w:w="1000" w:type="dxa"/>
            <w:tcBorders>
              <w:top w:val="nil"/>
              <w:left w:val="nil"/>
              <w:bottom w:val="nil"/>
              <w:right w:val="single" w:color="000000" w:sz="8" w:space="0"/>
            </w:tcBorders>
            <w:tcMar>
              <w:top w:w="0" w:type="dxa"/>
              <w:left w:w="108" w:type="dxa"/>
              <w:bottom w:w="0" w:type="dxa"/>
              <w:right w:w="108" w:type="dxa"/>
            </w:tcMar>
            <w:vAlign w:val="center"/>
          </w:tcPr>
          <w:p>
            <w:pPr>
              <w:rPr>
                <w:rFonts w:ascii="仿宋" w:hAnsi="仿宋" w:eastAsia="仿宋" w:cstheme="minorBidi"/>
                <w:kern w:val="2"/>
                <w:sz w:val="18"/>
                <w:szCs w:val="18"/>
                <w:lang w:val="en-US" w:eastAsia="zh-CN" w:bidi="ar-SA"/>
              </w:rPr>
            </w:pPr>
            <w:r>
              <w:rPr>
                <w:rFonts w:hint="eastAsia" w:ascii="仿宋" w:hAnsi="仿宋" w:eastAsia="仿宋"/>
                <w:sz w:val="18"/>
                <w:szCs w:val="18"/>
              </w:rPr>
              <w:t>专业基础</w:t>
            </w:r>
          </w:p>
        </w:tc>
        <w:tc>
          <w:tcPr>
            <w:tcW w:w="1152" w:type="dxa"/>
            <w:vMerge w:val="continue"/>
            <w:tcBorders>
              <w:left w:val="nil"/>
            </w:tcBorders>
            <w:tcMar>
              <w:top w:w="0" w:type="dxa"/>
              <w:left w:w="108" w:type="dxa"/>
              <w:bottom w:w="0" w:type="dxa"/>
              <w:right w:w="108" w:type="dxa"/>
            </w:tcMar>
            <w:vAlign w:val="center"/>
          </w:tcPr>
          <w:p>
            <w:pPr>
              <w:rPr>
                <w:rFonts w:ascii="仿宋" w:hAnsi="仿宋" w:eastAsia="仿宋"/>
                <w:sz w:val="18"/>
                <w:szCs w:val="18"/>
              </w:rPr>
            </w:pPr>
          </w:p>
        </w:tc>
      </w:tr>
      <w:tr>
        <w:trPr>
          <w:trHeight w:val="285" w:hRule="atLeast"/>
          <w:jc w:val="center"/>
        </w:trPr>
        <w:tc>
          <w:tcPr>
            <w:tcW w:w="8697" w:type="dxa"/>
            <w:gridSpan w:val="7"/>
            <w:tcBorders>
              <w:top w:val="nil"/>
              <w:bottom w:val="nil"/>
            </w:tcBorders>
            <w:tcMar>
              <w:top w:w="0" w:type="dxa"/>
              <w:left w:w="108" w:type="dxa"/>
              <w:bottom w:w="0" w:type="dxa"/>
              <w:right w:w="108" w:type="dxa"/>
            </w:tcMar>
            <w:vAlign w:val="center"/>
          </w:tcPr>
          <w:p>
            <w:pPr>
              <w:rPr>
                <w:rFonts w:ascii="仿宋" w:hAnsi="仿宋" w:eastAsia="仿宋"/>
                <w:sz w:val="18"/>
                <w:szCs w:val="18"/>
              </w:rPr>
            </w:pPr>
            <w:r>
              <w:rPr>
                <w:rFonts w:hint="eastAsia" w:ascii="仿宋" w:hAnsi="仿宋" w:eastAsia="仿宋"/>
                <w:sz w:val="18"/>
                <w:szCs w:val="18"/>
                <w:lang w:val="en-US" w:eastAsia="zh-CN"/>
              </w:rPr>
              <w:t>注：选择其中一种方式即可</w:t>
            </w:r>
          </w:p>
        </w:tc>
      </w:tr>
    </w:tbl>
    <w:p>
      <w:pPr>
        <w:ind w:firstLine="420" w:firstLineChars="200"/>
        <w:rPr>
          <w:rFonts w:hint="eastAsia" w:ascii="仿宋" w:hAnsi="仿宋" w:eastAsia="仿宋"/>
          <w:szCs w:val="21"/>
          <w:lang w:val="en-GB"/>
        </w:rPr>
      </w:pP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hAnsi="黑体" w:eastAsia="黑体"/>
          <w:szCs w:val="21"/>
          <w:lang w:val="en-GB"/>
        </w:rPr>
      </w:pPr>
      <w:r>
        <w:rPr>
          <w:rFonts w:hint="eastAsia" w:ascii="黑体" w:hAnsi="黑体" w:eastAsia="黑体"/>
          <w:szCs w:val="21"/>
          <w:lang w:val="en-GB"/>
        </w:rPr>
        <w:t>五、考核方式</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评分设置:按“通过</w:t>
      </w:r>
      <w:r>
        <w:rPr>
          <w:rFonts w:hint="eastAsia" w:ascii="仿宋" w:hAnsi="仿宋" w:eastAsia="仿宋" w:cs="仿宋"/>
          <w:sz w:val="21"/>
          <w:szCs w:val="21"/>
          <w:lang w:val="en-GB" w:eastAsia="zh-CN"/>
        </w:rPr>
        <w:t>”</w:t>
      </w:r>
      <w:r>
        <w:rPr>
          <w:rFonts w:hint="eastAsia" w:ascii="仿宋" w:hAnsi="仿宋" w:eastAsia="仿宋" w:cs="仿宋"/>
          <w:sz w:val="21"/>
          <w:szCs w:val="21"/>
          <w:lang w:val="en-GB"/>
        </w:rPr>
        <w:t>和“不通过</w:t>
      </w:r>
      <w:r>
        <w:rPr>
          <w:rFonts w:hint="eastAsia" w:ascii="仿宋" w:hAnsi="仿宋" w:eastAsia="仿宋" w:cs="仿宋"/>
          <w:sz w:val="21"/>
          <w:szCs w:val="21"/>
          <w:lang w:val="en-GB" w:eastAsia="zh-CN"/>
        </w:rPr>
        <w:t>”</w:t>
      </w:r>
      <w:r>
        <w:rPr>
          <w:rFonts w:hint="eastAsia" w:ascii="仿宋" w:hAnsi="仿宋" w:eastAsia="仿宋" w:cs="仿宋"/>
          <w:sz w:val="21"/>
          <w:szCs w:val="21"/>
          <w:lang w:val="en-GB"/>
        </w:rPr>
        <w:t>两分制标准评分。</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实践报告内容要结合所学课程，要求思想积极，观点正确、资料翔实。</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hint="eastAsia" w:ascii="仿宋" w:hAnsi="仿宋" w:eastAsia="仿宋" w:cs="仿宋"/>
          <w:sz w:val="21"/>
          <w:szCs w:val="21"/>
          <w:lang w:val="en-GB"/>
        </w:rPr>
      </w:pPr>
      <w:r>
        <w:rPr>
          <w:rFonts w:hint="eastAsia" w:ascii="仿宋" w:hAnsi="仿宋" w:eastAsia="仿宋" w:cs="仿宋"/>
          <w:sz w:val="21"/>
          <w:szCs w:val="21"/>
          <w:lang w:val="en-GB"/>
        </w:rPr>
        <w:t>实践活动结束后，每组需提交一份</w:t>
      </w:r>
      <w:r>
        <w:rPr>
          <w:rFonts w:hint="eastAsia" w:ascii="仿宋" w:hAnsi="仿宋" w:eastAsia="仿宋" w:cs="仿宋"/>
          <w:sz w:val="21"/>
          <w:szCs w:val="21"/>
          <w:lang w:val="en-US" w:eastAsia="zh-CN"/>
        </w:rPr>
        <w:t>纸质打印版</w:t>
      </w:r>
      <w:r>
        <w:rPr>
          <w:rFonts w:hint="eastAsia" w:ascii="仿宋" w:hAnsi="仿宋" w:eastAsia="仿宋" w:cs="仿宋"/>
          <w:sz w:val="21"/>
          <w:szCs w:val="21"/>
          <w:lang w:val="en-GB"/>
        </w:rPr>
        <w:t>实践报告，内容不少于</w:t>
      </w:r>
      <w:r>
        <w:rPr>
          <w:rFonts w:hint="eastAsia" w:ascii="仿宋" w:hAnsi="仿宋" w:eastAsia="仿宋" w:cs="仿宋"/>
          <w:sz w:val="21"/>
          <w:szCs w:val="21"/>
          <w:lang w:val="en-US" w:eastAsia="zh-CN"/>
        </w:rPr>
        <w:t>5000</w:t>
      </w:r>
      <w:r>
        <w:rPr>
          <w:rFonts w:hint="eastAsia" w:ascii="仿宋" w:hAnsi="仿宋" w:eastAsia="仿宋" w:cs="仿宋"/>
          <w:sz w:val="21"/>
          <w:szCs w:val="21"/>
          <w:lang w:val="en-GB"/>
        </w:rPr>
        <w:t>字。</w:t>
      </w:r>
    </w:p>
    <w:p>
      <w:pPr>
        <w:ind w:firstLine="420" w:firstLineChars="200"/>
        <w:rPr>
          <w:rFonts w:hint="eastAsia" w:ascii="仿宋" w:hAnsi="仿宋" w:eastAsia="仿宋"/>
          <w:szCs w:val="21"/>
        </w:rPr>
      </w:pPr>
    </w:p>
    <w:p>
      <w:pPr>
        <w:rPr>
          <w:rFonts w:hint="eastAsia" w:ascii="黑体" w:hAnsi="黑体" w:eastAsia="黑体"/>
          <w:szCs w:val="21"/>
          <w:lang w:val="en-GB"/>
        </w:rPr>
      </w:pPr>
    </w:p>
    <w:p>
      <w:pPr>
        <w:rPr>
          <w:rFonts w:hint="eastAsia" w:ascii="黑体" w:hAnsi="黑体" w:eastAsia="黑体"/>
          <w:szCs w:val="21"/>
          <w:lang w:val="en-GB"/>
        </w:rPr>
      </w:pPr>
      <w:r>
        <w:rPr>
          <w:rFonts w:hint="eastAsia" w:ascii="黑体" w:hAnsi="黑体" w:eastAsia="黑体"/>
          <w:szCs w:val="21"/>
          <w:lang w:val="en-GB"/>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hAnsi="黑体" w:eastAsia="黑体"/>
          <w:szCs w:val="21"/>
          <w:lang w:val="en-GB"/>
        </w:rPr>
      </w:pPr>
      <w:r>
        <w:rPr>
          <w:rFonts w:hint="eastAsia" w:ascii="黑体" w:hAnsi="黑体" w:eastAsia="黑体"/>
          <w:szCs w:val="21"/>
          <w:lang w:val="en-GB"/>
        </w:rPr>
        <w:t>六、教材与参考书</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仿宋" w:hAnsi="仿宋" w:eastAsia="仿宋"/>
          <w:b/>
          <w:szCs w:val="21"/>
        </w:rPr>
      </w:pPr>
      <w:r>
        <w:rPr>
          <w:rFonts w:hint="eastAsia" w:ascii="仿宋" w:hAnsi="仿宋" w:eastAsia="仿宋"/>
          <w:b/>
          <w:szCs w:val="21"/>
        </w:rPr>
        <w:t>（一）教材</w:t>
      </w:r>
    </w:p>
    <w:tbl>
      <w:tblPr>
        <w:tblStyle w:val="6"/>
        <w:tblW w:w="0" w:type="auto"/>
        <w:tblInd w:w="0" w:type="dxa"/>
        <w:tblLayout w:type="autofit"/>
        <w:tblCellMar>
          <w:top w:w="0" w:type="dxa"/>
          <w:left w:w="108" w:type="dxa"/>
          <w:bottom w:w="0" w:type="dxa"/>
          <w:right w:w="108" w:type="dxa"/>
        </w:tblCellMar>
      </w:tblPr>
      <w:tblGrid>
        <w:gridCol w:w="1077"/>
        <w:gridCol w:w="1140"/>
        <w:gridCol w:w="1311"/>
        <w:gridCol w:w="751"/>
        <w:gridCol w:w="840"/>
        <w:gridCol w:w="1594"/>
        <w:gridCol w:w="1809"/>
      </w:tblGrid>
      <w:tr>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4"/>
                <w:rFonts w:hint="default"/>
                <w:lang w:bidi="ar"/>
              </w:rPr>
              <w:t>教材级别</w:t>
            </w:r>
          </w:p>
        </w:tc>
      </w:tr>
      <w:tr>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马克思主义基本原理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2023年2月第2版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w:t>
            </w:r>
            <w:r>
              <w:rPr>
                <w:rFonts w:hint="default" w:ascii="仿宋" w:hAnsi="仿宋" w:eastAsia="仿宋" w:cs="仿宋"/>
                <w:lang w:val="en-US" w:eastAsia="zh-CN"/>
              </w:rPr>
              <w:t>4</w:t>
            </w:r>
            <w:r>
              <w:rPr>
                <w:rFonts w:hint="eastAsia" w:ascii="仿宋" w:hAnsi="仿宋" w:eastAsia="仿宋" w:cs="仿宋"/>
                <w:lang w:val="en-GB" w:eastAsia="zh-CN"/>
              </w:rPr>
              <w:t>年</w:t>
            </w:r>
            <w:r>
              <w:rPr>
                <w:rFonts w:hint="eastAsia" w:ascii="仿宋" w:hAnsi="仿宋" w:eastAsia="仿宋" w:cs="仿宋"/>
                <w:lang w:val="en-US" w:eastAsia="zh-CN"/>
              </w:rPr>
              <w:t>6</w:t>
            </w:r>
            <w:r>
              <w:rPr>
                <w:rFonts w:hint="eastAsia" w:ascii="仿宋" w:hAnsi="仿宋" w:eastAsia="仿宋" w:cs="仿宋"/>
                <w:lang w:val="en-GB" w:eastAsia="zh-CN"/>
              </w:rPr>
              <w:t>月第</w:t>
            </w:r>
            <w:r>
              <w:rPr>
                <w:rFonts w:hint="eastAsia" w:ascii="仿宋" w:hAnsi="仿宋" w:eastAsia="仿宋" w:cs="仿宋"/>
                <w:lang w:val="en-US" w:eastAsia="zh-CN"/>
              </w:rPr>
              <w:t>8</w:t>
            </w:r>
            <w:r>
              <w:rPr>
                <w:rFonts w:hint="eastAsia" w:ascii="仿宋" w:hAnsi="仿宋" w:eastAsia="仿宋" w:cs="仿宋"/>
                <w:lang w:val="en-GB" w:eastAsia="zh-CN"/>
              </w:rPr>
              <w:t>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本书编写组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GB" w:eastAsia="zh-CN"/>
              </w:rPr>
              <w:t>高等教育出版社</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default" w:ascii="仿宋" w:hAnsi="仿宋" w:eastAsia="仿宋" w:cs="仿宋"/>
                <w:lang w:val="en-US" w:eastAsia="zh-CN"/>
              </w:rPr>
              <w:t>9787040</w:t>
            </w:r>
            <w:r>
              <w:rPr>
                <w:rFonts w:hint="eastAsia" w:ascii="仿宋" w:hAnsi="仿宋" w:eastAsia="仿宋" w:cs="仿宋"/>
                <w:lang w:val="en-US" w:eastAsia="zh-CN"/>
              </w:rPr>
              <w:t>494792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马克思主义理论研究和建设工程重点教材</w:t>
            </w:r>
          </w:p>
        </w:tc>
      </w:tr>
    </w:tbl>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仿宋" w:hAnsi="仿宋" w:eastAsia="仿宋"/>
          <w:b/>
          <w:szCs w:val="21"/>
        </w:rPr>
      </w:pPr>
      <w:r>
        <w:rPr>
          <w:rFonts w:hint="eastAsia" w:ascii="仿宋" w:hAnsi="仿宋" w:eastAsia="仿宋"/>
          <w:b/>
          <w:szCs w:val="21"/>
        </w:rPr>
        <w:t>（二）参考书目或文献</w:t>
      </w:r>
    </w:p>
    <w:tbl>
      <w:tblPr>
        <w:tblStyle w:val="6"/>
        <w:tblW w:w="0" w:type="auto"/>
        <w:tblInd w:w="0" w:type="dxa"/>
        <w:tblLayout w:type="autofit"/>
        <w:tblCellMar>
          <w:top w:w="0" w:type="dxa"/>
          <w:left w:w="108" w:type="dxa"/>
          <w:bottom w:w="0" w:type="dxa"/>
          <w:right w:w="108" w:type="dxa"/>
        </w:tblCellMar>
      </w:tblPr>
      <w:tblGrid>
        <w:gridCol w:w="756"/>
        <w:gridCol w:w="975"/>
        <w:gridCol w:w="897"/>
        <w:gridCol w:w="972"/>
        <w:gridCol w:w="869"/>
        <w:gridCol w:w="696"/>
        <w:gridCol w:w="1776"/>
        <w:gridCol w:w="1581"/>
      </w:tblGrid>
      <w:tr>
        <w:trPr>
          <w:trHeight w:val="55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14"/>
                <w:rFonts w:hint="default"/>
                <w:lang w:bidi="ar"/>
              </w:rPr>
              <w:t>教材级别</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马克思主义基本原理专题研究</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12</w:t>
            </w:r>
            <w:r>
              <w:rPr>
                <w:rFonts w:hint="eastAsia" w:ascii="仿宋" w:hAnsi="仿宋" w:eastAsia="仿宋" w:cs="仿宋"/>
                <w:lang w:val="en-GB" w:eastAsia="zh-CN"/>
              </w:rPr>
              <w:t>年</w:t>
            </w:r>
            <w:r>
              <w:rPr>
                <w:rFonts w:hint="eastAsia" w:ascii="仿宋" w:hAnsi="仿宋" w:eastAsia="仿宋" w:cs="仿宋"/>
                <w:lang w:val="en-US" w:eastAsia="zh-CN"/>
              </w:rPr>
              <w:t>10</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201</w:t>
            </w:r>
            <w:r>
              <w:rPr>
                <w:rFonts w:hint="eastAsia" w:ascii="仿宋" w:hAnsi="仿宋" w:eastAsia="仿宋" w:cs="仿宋"/>
                <w:lang w:val="en-US" w:eastAsia="zh-CN"/>
              </w:rPr>
              <w:t>2</w:t>
            </w:r>
            <w:r>
              <w:rPr>
                <w:rFonts w:hint="eastAsia" w:ascii="仿宋" w:hAnsi="仿宋" w:eastAsia="仿宋" w:cs="仿宋"/>
                <w:lang w:val="en-GB" w:eastAsia="zh-CN"/>
              </w:rPr>
              <w:t>年</w:t>
            </w:r>
            <w:r>
              <w:rPr>
                <w:rFonts w:hint="eastAsia" w:ascii="仿宋" w:hAnsi="仿宋" w:eastAsia="仿宋" w:cs="仿宋"/>
                <w:lang w:val="en-US" w:eastAsia="zh-CN"/>
              </w:rPr>
              <w:t>10</w:t>
            </w:r>
            <w:r>
              <w:rPr>
                <w:rFonts w:hint="eastAsia" w:ascii="仿宋" w:hAnsi="仿宋" w:eastAsia="仿宋" w:cs="仿宋"/>
                <w:lang w:val="en-GB" w:eastAsia="zh-CN"/>
              </w:rPr>
              <w:t>月第1次印刷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石云霞</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高等教育出版社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9787040356359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马克思主义理论一级学科硕士研究生教材</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马克思主义基本原理概论</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24</w:t>
            </w:r>
            <w:r>
              <w:rPr>
                <w:rFonts w:hint="eastAsia" w:ascii="仿宋" w:hAnsi="仿宋" w:eastAsia="仿宋" w:cs="仿宋"/>
                <w:lang w:val="en-GB" w:eastAsia="zh-CN"/>
              </w:rPr>
              <w:t>年</w:t>
            </w:r>
            <w:r>
              <w:rPr>
                <w:rFonts w:hint="eastAsia" w:ascii="仿宋" w:hAnsi="仿宋" w:eastAsia="仿宋" w:cs="仿宋"/>
                <w:lang w:val="en-US" w:eastAsia="zh-CN"/>
              </w:rPr>
              <w:t>1</w:t>
            </w:r>
            <w:r>
              <w:rPr>
                <w:rFonts w:hint="eastAsia" w:ascii="仿宋" w:hAnsi="仿宋" w:eastAsia="仿宋" w:cs="仿宋"/>
                <w:lang w:val="en-GB" w:eastAsia="zh-CN"/>
              </w:rPr>
              <w:t>月第</w:t>
            </w:r>
            <w:r>
              <w:rPr>
                <w:rFonts w:hint="eastAsia" w:ascii="仿宋" w:hAnsi="仿宋" w:eastAsia="仿宋" w:cs="仿宋"/>
                <w:lang w:val="en-US" w:eastAsia="zh-CN"/>
              </w:rPr>
              <w:t>3</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24</w:t>
            </w:r>
            <w:r>
              <w:rPr>
                <w:rFonts w:hint="eastAsia" w:ascii="仿宋" w:hAnsi="仿宋" w:eastAsia="仿宋" w:cs="仿宋"/>
                <w:lang w:val="en-GB" w:eastAsia="zh-CN"/>
              </w:rPr>
              <w:t>年</w:t>
            </w:r>
            <w:r>
              <w:rPr>
                <w:rFonts w:hint="eastAsia" w:ascii="仿宋" w:hAnsi="仿宋" w:eastAsia="仿宋" w:cs="仿宋"/>
                <w:lang w:val="en-US" w:eastAsia="zh-CN"/>
              </w:rPr>
              <w:t>1</w:t>
            </w:r>
            <w:r>
              <w:rPr>
                <w:rFonts w:hint="eastAsia" w:ascii="仿宋" w:hAnsi="仿宋" w:eastAsia="仿宋" w:cs="仿宋"/>
                <w:lang w:val="en-GB" w:eastAsia="zh-CN"/>
              </w:rPr>
              <w:t>月第</w:t>
            </w:r>
            <w:r>
              <w:rPr>
                <w:rFonts w:hint="eastAsia" w:ascii="仿宋" w:hAnsi="仿宋" w:eastAsia="仿宋" w:cs="仿宋"/>
                <w:lang w:val="en-US" w:eastAsia="zh-CN"/>
              </w:rPr>
              <w:t>3</w:t>
            </w:r>
            <w:r>
              <w:rPr>
                <w:rFonts w:hint="eastAsia" w:ascii="仿宋" w:hAnsi="仿宋" w:eastAsia="仿宋" w:cs="仿宋"/>
                <w:lang w:val="en-GB" w:eastAsia="zh-CN"/>
              </w:rPr>
              <w:t>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张雷声</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中国人民大学出版社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9787300323039</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US" w:eastAsia="zh-CN"/>
              </w:rPr>
              <w:t>新编21世纪思想政治教育专业系列教材</w:t>
            </w:r>
          </w:p>
        </w:tc>
      </w:tr>
      <w:tr>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马克思主义基本原理概论</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20</w:t>
            </w:r>
            <w:r>
              <w:rPr>
                <w:rFonts w:hint="eastAsia" w:ascii="仿宋" w:hAnsi="仿宋" w:eastAsia="仿宋" w:cs="仿宋"/>
                <w:lang w:val="en-US" w:eastAsia="zh-CN"/>
              </w:rPr>
              <w:t>19</w:t>
            </w:r>
            <w:r>
              <w:rPr>
                <w:rFonts w:hint="eastAsia" w:ascii="仿宋" w:hAnsi="仿宋" w:eastAsia="仿宋" w:cs="仿宋"/>
                <w:lang w:val="en-GB" w:eastAsia="zh-CN"/>
              </w:rPr>
              <w:t>年</w:t>
            </w:r>
            <w:r>
              <w:rPr>
                <w:rFonts w:hint="eastAsia" w:ascii="仿宋" w:hAnsi="仿宋" w:eastAsia="仿宋" w:cs="仿宋"/>
                <w:lang w:val="en-US" w:eastAsia="zh-CN"/>
              </w:rPr>
              <w:t>12</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本书编写组</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高等教育出版社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eastAsia" w:ascii="仿宋" w:hAnsi="仿宋" w:eastAsia="仿宋" w:cs="仿宋"/>
                <w:lang w:val="en-GB" w:eastAsia="zh-CN"/>
              </w:rPr>
            </w:pPr>
            <w:r>
              <w:rPr>
                <w:rFonts w:hint="eastAsia" w:ascii="仿宋" w:hAnsi="仿宋" w:eastAsia="仿宋" w:cs="仿宋"/>
                <w:lang w:val="en-GB" w:eastAsia="zh-CN"/>
              </w:rPr>
              <w:t>9787040537543</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rPr>
                <w:rFonts w:hint="default" w:ascii="仿宋" w:hAnsi="仿宋" w:eastAsia="仿宋" w:cs="仿宋"/>
                <w:lang w:val="en-US" w:eastAsia="zh-CN"/>
              </w:rPr>
            </w:pPr>
            <w:r>
              <w:rPr>
                <w:rFonts w:hint="eastAsia" w:ascii="仿宋" w:hAnsi="仿宋" w:eastAsia="仿宋" w:cs="仿宋"/>
                <w:lang w:val="en-US" w:eastAsia="zh-CN"/>
              </w:rPr>
              <w:t>马克思主义理论研究和建设工程重点教材</w:t>
            </w:r>
          </w:p>
        </w:tc>
      </w:tr>
    </w:tbl>
    <w:p>
      <w:pPr>
        <w:rPr>
          <w:rFonts w:ascii="仿宋" w:hAnsi="仿宋" w:eastAsia="仿宋"/>
          <w:szCs w:val="21"/>
          <w:lang w:val="en-GB"/>
        </w:rPr>
      </w:pPr>
    </w:p>
    <w:p>
      <w:pPr>
        <w:ind w:firstLine="420" w:firstLineChars="200"/>
        <w:rPr>
          <w:rFonts w:ascii="仿宋" w:hAnsi="仿宋" w:eastAsia="仿宋"/>
          <w:szCs w:val="21"/>
          <w:lang w:val="en-GB"/>
        </w:rPr>
      </w:pPr>
    </w:p>
    <w:p>
      <w:pPr>
        <w:ind w:firstLine="420" w:firstLineChars="200"/>
        <w:rPr>
          <w:rFonts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hint="eastAsia" w:ascii="黑体" w:hAnsi="黑体" w:eastAsia="仿宋"/>
                <w:szCs w:val="21"/>
                <w:lang w:val="en-GB" w:eastAsia="zh-CN"/>
              </w:rPr>
            </w:pPr>
            <w:r>
              <w:rPr>
                <w:rFonts w:hint="eastAsia" w:ascii="仿宋" w:hAnsi="仿宋" w:eastAsia="仿宋"/>
                <w:szCs w:val="21"/>
                <w:lang w:val="en-GB"/>
              </w:rPr>
              <w:t>制定人：</w:t>
            </w:r>
            <w:r>
              <w:rPr>
                <w:rFonts w:hint="eastAsia" w:ascii="仿宋" w:hAnsi="仿宋" w:eastAsia="仿宋"/>
                <w:szCs w:val="21"/>
                <w:lang w:val="en-US" w:eastAsia="zh-CN"/>
              </w:rPr>
              <w:t>杨晨晨</w:t>
            </w:r>
          </w:p>
        </w:tc>
      </w:tr>
      <w:tr>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hint="eastAsia" w:ascii="仿宋" w:hAnsi="仿宋" w:eastAsia="仿宋"/>
                <w:szCs w:val="21"/>
                <w:lang w:val="en-GB"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晁娜娜</w:t>
            </w:r>
          </w:p>
        </w:tc>
      </w:tr>
      <w:tr>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5</w:t>
            </w:r>
            <w:r>
              <w:rPr>
                <w:rFonts w:hint="eastAsia" w:ascii="仿宋" w:hAnsi="仿宋" w:eastAsia="仿宋"/>
                <w:szCs w:val="21"/>
                <w:lang w:val="en-GB"/>
              </w:rPr>
              <w:t>月</w:t>
            </w:r>
          </w:p>
        </w:tc>
      </w:tr>
    </w:tbl>
    <w:p>
      <w:pPr>
        <w:widowControl/>
        <w:jc w:val="left"/>
        <w:rPr>
          <w:rFonts w:ascii="Times New Roman" w:hAnsi="Times New Roman" w:eastAsia="仿宋" w:cs="Times New Roman"/>
          <w:szCs w:val="21"/>
          <w:lang w:val="en-GB"/>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3000509000000000000"/>
    <w:charset w:val="86"/>
    <w:family w:val="script"/>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EB423"/>
    <w:multiLevelType w:val="singleLevel"/>
    <w:tmpl w:val="D74EB423"/>
    <w:lvl w:ilvl="0" w:tentative="0">
      <w:start w:val="1"/>
      <w:numFmt w:val="chineseCounting"/>
      <w:suff w:val="nothing"/>
      <w:lvlText w:val="（%1）"/>
      <w:lvlJc w:val="left"/>
      <w:pPr>
        <w:ind w:left="0" w:firstLine="420"/>
      </w:pPr>
      <w:rPr>
        <w:rFonts w:hint="eastAsia"/>
      </w:rPr>
    </w:lvl>
  </w:abstractNum>
  <w:abstractNum w:abstractNumId="1">
    <w:nsid w:val="FE9E99D6"/>
    <w:multiLevelType w:val="singleLevel"/>
    <w:tmpl w:val="FE9E99D6"/>
    <w:lvl w:ilvl="0" w:tentative="0">
      <w:start w:val="1"/>
      <w:numFmt w:val="chineseCounting"/>
      <w:suff w:val="nothing"/>
      <w:lvlText w:val="（%1）"/>
      <w:lvlJc w:val="left"/>
      <w:pPr>
        <w:ind w:left="0" w:firstLine="420"/>
      </w:pPr>
      <w:rPr>
        <w:rFonts w:hint="eastAsia"/>
      </w:rPr>
    </w:lvl>
  </w:abstractNum>
  <w:abstractNum w:abstractNumId="2">
    <w:nsid w:val="3A298A0F"/>
    <w:multiLevelType w:val="singleLevel"/>
    <w:tmpl w:val="3A298A0F"/>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3YzQ2OTBkOGQyZDI1NmU2ODkxYzVjMWJlYjk2YTkifQ=="/>
  </w:docVars>
  <w:rsids>
    <w:rsidRoot w:val="00BC67B7"/>
    <w:rsid w:val="000012F6"/>
    <w:rsid w:val="0002163E"/>
    <w:rsid w:val="00037816"/>
    <w:rsid w:val="000450CD"/>
    <w:rsid w:val="000547F8"/>
    <w:rsid w:val="00055E58"/>
    <w:rsid w:val="00104601"/>
    <w:rsid w:val="00120828"/>
    <w:rsid w:val="00164A0A"/>
    <w:rsid w:val="001753DB"/>
    <w:rsid w:val="001B3534"/>
    <w:rsid w:val="001C7304"/>
    <w:rsid w:val="00261945"/>
    <w:rsid w:val="003B15CF"/>
    <w:rsid w:val="003D2607"/>
    <w:rsid w:val="004C62F2"/>
    <w:rsid w:val="00503321"/>
    <w:rsid w:val="00571584"/>
    <w:rsid w:val="005A4B9D"/>
    <w:rsid w:val="005D0EB7"/>
    <w:rsid w:val="00613316"/>
    <w:rsid w:val="006C732D"/>
    <w:rsid w:val="007F5EE5"/>
    <w:rsid w:val="0084761E"/>
    <w:rsid w:val="008904AC"/>
    <w:rsid w:val="008D7B68"/>
    <w:rsid w:val="008F212C"/>
    <w:rsid w:val="00971A88"/>
    <w:rsid w:val="009823A0"/>
    <w:rsid w:val="00982AC0"/>
    <w:rsid w:val="00A869CB"/>
    <w:rsid w:val="00AC5BFF"/>
    <w:rsid w:val="00B36916"/>
    <w:rsid w:val="00BC0B32"/>
    <w:rsid w:val="00BC67B7"/>
    <w:rsid w:val="00BE704B"/>
    <w:rsid w:val="00C25C32"/>
    <w:rsid w:val="00C47CCC"/>
    <w:rsid w:val="00D17364"/>
    <w:rsid w:val="00D17D72"/>
    <w:rsid w:val="00D255E6"/>
    <w:rsid w:val="00D97DB8"/>
    <w:rsid w:val="00DC4554"/>
    <w:rsid w:val="00DE78C4"/>
    <w:rsid w:val="00E44C05"/>
    <w:rsid w:val="00E5768E"/>
    <w:rsid w:val="00EA66BF"/>
    <w:rsid w:val="00F97AED"/>
    <w:rsid w:val="12E60D9D"/>
    <w:rsid w:val="27190C8C"/>
    <w:rsid w:val="319121DA"/>
    <w:rsid w:val="37DBEFEA"/>
    <w:rsid w:val="39AF5B9C"/>
    <w:rsid w:val="7BF39C01"/>
    <w:rsid w:val="7CAF7FCB"/>
    <w:rsid w:val="BBDC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批注框文本 字符"/>
    <w:basedOn w:val="8"/>
    <w:link w:val="2"/>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font31"/>
    <w:qFormat/>
    <w:uiPriority w:val="0"/>
    <w:rPr>
      <w:rFonts w:hint="eastAsia" w:ascii="宋体" w:hAnsi="宋体" w:eastAsia="宋体" w:cs="宋体"/>
      <w:b/>
      <w:bCs/>
      <w:color w:val="000000"/>
      <w:sz w:val="20"/>
      <w:szCs w:val="20"/>
      <w:u w:val="none"/>
    </w:rPr>
  </w:style>
  <w:style w:type="character" w:customStyle="1" w:styleId="14">
    <w:name w:val="font11"/>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811</Characters>
  <Lines>6</Lines>
  <Paragraphs>1</Paragraphs>
  <TotalTime>0</TotalTime>
  <ScaleCrop>false</ScaleCrop>
  <LinksUpToDate>false</LinksUpToDate>
  <CharactersWithSpaces>952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2021-03-17T11:20:00Z</dcterms:created>
  <dc:creator>Admin</dc:creator>
  <cp:lastModifiedBy>Lcy</cp:lastModifiedBy>
  <dcterms:modified xsi:type="dcterms:W3CDTF">2024-09-02T19:06:40Z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CE4D59C015A9449C8645218FD2D505BA</vt:lpwstr>
  </property>
</Properties>
</file>