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E8D01" w14:textId="77777777" w:rsidR="0037663C" w:rsidRPr="00FB5BD6" w:rsidRDefault="00000000">
      <w:pPr>
        <w:jc w:val="center"/>
        <w:rPr>
          <w:rFonts w:ascii="黑体" w:eastAsia="黑体" w:hAnsi="黑体" w:hint="eastAsia"/>
          <w:b/>
          <w:bCs/>
          <w:sz w:val="32"/>
          <w:szCs w:val="21"/>
          <w:lang w:val="en-GB"/>
        </w:rPr>
      </w:pPr>
      <w:r w:rsidRPr="00FB5BD6">
        <w:rPr>
          <w:rFonts w:ascii="黑体" w:eastAsia="黑体" w:hAnsi="黑体" w:hint="eastAsia"/>
          <w:b/>
          <w:bCs/>
          <w:sz w:val="32"/>
          <w:szCs w:val="21"/>
          <w:lang w:val="en-GB"/>
        </w:rPr>
        <w:t>《</w:t>
      </w:r>
      <w:r w:rsidRPr="00FB5BD6">
        <w:rPr>
          <w:rFonts w:ascii="黑体" w:eastAsia="黑体" w:hAnsi="黑体" w:hint="eastAsia"/>
          <w:b/>
          <w:bCs/>
          <w:sz w:val="32"/>
          <w:szCs w:val="21"/>
        </w:rPr>
        <w:t>企业绿色管理概论</w:t>
      </w:r>
      <w:r w:rsidRPr="00FB5BD6">
        <w:rPr>
          <w:rFonts w:ascii="黑体" w:eastAsia="黑体" w:hAnsi="黑体" w:hint="eastAsia"/>
          <w:b/>
          <w:bCs/>
          <w:sz w:val="32"/>
          <w:szCs w:val="21"/>
          <w:lang w:val="en-GB"/>
        </w:rPr>
        <w:t>》教学大纲</w:t>
      </w:r>
    </w:p>
    <w:p w14:paraId="07CCACC8" w14:textId="77777777" w:rsidR="00D5725A" w:rsidRDefault="00D5725A">
      <w:pPr>
        <w:jc w:val="center"/>
        <w:rPr>
          <w:rFonts w:ascii="方正小标宋简体" w:eastAsia="方正小标宋简体" w:hAnsi="黑体" w:hint="eastAsia"/>
          <w:sz w:val="32"/>
          <w:szCs w:val="21"/>
          <w:lang w:val="en-GB"/>
        </w:rPr>
      </w:pPr>
    </w:p>
    <w:p w14:paraId="05641EE8" w14:textId="77777777" w:rsidR="0037663C" w:rsidRDefault="00000000">
      <w:pPr>
        <w:rPr>
          <w:rFonts w:ascii="黑体" w:eastAsia="黑体" w:hAnsi="黑体" w:hint="eastAsia"/>
          <w:szCs w:val="21"/>
          <w:lang w:val="en-GB"/>
        </w:rPr>
      </w:pPr>
      <w:r>
        <w:rPr>
          <w:rFonts w:ascii="黑体" w:eastAsia="黑体" w:hAnsi="黑体" w:hint="eastAsia"/>
          <w:szCs w:val="21"/>
          <w:lang w:val="en-GB"/>
        </w:rPr>
        <w:t>一、基本信息</w:t>
      </w: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37663C" w14:paraId="4E0D0298" w14:textId="77777777">
        <w:trPr>
          <w:jc w:val="right"/>
        </w:trPr>
        <w:tc>
          <w:tcPr>
            <w:tcW w:w="4025" w:type="dxa"/>
            <w:vAlign w:val="center"/>
          </w:tcPr>
          <w:p w14:paraId="6D025EF4" w14:textId="77777777" w:rsidR="0037663C" w:rsidRDefault="00000000">
            <w:pPr>
              <w:rPr>
                <w:rFonts w:ascii="黑体" w:eastAsia="仿宋" w:hAnsi="黑体" w:hint="eastAsia"/>
                <w:szCs w:val="21"/>
              </w:rPr>
            </w:pPr>
            <w:r>
              <w:rPr>
                <w:rFonts w:ascii="仿宋" w:eastAsia="仿宋" w:hAnsi="仿宋" w:hint="eastAsia"/>
                <w:szCs w:val="21"/>
                <w:lang w:val="en-GB"/>
              </w:rPr>
              <w:t>课程名称：</w:t>
            </w:r>
            <w:r>
              <w:rPr>
                <w:rFonts w:ascii="仿宋" w:eastAsia="仿宋" w:hAnsi="仿宋" w:hint="eastAsia"/>
                <w:szCs w:val="21"/>
              </w:rPr>
              <w:t>企业绿色管理概论</w:t>
            </w:r>
          </w:p>
        </w:tc>
        <w:tc>
          <w:tcPr>
            <w:tcW w:w="3969" w:type="dxa"/>
            <w:vAlign w:val="center"/>
          </w:tcPr>
          <w:p w14:paraId="0F01AB15" w14:textId="77777777" w:rsidR="0037663C" w:rsidRDefault="00000000">
            <w:pPr>
              <w:rPr>
                <w:rFonts w:ascii="黑体" w:eastAsia="黑体" w:hAnsi="黑体" w:hint="eastAsia"/>
                <w:szCs w:val="21"/>
                <w:lang w:val="en-GB"/>
              </w:rPr>
            </w:pPr>
            <w:r>
              <w:rPr>
                <w:rFonts w:ascii="仿宋" w:eastAsia="仿宋" w:hAnsi="仿宋" w:hint="eastAsia"/>
                <w:szCs w:val="21"/>
                <w:lang w:val="en-GB"/>
              </w:rPr>
              <w:t>英文课程名称：</w:t>
            </w:r>
            <w:r>
              <w:rPr>
                <w:rFonts w:ascii="Times New Roman" w:eastAsia="仿宋" w:hAnsi="Times New Roman" w:cs="Times New Roman"/>
                <w:szCs w:val="21"/>
                <w:lang w:val="en-GB"/>
              </w:rPr>
              <w:t>Introduction to enterprise green management</w:t>
            </w:r>
          </w:p>
        </w:tc>
      </w:tr>
      <w:tr w:rsidR="0037663C" w14:paraId="0E400885" w14:textId="77777777">
        <w:trPr>
          <w:jc w:val="right"/>
        </w:trPr>
        <w:tc>
          <w:tcPr>
            <w:tcW w:w="4025" w:type="dxa"/>
            <w:vAlign w:val="center"/>
          </w:tcPr>
          <w:p w14:paraId="6429635F" w14:textId="726818DD" w:rsidR="0037663C" w:rsidRDefault="00000000">
            <w:pPr>
              <w:rPr>
                <w:rFonts w:ascii="黑体" w:eastAsia="黑体" w:hAnsi="黑体" w:hint="eastAsia"/>
                <w:szCs w:val="21"/>
                <w:lang w:val="en-GB"/>
              </w:rPr>
            </w:pPr>
            <w:r>
              <w:rPr>
                <w:rFonts w:ascii="仿宋" w:eastAsia="仿宋" w:hAnsi="仿宋" w:hint="eastAsia"/>
                <w:szCs w:val="21"/>
                <w:lang w:val="en-GB"/>
              </w:rPr>
              <w:t>课程代码：</w:t>
            </w:r>
            <w:r>
              <w:rPr>
                <w:rFonts w:ascii="仿宋" w:eastAsia="仿宋" w:hAnsi="仿宋" w:hint="eastAsia"/>
                <w:szCs w:val="21"/>
              </w:rPr>
              <w:t>2</w:t>
            </w:r>
            <w:r w:rsidR="00FB5BD6">
              <w:rPr>
                <w:rFonts w:ascii="仿宋" w:eastAsia="仿宋" w:hAnsi="仿宋" w:hint="eastAsia"/>
                <w:szCs w:val="21"/>
              </w:rPr>
              <w:t>4</w:t>
            </w:r>
            <w:r>
              <w:rPr>
                <w:rFonts w:ascii="仿宋" w:eastAsia="仿宋" w:hAnsi="仿宋" w:hint="eastAsia"/>
                <w:szCs w:val="21"/>
              </w:rPr>
              <w:t>0901G001</w:t>
            </w:r>
          </w:p>
        </w:tc>
        <w:tc>
          <w:tcPr>
            <w:tcW w:w="3969" w:type="dxa"/>
            <w:vAlign w:val="center"/>
          </w:tcPr>
          <w:p w14:paraId="22D631C5" w14:textId="71FDBA73" w:rsidR="0037663C" w:rsidRDefault="00000000">
            <w:pPr>
              <w:rPr>
                <w:rFonts w:ascii="黑体" w:eastAsia="仿宋" w:hAnsi="黑体" w:hint="eastAsia"/>
                <w:szCs w:val="21"/>
              </w:rPr>
            </w:pPr>
            <w:r>
              <w:rPr>
                <w:rFonts w:ascii="仿宋" w:eastAsia="仿宋" w:hAnsi="仿宋" w:hint="eastAsia"/>
                <w:szCs w:val="21"/>
                <w:lang w:val="en-GB"/>
              </w:rPr>
              <w:t>总学分：</w:t>
            </w:r>
            <w:r w:rsidR="00FE01E4">
              <w:rPr>
                <w:rFonts w:ascii="仿宋" w:eastAsia="仿宋" w:hAnsi="仿宋" w:hint="eastAsia"/>
                <w:szCs w:val="21"/>
              </w:rPr>
              <w:t>1</w:t>
            </w:r>
          </w:p>
        </w:tc>
      </w:tr>
      <w:tr w:rsidR="0037663C" w14:paraId="0E0D4882" w14:textId="77777777">
        <w:trPr>
          <w:jc w:val="right"/>
        </w:trPr>
        <w:tc>
          <w:tcPr>
            <w:tcW w:w="4025" w:type="dxa"/>
            <w:vAlign w:val="center"/>
          </w:tcPr>
          <w:p w14:paraId="49938166" w14:textId="23CBDBE1" w:rsidR="0037663C" w:rsidRDefault="00000000">
            <w:pPr>
              <w:rPr>
                <w:rFonts w:ascii="黑体" w:eastAsia="仿宋" w:hAnsi="黑体" w:hint="eastAsia"/>
                <w:szCs w:val="21"/>
              </w:rPr>
            </w:pPr>
            <w:r>
              <w:rPr>
                <w:rFonts w:ascii="仿宋" w:eastAsia="仿宋" w:hAnsi="仿宋" w:hint="eastAsia"/>
                <w:szCs w:val="21"/>
                <w:lang w:val="en-GB"/>
              </w:rPr>
              <w:t>总学时：</w:t>
            </w:r>
            <w:r w:rsidR="003F0613">
              <w:rPr>
                <w:rFonts w:ascii="仿宋" w:eastAsia="仿宋" w:hAnsi="仿宋" w:hint="eastAsia"/>
                <w:szCs w:val="21"/>
              </w:rPr>
              <w:t>1</w:t>
            </w:r>
            <w:r w:rsidR="00FA1543">
              <w:rPr>
                <w:rFonts w:ascii="仿宋" w:eastAsia="仿宋" w:hAnsi="仿宋" w:hint="eastAsia"/>
                <w:szCs w:val="21"/>
              </w:rPr>
              <w:t>5</w:t>
            </w:r>
          </w:p>
        </w:tc>
        <w:tc>
          <w:tcPr>
            <w:tcW w:w="3969" w:type="dxa"/>
            <w:vAlign w:val="center"/>
          </w:tcPr>
          <w:p w14:paraId="3AD810E7" w14:textId="1CC56697" w:rsidR="0037663C" w:rsidRDefault="00000000">
            <w:pPr>
              <w:rPr>
                <w:rFonts w:ascii="黑体" w:eastAsia="仿宋" w:hAnsi="黑体" w:hint="eastAsia"/>
                <w:szCs w:val="21"/>
              </w:rPr>
            </w:pPr>
            <w:r>
              <w:rPr>
                <w:rFonts w:ascii="仿宋" w:eastAsia="仿宋" w:hAnsi="仿宋" w:hint="eastAsia"/>
                <w:szCs w:val="21"/>
                <w:lang w:val="en-GB"/>
              </w:rPr>
              <w:t>理论</w:t>
            </w:r>
            <w:r>
              <w:rPr>
                <w:rFonts w:ascii="仿宋" w:eastAsia="仿宋" w:hAnsi="仿宋"/>
                <w:szCs w:val="21"/>
                <w:lang w:val="en-GB"/>
              </w:rPr>
              <w:t>学时</w:t>
            </w:r>
            <w:r>
              <w:rPr>
                <w:rFonts w:ascii="仿宋" w:eastAsia="仿宋" w:hAnsi="仿宋" w:hint="eastAsia"/>
                <w:szCs w:val="21"/>
                <w:lang w:val="en-GB"/>
              </w:rPr>
              <w:t>：</w:t>
            </w:r>
            <w:r w:rsidR="003F0613">
              <w:rPr>
                <w:rFonts w:ascii="仿宋" w:eastAsia="仿宋" w:hAnsi="仿宋" w:hint="eastAsia"/>
                <w:szCs w:val="21"/>
              </w:rPr>
              <w:t>1</w:t>
            </w:r>
            <w:r w:rsidR="00FA1543">
              <w:rPr>
                <w:rFonts w:ascii="仿宋" w:eastAsia="仿宋" w:hAnsi="仿宋" w:hint="eastAsia"/>
                <w:szCs w:val="21"/>
              </w:rPr>
              <w:t>5</w:t>
            </w:r>
          </w:p>
        </w:tc>
      </w:tr>
      <w:tr w:rsidR="0037663C" w14:paraId="5A60546A" w14:textId="77777777">
        <w:trPr>
          <w:jc w:val="right"/>
        </w:trPr>
        <w:tc>
          <w:tcPr>
            <w:tcW w:w="4025" w:type="dxa"/>
            <w:vAlign w:val="center"/>
          </w:tcPr>
          <w:p w14:paraId="2EA36DDB" w14:textId="77777777" w:rsidR="0037663C" w:rsidRDefault="00000000">
            <w:pPr>
              <w:rPr>
                <w:rFonts w:ascii="仿宋" w:eastAsia="仿宋" w:hAnsi="仿宋" w:hint="eastAsia"/>
                <w:szCs w:val="21"/>
              </w:rPr>
            </w:pPr>
            <w:r>
              <w:rPr>
                <w:rFonts w:ascii="仿宋" w:eastAsia="仿宋" w:hAnsi="仿宋" w:hint="eastAsia"/>
                <w:szCs w:val="21"/>
                <w:lang w:val="en-GB"/>
              </w:rPr>
              <w:t>实验学时：</w:t>
            </w:r>
            <w:r>
              <w:rPr>
                <w:rFonts w:ascii="仿宋" w:eastAsia="仿宋" w:hAnsi="仿宋" w:hint="eastAsia"/>
                <w:szCs w:val="21"/>
              </w:rPr>
              <w:t>0</w:t>
            </w:r>
          </w:p>
        </w:tc>
        <w:tc>
          <w:tcPr>
            <w:tcW w:w="3969" w:type="dxa"/>
            <w:vAlign w:val="center"/>
          </w:tcPr>
          <w:p w14:paraId="4EBA411A" w14:textId="77777777" w:rsidR="0037663C" w:rsidRDefault="00000000">
            <w:pPr>
              <w:rPr>
                <w:rFonts w:ascii="仿宋" w:eastAsia="仿宋" w:hAnsi="仿宋" w:hint="eastAsia"/>
                <w:szCs w:val="21"/>
              </w:rPr>
            </w:pPr>
            <w:r>
              <w:rPr>
                <w:rFonts w:ascii="仿宋" w:eastAsia="仿宋" w:hAnsi="仿宋" w:hint="eastAsia"/>
                <w:szCs w:val="21"/>
                <w:lang w:val="en-GB"/>
              </w:rPr>
              <w:t>上机学时：</w:t>
            </w:r>
            <w:r>
              <w:rPr>
                <w:rFonts w:ascii="仿宋" w:eastAsia="仿宋" w:hAnsi="仿宋" w:hint="eastAsia"/>
                <w:szCs w:val="21"/>
              </w:rPr>
              <w:t>0</w:t>
            </w:r>
          </w:p>
        </w:tc>
      </w:tr>
      <w:tr w:rsidR="0037663C" w14:paraId="04062BBD" w14:textId="77777777">
        <w:trPr>
          <w:trHeight w:val="90"/>
          <w:jc w:val="right"/>
        </w:trPr>
        <w:tc>
          <w:tcPr>
            <w:tcW w:w="4025" w:type="dxa"/>
            <w:vAlign w:val="center"/>
          </w:tcPr>
          <w:p w14:paraId="3C935BC5" w14:textId="77777777" w:rsidR="0037663C" w:rsidRDefault="00000000">
            <w:pPr>
              <w:rPr>
                <w:rFonts w:ascii="黑体" w:eastAsia="仿宋" w:hAnsi="黑体" w:hint="eastAsia"/>
                <w:szCs w:val="21"/>
              </w:rPr>
            </w:pPr>
            <w:r>
              <w:rPr>
                <w:rFonts w:ascii="仿宋" w:eastAsia="仿宋" w:hAnsi="仿宋" w:hint="eastAsia"/>
                <w:szCs w:val="21"/>
                <w:lang w:val="en-GB"/>
              </w:rPr>
              <w:t>开课学院：</w:t>
            </w:r>
            <w:r>
              <w:rPr>
                <w:rFonts w:ascii="仿宋" w:eastAsia="仿宋" w:hAnsi="仿宋" w:hint="eastAsia"/>
                <w:szCs w:val="21"/>
              </w:rPr>
              <w:t>工商管理学院/马克思主义学院</w:t>
            </w:r>
          </w:p>
        </w:tc>
        <w:tc>
          <w:tcPr>
            <w:tcW w:w="3969" w:type="dxa"/>
            <w:vAlign w:val="center"/>
          </w:tcPr>
          <w:p w14:paraId="7C3478AB" w14:textId="77777777" w:rsidR="0037663C" w:rsidRDefault="00000000">
            <w:pPr>
              <w:rPr>
                <w:rFonts w:ascii="黑体" w:eastAsia="仿宋" w:hAnsi="黑体" w:hint="eastAsia"/>
                <w:szCs w:val="21"/>
              </w:rPr>
            </w:pPr>
            <w:r>
              <w:rPr>
                <w:rFonts w:ascii="仿宋" w:eastAsia="仿宋" w:hAnsi="仿宋" w:hint="eastAsia"/>
                <w:szCs w:val="21"/>
                <w:lang w:val="en-GB"/>
              </w:rPr>
              <w:t>适用专业：</w:t>
            </w:r>
            <w:r>
              <w:rPr>
                <w:rFonts w:ascii="仿宋" w:eastAsia="仿宋" w:hAnsi="仿宋" w:hint="eastAsia"/>
                <w:szCs w:val="21"/>
              </w:rPr>
              <w:t>所有专业</w:t>
            </w:r>
          </w:p>
        </w:tc>
      </w:tr>
      <w:tr w:rsidR="0037663C" w14:paraId="5AE7F532" w14:textId="77777777">
        <w:trPr>
          <w:jc w:val="right"/>
        </w:trPr>
        <w:tc>
          <w:tcPr>
            <w:tcW w:w="4025" w:type="dxa"/>
            <w:vAlign w:val="center"/>
          </w:tcPr>
          <w:p w14:paraId="7BC8AF9F" w14:textId="77777777" w:rsidR="0037663C" w:rsidRDefault="00000000">
            <w:pPr>
              <w:rPr>
                <w:rFonts w:ascii="黑体" w:eastAsia="仿宋" w:hAnsi="黑体" w:hint="eastAsia"/>
                <w:szCs w:val="21"/>
              </w:rPr>
            </w:pPr>
            <w:r>
              <w:rPr>
                <w:rFonts w:ascii="仿宋" w:eastAsia="仿宋" w:hAnsi="仿宋" w:hint="eastAsia"/>
                <w:szCs w:val="21"/>
                <w:lang w:val="en-GB"/>
              </w:rPr>
              <w:t>课程性质：</w:t>
            </w:r>
            <w:r>
              <w:rPr>
                <w:rFonts w:ascii="仿宋" w:eastAsia="仿宋" w:hAnsi="仿宋" w:hint="eastAsia"/>
                <w:szCs w:val="21"/>
              </w:rPr>
              <w:t>选修</w:t>
            </w:r>
          </w:p>
        </w:tc>
        <w:tc>
          <w:tcPr>
            <w:tcW w:w="3969" w:type="dxa"/>
            <w:vAlign w:val="center"/>
          </w:tcPr>
          <w:p w14:paraId="5D066F48" w14:textId="77777777" w:rsidR="0037663C" w:rsidRDefault="00000000">
            <w:pPr>
              <w:rPr>
                <w:rFonts w:ascii="黑体" w:eastAsia="黑体" w:hAnsi="黑体" w:hint="eastAsia"/>
                <w:szCs w:val="21"/>
                <w:lang w:val="en-GB"/>
              </w:rPr>
            </w:pPr>
            <w:r>
              <w:rPr>
                <w:rFonts w:ascii="仿宋" w:eastAsia="仿宋" w:hAnsi="仿宋" w:hint="eastAsia"/>
                <w:szCs w:val="21"/>
                <w:lang w:val="en-GB"/>
              </w:rPr>
              <w:t>先修课程：</w:t>
            </w:r>
          </w:p>
        </w:tc>
      </w:tr>
    </w:tbl>
    <w:p w14:paraId="185F1C8C" w14:textId="77777777" w:rsidR="00D5725A" w:rsidRDefault="00D5725A">
      <w:pPr>
        <w:rPr>
          <w:rFonts w:ascii="黑体" w:eastAsia="黑体" w:hAnsi="黑体" w:hint="eastAsia"/>
          <w:szCs w:val="21"/>
          <w:lang w:val="en-GB"/>
        </w:rPr>
      </w:pPr>
    </w:p>
    <w:p w14:paraId="0FB6696A" w14:textId="7080CDAB" w:rsidR="0037663C" w:rsidRDefault="00000000">
      <w:pPr>
        <w:rPr>
          <w:rFonts w:ascii="黑体" w:eastAsia="黑体" w:hAnsi="黑体" w:hint="eastAsia"/>
          <w:szCs w:val="21"/>
          <w:lang w:val="en-GB"/>
        </w:rPr>
      </w:pPr>
      <w:r>
        <w:rPr>
          <w:rFonts w:ascii="黑体" w:eastAsia="黑体" w:hAnsi="黑体" w:hint="eastAsia"/>
          <w:szCs w:val="21"/>
          <w:lang w:val="en-GB"/>
        </w:rPr>
        <w:t>二、课程简介</w:t>
      </w:r>
    </w:p>
    <w:p w14:paraId="63F6D0B6" w14:textId="77777777" w:rsidR="0037663C" w:rsidRDefault="00000000">
      <w:pPr>
        <w:pStyle w:val="HTML"/>
        <w:widowControl/>
        <w:shd w:val="clear" w:color="auto" w:fill="FFFFFF"/>
        <w:spacing w:before="144" w:line="360" w:lineRule="atLeast"/>
        <w:ind w:firstLineChars="200" w:firstLine="420"/>
        <w:jc w:val="both"/>
        <w:rPr>
          <w:rFonts w:ascii="仿宋" w:eastAsia="仿宋" w:hAnsi="仿宋" w:cs="仿宋"/>
          <w:sz w:val="21"/>
          <w:szCs w:val="21"/>
          <w:shd w:val="clear" w:color="auto" w:fill="FFFFFF"/>
        </w:rPr>
      </w:pPr>
      <w:r>
        <w:rPr>
          <w:rFonts w:ascii="仿宋" w:eastAsia="仿宋" w:hAnsi="仿宋" w:cs="仿宋"/>
          <w:sz w:val="21"/>
          <w:szCs w:val="21"/>
          <w:shd w:val="clear" w:color="auto" w:fill="FFFFFF"/>
        </w:rPr>
        <w:t>生态文明山青水绿，绿色发展企业先行。《企业绿色管理概论》慕课将和您一道，从企业管理的绿色视角给企业、自然以人文关怀，通过分享基本的企业绿色管理原理与方法，构建全新的企业绿色管理理念，打开未来企业利润源泉的绿色通道，助推生态文明建设，实现企业经济与生态效益的双赢。我们相信，企业管理与自然的和谐无处不在。</w:t>
      </w:r>
    </w:p>
    <w:p w14:paraId="0EB1C1B8" w14:textId="77777777" w:rsidR="0037663C" w:rsidRDefault="0037663C">
      <w:pPr>
        <w:pStyle w:val="HTML"/>
        <w:widowControl/>
        <w:shd w:val="clear" w:color="auto" w:fill="FFFFFF"/>
        <w:spacing w:before="144" w:line="360" w:lineRule="atLeast"/>
        <w:ind w:firstLineChars="200" w:firstLine="420"/>
        <w:jc w:val="both"/>
        <w:rPr>
          <w:rFonts w:ascii="仿宋" w:eastAsia="仿宋" w:hAnsi="仿宋" w:cs="仿宋"/>
          <w:color w:val="2A2A2A"/>
          <w:sz w:val="21"/>
          <w:szCs w:val="21"/>
          <w:shd w:val="clear" w:color="auto" w:fill="FFFFFF"/>
        </w:rPr>
      </w:pPr>
    </w:p>
    <w:p w14:paraId="54615D06" w14:textId="77777777" w:rsidR="0037663C" w:rsidRDefault="00000000">
      <w:pPr>
        <w:rPr>
          <w:rFonts w:ascii="黑体" w:eastAsia="黑体" w:hAnsi="黑体" w:hint="eastAsia"/>
          <w:szCs w:val="21"/>
          <w:lang w:val="en-GB"/>
        </w:rPr>
      </w:pPr>
      <w:r>
        <w:rPr>
          <w:rFonts w:ascii="黑体" w:eastAsia="黑体" w:hAnsi="黑体" w:hint="eastAsia"/>
          <w:szCs w:val="21"/>
          <w:lang w:val="en-GB"/>
        </w:rPr>
        <w:t>三、教学目标</w:t>
      </w:r>
    </w:p>
    <w:p w14:paraId="01B25372" w14:textId="77777777" w:rsidR="0037663C" w:rsidRDefault="00000000" w:rsidP="003F0613">
      <w:pPr>
        <w:pStyle w:val="HTML"/>
        <w:widowControl/>
        <w:shd w:val="clear" w:color="auto" w:fill="FFFFFF"/>
        <w:spacing w:before="144" w:line="360" w:lineRule="atLeast"/>
        <w:ind w:firstLineChars="200" w:firstLine="420"/>
        <w:rPr>
          <w:rFonts w:ascii="仿宋" w:eastAsia="仿宋" w:hAnsi="仿宋" w:cs="仿宋"/>
          <w:sz w:val="21"/>
          <w:szCs w:val="21"/>
          <w:shd w:val="clear" w:color="auto" w:fill="FFFFFF"/>
        </w:rPr>
      </w:pPr>
      <w:r>
        <w:rPr>
          <w:rFonts w:ascii="仿宋" w:eastAsia="仿宋" w:hAnsi="仿宋" w:cs="仿宋"/>
          <w:sz w:val="21"/>
          <w:szCs w:val="21"/>
          <w:shd w:val="clear" w:color="auto" w:fill="FFFFFF"/>
        </w:rPr>
        <w:t>了解企业管理学的前沿思想，树立绿色可持续发展理念；掌握企业绿色管理思想和管理方法，包括绿色人力资源管理、绿色会计、绿色供应链管理、绿色制造、绿色营销等；运用企业绿色管理思想和理念指导酒店、冶金、石油、建筑等服务型和生产型行业企业的绿色管理实践。</w:t>
      </w:r>
    </w:p>
    <w:p w14:paraId="3137EB2C" w14:textId="77777777" w:rsidR="0037663C" w:rsidRDefault="0037663C">
      <w:pPr>
        <w:pStyle w:val="HTML"/>
        <w:widowControl/>
        <w:shd w:val="clear" w:color="auto" w:fill="FFFFFF"/>
        <w:spacing w:line="312" w:lineRule="atLeast"/>
        <w:ind w:firstLineChars="200" w:firstLine="420"/>
        <w:rPr>
          <w:rFonts w:ascii="仿宋" w:eastAsia="仿宋" w:hAnsi="仿宋" w:cs="仿宋"/>
          <w:sz w:val="21"/>
          <w:szCs w:val="21"/>
          <w:shd w:val="clear" w:color="auto" w:fill="FFFFFF"/>
          <w:lang w:val="en-GB"/>
        </w:rPr>
      </w:pPr>
    </w:p>
    <w:p w14:paraId="4945B7A6" w14:textId="77777777" w:rsidR="0037663C" w:rsidRDefault="00000000">
      <w:pPr>
        <w:numPr>
          <w:ilvl w:val="0"/>
          <w:numId w:val="1"/>
        </w:numPr>
        <w:rPr>
          <w:rFonts w:ascii="黑体" w:eastAsia="黑体" w:hAnsi="黑体" w:hint="eastAsia"/>
          <w:szCs w:val="21"/>
          <w:lang w:val="en-GB"/>
        </w:rPr>
      </w:pPr>
      <w:r>
        <w:rPr>
          <w:rFonts w:ascii="黑体" w:eastAsia="黑体" w:hAnsi="黑体" w:hint="eastAsia"/>
          <w:szCs w:val="21"/>
          <w:lang w:val="en-GB"/>
        </w:rPr>
        <w:t>教学内容与学习要求</w:t>
      </w:r>
    </w:p>
    <w:p w14:paraId="12A342C9" w14:textId="77777777" w:rsidR="0037663C" w:rsidRDefault="0037663C">
      <w:pPr>
        <w:rPr>
          <w:rFonts w:ascii="黑体" w:eastAsia="黑体" w:hAnsi="黑体" w:hint="eastAsia"/>
          <w:szCs w:val="21"/>
          <w:lang w:val="en-GB"/>
        </w:rPr>
      </w:pPr>
    </w:p>
    <w:tbl>
      <w:tblPr>
        <w:tblStyle w:val="ab"/>
        <w:tblW w:w="0" w:type="auto"/>
        <w:jc w:val="center"/>
        <w:tblLayout w:type="fixed"/>
        <w:tblLook w:val="04A0" w:firstRow="1" w:lastRow="0" w:firstColumn="1" w:lastColumn="0" w:noHBand="0" w:noVBand="1"/>
      </w:tblPr>
      <w:tblGrid>
        <w:gridCol w:w="1129"/>
        <w:gridCol w:w="2860"/>
        <w:gridCol w:w="2757"/>
        <w:gridCol w:w="397"/>
        <w:gridCol w:w="1134"/>
      </w:tblGrid>
      <w:tr w:rsidR="0037663C" w14:paraId="7654E53A" w14:textId="77777777">
        <w:trPr>
          <w:trHeight w:val="20"/>
          <w:tblHeader/>
          <w:jc w:val="center"/>
        </w:trPr>
        <w:tc>
          <w:tcPr>
            <w:tcW w:w="3989" w:type="dxa"/>
            <w:gridSpan w:val="2"/>
            <w:vAlign w:val="center"/>
          </w:tcPr>
          <w:p w14:paraId="1C45C694" w14:textId="77777777" w:rsidR="0037663C" w:rsidRDefault="00000000">
            <w:pPr>
              <w:jc w:val="center"/>
              <w:rPr>
                <w:rFonts w:ascii="仿宋" w:eastAsia="仿宋" w:hAnsi="仿宋" w:cs="仿宋" w:hint="eastAsia"/>
                <w:b/>
                <w:szCs w:val="21"/>
                <w:lang w:val="zh-CN"/>
              </w:rPr>
            </w:pPr>
            <w:r>
              <w:rPr>
                <w:rFonts w:ascii="仿宋" w:eastAsia="仿宋" w:hAnsi="仿宋" w:cs="仿宋" w:hint="eastAsia"/>
                <w:b/>
                <w:szCs w:val="21"/>
                <w:lang w:val="zh-CN"/>
              </w:rPr>
              <w:t>章节/教学单元</w:t>
            </w:r>
          </w:p>
        </w:tc>
        <w:tc>
          <w:tcPr>
            <w:tcW w:w="2757" w:type="dxa"/>
            <w:vAlign w:val="center"/>
          </w:tcPr>
          <w:p w14:paraId="3BDFE007" w14:textId="77777777" w:rsidR="0037663C" w:rsidRDefault="00000000">
            <w:pPr>
              <w:jc w:val="center"/>
              <w:rPr>
                <w:rFonts w:ascii="仿宋" w:eastAsia="仿宋" w:hAnsi="仿宋" w:cs="仿宋" w:hint="eastAsia"/>
                <w:b/>
                <w:szCs w:val="21"/>
                <w:lang w:val="zh-CN"/>
              </w:rPr>
            </w:pPr>
            <w:r>
              <w:rPr>
                <w:rFonts w:ascii="仿宋" w:eastAsia="仿宋" w:hAnsi="仿宋" w:cs="仿宋" w:hint="eastAsia"/>
                <w:b/>
                <w:szCs w:val="21"/>
                <w:lang w:val="zh-CN"/>
              </w:rPr>
              <w:t>教学内容、重点、难点</w:t>
            </w:r>
          </w:p>
        </w:tc>
        <w:tc>
          <w:tcPr>
            <w:tcW w:w="397" w:type="dxa"/>
            <w:vAlign w:val="center"/>
          </w:tcPr>
          <w:p w14:paraId="16A2323B" w14:textId="77777777" w:rsidR="0037663C" w:rsidRDefault="00000000">
            <w:pPr>
              <w:jc w:val="center"/>
              <w:rPr>
                <w:rFonts w:ascii="仿宋" w:eastAsia="仿宋" w:hAnsi="仿宋" w:cs="仿宋" w:hint="eastAsia"/>
                <w:b/>
                <w:szCs w:val="21"/>
                <w:lang w:val="zh-CN"/>
              </w:rPr>
            </w:pPr>
            <w:r>
              <w:rPr>
                <w:rFonts w:ascii="仿宋" w:eastAsia="仿宋" w:hAnsi="仿宋" w:cs="仿宋" w:hint="eastAsia"/>
                <w:b/>
                <w:szCs w:val="21"/>
                <w:lang w:val="zh-CN"/>
              </w:rPr>
              <w:t>学时</w:t>
            </w:r>
          </w:p>
        </w:tc>
        <w:tc>
          <w:tcPr>
            <w:tcW w:w="1134" w:type="dxa"/>
            <w:vAlign w:val="center"/>
          </w:tcPr>
          <w:p w14:paraId="676DB20F" w14:textId="77777777" w:rsidR="0037663C" w:rsidRDefault="00000000">
            <w:pPr>
              <w:jc w:val="center"/>
              <w:rPr>
                <w:rFonts w:ascii="仿宋" w:eastAsia="仿宋" w:hAnsi="仿宋" w:cs="仿宋" w:hint="eastAsia"/>
                <w:b/>
                <w:szCs w:val="21"/>
                <w:lang w:val="zh-CN"/>
              </w:rPr>
            </w:pPr>
            <w:r>
              <w:rPr>
                <w:rFonts w:ascii="仿宋" w:eastAsia="仿宋" w:hAnsi="仿宋" w:cs="仿宋" w:hint="eastAsia"/>
                <w:b/>
                <w:szCs w:val="21"/>
                <w:lang w:val="zh-CN"/>
              </w:rPr>
              <w:t>学习要求</w:t>
            </w:r>
          </w:p>
        </w:tc>
      </w:tr>
      <w:tr w:rsidR="0037663C" w14:paraId="0BC1737B" w14:textId="77777777" w:rsidTr="00904728">
        <w:trPr>
          <w:trHeight w:val="1530"/>
          <w:jc w:val="center"/>
        </w:trPr>
        <w:tc>
          <w:tcPr>
            <w:tcW w:w="1129" w:type="dxa"/>
            <w:vAlign w:val="center"/>
          </w:tcPr>
          <w:p w14:paraId="31EAE4F9"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t>第一章</w:t>
            </w:r>
          </w:p>
          <w:p w14:paraId="1B5EE486" w14:textId="77777777" w:rsidR="0037663C" w:rsidRDefault="00000000">
            <w:pPr>
              <w:rPr>
                <w:rFonts w:ascii="仿宋" w:eastAsia="仿宋" w:hAnsi="仿宋" w:cs="仿宋" w:hint="eastAsia"/>
                <w:szCs w:val="21"/>
                <w:lang w:val="zh-CN"/>
              </w:rPr>
            </w:pPr>
            <w:r>
              <w:rPr>
                <w:rFonts w:ascii="仿宋" w:eastAsia="仿宋" w:hAnsi="仿宋" w:cs="仿宋" w:hint="eastAsia"/>
                <w:szCs w:val="21"/>
              </w:rPr>
              <w:t>低碳大趋势</w:t>
            </w:r>
          </w:p>
        </w:tc>
        <w:tc>
          <w:tcPr>
            <w:tcW w:w="2860" w:type="dxa"/>
            <w:vAlign w:val="center"/>
          </w:tcPr>
          <w:p w14:paraId="2271A7C5" w14:textId="77777777" w:rsidR="0037663C" w:rsidRDefault="00000000">
            <w:pPr>
              <w:rPr>
                <w:rFonts w:ascii="仿宋" w:eastAsia="仿宋" w:hAnsi="仿宋" w:cs="仿宋" w:hint="eastAsia"/>
                <w:szCs w:val="21"/>
              </w:rPr>
            </w:pPr>
            <w:r>
              <w:rPr>
                <w:rFonts w:ascii="仿宋" w:eastAsia="仿宋" w:hAnsi="仿宋" w:cs="仿宋" w:hint="eastAsia"/>
                <w:szCs w:val="21"/>
              </w:rPr>
              <w:t>1.企业绿色管理的内涵和概念界定</w:t>
            </w:r>
          </w:p>
          <w:p w14:paraId="7D3E0827" w14:textId="77777777" w:rsidR="0037663C" w:rsidRDefault="00000000">
            <w:pPr>
              <w:rPr>
                <w:rFonts w:ascii="仿宋" w:eastAsia="仿宋" w:hAnsi="仿宋" w:cs="仿宋" w:hint="eastAsia"/>
                <w:szCs w:val="21"/>
              </w:rPr>
            </w:pPr>
            <w:r>
              <w:rPr>
                <w:rFonts w:ascii="仿宋" w:eastAsia="仿宋" w:hAnsi="仿宋" w:cs="仿宋" w:hint="eastAsia"/>
                <w:szCs w:val="21"/>
              </w:rPr>
              <w:t>2.企业绿色管理与传统管理的联系与区别</w:t>
            </w:r>
          </w:p>
          <w:p w14:paraId="4FCBCD55" w14:textId="77777777" w:rsidR="0037663C" w:rsidRDefault="00000000">
            <w:pPr>
              <w:rPr>
                <w:rFonts w:ascii="仿宋" w:eastAsia="仿宋" w:hAnsi="仿宋" w:cs="仿宋" w:hint="eastAsia"/>
                <w:szCs w:val="21"/>
              </w:rPr>
            </w:pPr>
            <w:r>
              <w:rPr>
                <w:rFonts w:ascii="仿宋" w:eastAsia="仿宋" w:hAnsi="仿宋" w:cs="仿宋" w:hint="eastAsia"/>
                <w:szCs w:val="21"/>
              </w:rPr>
              <w:t>3.企业绿色管理产生的现实背景</w:t>
            </w:r>
          </w:p>
          <w:p w14:paraId="589117CF" w14:textId="77777777" w:rsidR="0037663C" w:rsidRDefault="00000000">
            <w:pPr>
              <w:rPr>
                <w:rFonts w:ascii="仿宋" w:eastAsia="仿宋" w:hAnsi="仿宋" w:cs="仿宋" w:hint="eastAsia"/>
                <w:szCs w:val="21"/>
              </w:rPr>
            </w:pPr>
            <w:r>
              <w:rPr>
                <w:rFonts w:ascii="仿宋" w:eastAsia="仿宋" w:hAnsi="仿宋" w:cs="仿宋" w:hint="eastAsia"/>
                <w:szCs w:val="21"/>
              </w:rPr>
              <w:t>4.企业实施绿色管理的内在动因</w:t>
            </w:r>
          </w:p>
          <w:p w14:paraId="514B498C" w14:textId="77777777" w:rsidR="0037663C" w:rsidRDefault="00000000">
            <w:pPr>
              <w:rPr>
                <w:rFonts w:ascii="仿宋" w:eastAsia="仿宋" w:hAnsi="仿宋" w:cs="仿宋" w:hint="eastAsia"/>
                <w:szCs w:val="21"/>
              </w:rPr>
            </w:pPr>
            <w:r>
              <w:rPr>
                <w:rFonts w:ascii="仿宋" w:eastAsia="仿宋" w:hAnsi="仿宋" w:cs="仿宋" w:hint="eastAsia"/>
                <w:szCs w:val="21"/>
              </w:rPr>
              <w:t>5.企业绿色管理战略</w:t>
            </w:r>
          </w:p>
          <w:p w14:paraId="50516889" w14:textId="77777777" w:rsidR="0037663C" w:rsidRDefault="00000000">
            <w:pPr>
              <w:rPr>
                <w:rFonts w:ascii="仿宋" w:eastAsia="仿宋" w:hAnsi="仿宋" w:cs="仿宋" w:hint="eastAsia"/>
                <w:szCs w:val="21"/>
              </w:rPr>
            </w:pPr>
            <w:r>
              <w:rPr>
                <w:rFonts w:ascii="仿宋" w:eastAsia="仿宋" w:hAnsi="仿宋" w:cs="仿宋" w:hint="eastAsia"/>
                <w:szCs w:val="21"/>
              </w:rPr>
              <w:t>6.企业绿色管理的原则</w:t>
            </w:r>
          </w:p>
          <w:p w14:paraId="5E242017" w14:textId="77777777" w:rsidR="0037663C" w:rsidRDefault="00000000">
            <w:pPr>
              <w:rPr>
                <w:rFonts w:ascii="仿宋" w:eastAsia="仿宋" w:hAnsi="仿宋" w:cs="仿宋" w:hint="eastAsia"/>
                <w:szCs w:val="21"/>
              </w:rPr>
            </w:pPr>
            <w:r>
              <w:rPr>
                <w:rFonts w:ascii="仿宋" w:eastAsia="仿宋" w:hAnsi="仿宋" w:cs="仿宋" w:hint="eastAsia"/>
                <w:szCs w:val="21"/>
              </w:rPr>
              <w:t>7.企业绿色管理的内容</w:t>
            </w:r>
          </w:p>
          <w:p w14:paraId="2AF007C5" w14:textId="77777777" w:rsidR="0037663C" w:rsidRDefault="00000000">
            <w:pPr>
              <w:rPr>
                <w:rFonts w:ascii="仿宋" w:eastAsia="仿宋" w:hAnsi="仿宋" w:cs="仿宋" w:hint="eastAsia"/>
                <w:szCs w:val="21"/>
              </w:rPr>
            </w:pPr>
            <w:r>
              <w:rPr>
                <w:rFonts w:ascii="仿宋" w:eastAsia="仿宋" w:hAnsi="仿宋" w:cs="仿宋" w:hint="eastAsia"/>
                <w:szCs w:val="21"/>
              </w:rPr>
              <w:t>8.评估企业绿色管理的方法</w:t>
            </w:r>
          </w:p>
          <w:p w14:paraId="5566DC3E" w14:textId="77777777" w:rsidR="0037663C" w:rsidRDefault="00000000">
            <w:pPr>
              <w:rPr>
                <w:rFonts w:ascii="仿宋" w:eastAsia="仿宋" w:hAnsi="仿宋" w:cs="仿宋" w:hint="eastAsia"/>
                <w:szCs w:val="21"/>
              </w:rPr>
            </w:pPr>
            <w:r>
              <w:rPr>
                <w:rFonts w:ascii="仿宋" w:eastAsia="仿宋" w:hAnsi="仿宋" w:cs="仿宋" w:hint="eastAsia"/>
                <w:szCs w:val="21"/>
              </w:rPr>
              <w:lastRenderedPageBreak/>
              <w:t>9.知识拓展：基于博弈论的企业实施绿色管理的动机分析</w:t>
            </w:r>
          </w:p>
          <w:p w14:paraId="604D3331" w14:textId="086132ED" w:rsidR="0037663C" w:rsidRDefault="00000000">
            <w:pPr>
              <w:rPr>
                <w:rFonts w:ascii="仿宋" w:eastAsia="仿宋" w:hAnsi="仿宋" w:cs="仿宋" w:hint="eastAsia"/>
                <w:szCs w:val="21"/>
              </w:rPr>
            </w:pPr>
            <w:r>
              <w:rPr>
                <w:rFonts w:ascii="仿宋" w:eastAsia="仿宋" w:hAnsi="仿宋" w:cs="仿宋" w:hint="eastAsia"/>
                <w:szCs w:val="21"/>
              </w:rPr>
              <w:t>10.了解绿色发展背景</w:t>
            </w:r>
          </w:p>
        </w:tc>
        <w:tc>
          <w:tcPr>
            <w:tcW w:w="2757" w:type="dxa"/>
            <w:vAlign w:val="center"/>
          </w:tcPr>
          <w:p w14:paraId="0CB1D950" w14:textId="77777777" w:rsidR="0037663C" w:rsidRDefault="00000000">
            <w:pPr>
              <w:rPr>
                <w:rFonts w:ascii="仿宋" w:eastAsia="仿宋" w:hAnsi="仿宋" w:cs="仿宋" w:hint="eastAsia"/>
                <w:szCs w:val="21"/>
              </w:rPr>
            </w:pPr>
            <w:r>
              <w:rPr>
                <w:rFonts w:ascii="仿宋" w:eastAsia="仿宋" w:hAnsi="仿宋" w:cs="仿宋" w:hint="eastAsia"/>
                <w:color w:val="2A2A2A"/>
                <w:szCs w:val="21"/>
                <w:shd w:val="clear" w:color="auto" w:fill="FFFFFF"/>
              </w:rPr>
              <w:lastRenderedPageBreak/>
              <w:t>掌握企业绿色管理概念内涵以及绿色管理与传统管理的区别；了解企业绿色管理产生的现实背景；理解企业实施绿色管理的内在动因、企业绿色管理的原则、企业绿色管理战略、企业绿色管理的内容以及评估方法以期对绿色管理有一个整体的认识。</w:t>
            </w:r>
          </w:p>
        </w:tc>
        <w:tc>
          <w:tcPr>
            <w:tcW w:w="397" w:type="dxa"/>
            <w:vAlign w:val="center"/>
          </w:tcPr>
          <w:p w14:paraId="1DEA84DE" w14:textId="1BB7EBC3" w:rsidR="0037663C" w:rsidRDefault="00FE01E4">
            <w:pPr>
              <w:rPr>
                <w:rFonts w:ascii="仿宋" w:eastAsia="仿宋" w:hAnsi="仿宋" w:cs="仿宋" w:hint="eastAsia"/>
                <w:szCs w:val="21"/>
              </w:rPr>
            </w:pPr>
            <w:r>
              <w:rPr>
                <w:rFonts w:ascii="仿宋" w:eastAsia="仿宋" w:hAnsi="仿宋" w:cs="仿宋" w:hint="eastAsia"/>
                <w:szCs w:val="21"/>
              </w:rPr>
              <w:t>1</w:t>
            </w:r>
          </w:p>
        </w:tc>
        <w:tc>
          <w:tcPr>
            <w:tcW w:w="1134" w:type="dxa"/>
            <w:vAlign w:val="center"/>
          </w:tcPr>
          <w:p w14:paraId="48F7F1F8"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理解</w:t>
            </w:r>
          </w:p>
          <w:p w14:paraId="6B0A8F35"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应用</w:t>
            </w:r>
          </w:p>
          <w:p w14:paraId="0F24D579"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记忆</w:t>
            </w:r>
          </w:p>
          <w:p w14:paraId="131E481E"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综合分析</w:t>
            </w:r>
          </w:p>
        </w:tc>
      </w:tr>
      <w:tr w:rsidR="0037663C" w14:paraId="062F24DF" w14:textId="77777777" w:rsidTr="00904728">
        <w:trPr>
          <w:trHeight w:val="20"/>
          <w:jc w:val="center"/>
        </w:trPr>
        <w:tc>
          <w:tcPr>
            <w:tcW w:w="1129" w:type="dxa"/>
            <w:vAlign w:val="center"/>
          </w:tcPr>
          <w:p w14:paraId="1777DB3A" w14:textId="77777777" w:rsidR="0037663C" w:rsidRDefault="00000000">
            <w:pPr>
              <w:rPr>
                <w:rFonts w:ascii="仿宋" w:eastAsia="仿宋" w:hAnsi="仿宋" w:cs="仿宋" w:hint="eastAsia"/>
                <w:szCs w:val="21"/>
              </w:rPr>
            </w:pPr>
            <w:r>
              <w:rPr>
                <w:rFonts w:ascii="仿宋" w:eastAsia="仿宋" w:hAnsi="仿宋" w:cs="仿宋" w:hint="eastAsia"/>
                <w:szCs w:val="21"/>
              </w:rPr>
              <w:t>第二章</w:t>
            </w:r>
          </w:p>
          <w:p w14:paraId="6C21F39E" w14:textId="77777777" w:rsidR="0037663C" w:rsidRDefault="00000000">
            <w:pPr>
              <w:rPr>
                <w:rFonts w:ascii="仿宋" w:eastAsia="仿宋" w:hAnsi="仿宋" w:cs="仿宋" w:hint="eastAsia"/>
                <w:szCs w:val="21"/>
              </w:rPr>
            </w:pPr>
            <w:r>
              <w:rPr>
                <w:rFonts w:ascii="仿宋" w:eastAsia="仿宋" w:hAnsi="仿宋" w:cs="仿宋" w:hint="eastAsia"/>
                <w:szCs w:val="21"/>
              </w:rPr>
              <w:t>人与自然和谐：绿色人力资源管理</w:t>
            </w:r>
          </w:p>
        </w:tc>
        <w:tc>
          <w:tcPr>
            <w:tcW w:w="2860" w:type="dxa"/>
            <w:vAlign w:val="center"/>
          </w:tcPr>
          <w:p w14:paraId="6D8BF366" w14:textId="77777777" w:rsidR="0037663C" w:rsidRDefault="00000000">
            <w:pPr>
              <w:rPr>
                <w:rFonts w:ascii="仿宋" w:eastAsia="仿宋" w:hAnsi="仿宋" w:cs="仿宋" w:hint="eastAsia"/>
                <w:szCs w:val="21"/>
              </w:rPr>
            </w:pPr>
            <w:r>
              <w:rPr>
                <w:rFonts w:ascii="仿宋" w:eastAsia="仿宋" w:hAnsi="仿宋" w:cs="仿宋" w:hint="eastAsia"/>
                <w:szCs w:val="21"/>
              </w:rPr>
              <w:t>1.绿色人力资源管理的背景分析</w:t>
            </w:r>
          </w:p>
          <w:p w14:paraId="2D058BC3" w14:textId="77777777" w:rsidR="0037663C" w:rsidRDefault="00000000">
            <w:pPr>
              <w:rPr>
                <w:rFonts w:ascii="仿宋" w:eastAsia="仿宋" w:hAnsi="仿宋" w:cs="仿宋" w:hint="eastAsia"/>
                <w:szCs w:val="21"/>
              </w:rPr>
            </w:pPr>
            <w:r>
              <w:rPr>
                <w:rFonts w:ascii="仿宋" w:eastAsia="仿宋" w:hAnsi="仿宋" w:cs="仿宋" w:hint="eastAsia"/>
                <w:szCs w:val="21"/>
              </w:rPr>
              <w:t>2.人力资源开发与管理是企业可持续发展的基础</w:t>
            </w:r>
          </w:p>
          <w:p w14:paraId="48CF8D7C" w14:textId="77777777" w:rsidR="0037663C" w:rsidRDefault="00000000">
            <w:pPr>
              <w:rPr>
                <w:rFonts w:ascii="仿宋" w:eastAsia="仿宋" w:hAnsi="仿宋" w:cs="仿宋" w:hint="eastAsia"/>
                <w:szCs w:val="21"/>
              </w:rPr>
            </w:pPr>
            <w:r>
              <w:rPr>
                <w:rFonts w:ascii="仿宋" w:eastAsia="仿宋" w:hAnsi="仿宋" w:cs="仿宋" w:hint="eastAsia"/>
                <w:szCs w:val="21"/>
              </w:rPr>
              <w:t>3.绿色人力资源管理的内涵</w:t>
            </w:r>
          </w:p>
          <w:p w14:paraId="5D739920" w14:textId="77777777" w:rsidR="0037663C" w:rsidRDefault="00000000">
            <w:pPr>
              <w:rPr>
                <w:rFonts w:ascii="仿宋" w:eastAsia="仿宋" w:hAnsi="仿宋" w:cs="仿宋" w:hint="eastAsia"/>
                <w:szCs w:val="21"/>
              </w:rPr>
            </w:pPr>
            <w:r>
              <w:rPr>
                <w:rFonts w:ascii="仿宋" w:eastAsia="仿宋" w:hAnsi="仿宋" w:cs="仿宋" w:hint="eastAsia"/>
                <w:szCs w:val="21"/>
              </w:rPr>
              <w:t>4.企业实施绿色人力资源管理的着力点</w:t>
            </w:r>
          </w:p>
          <w:p w14:paraId="36C63A9D" w14:textId="77777777" w:rsidR="0037663C" w:rsidRDefault="00000000">
            <w:pPr>
              <w:rPr>
                <w:rFonts w:ascii="仿宋" w:eastAsia="仿宋" w:hAnsi="仿宋" w:cs="仿宋" w:hint="eastAsia"/>
                <w:szCs w:val="21"/>
              </w:rPr>
            </w:pPr>
            <w:r>
              <w:rPr>
                <w:rFonts w:ascii="仿宋" w:eastAsia="仿宋" w:hAnsi="仿宋" w:cs="仿宋" w:hint="eastAsia"/>
                <w:szCs w:val="21"/>
              </w:rPr>
              <w:t>5.中国情境下绿色人力资源管理实施框架与路径</w:t>
            </w:r>
          </w:p>
          <w:p w14:paraId="6DC378A4" w14:textId="77777777" w:rsidR="0037663C" w:rsidRDefault="00000000">
            <w:pPr>
              <w:rPr>
                <w:rFonts w:ascii="仿宋" w:eastAsia="仿宋" w:hAnsi="仿宋" w:cs="仿宋" w:hint="eastAsia"/>
                <w:szCs w:val="21"/>
              </w:rPr>
            </w:pPr>
            <w:r>
              <w:rPr>
                <w:rFonts w:ascii="仿宋" w:eastAsia="仿宋" w:hAnsi="仿宋" w:cs="仿宋" w:hint="eastAsia"/>
                <w:szCs w:val="21"/>
              </w:rPr>
              <w:t>6.拓展知识点：污染产生原因的经济学解释</w:t>
            </w:r>
          </w:p>
          <w:p w14:paraId="7EF82316" w14:textId="77777777" w:rsidR="0037663C" w:rsidRDefault="0037663C">
            <w:pPr>
              <w:rPr>
                <w:rFonts w:ascii="仿宋" w:eastAsia="仿宋" w:hAnsi="仿宋" w:cs="仿宋" w:hint="eastAsia"/>
                <w:szCs w:val="21"/>
              </w:rPr>
            </w:pPr>
          </w:p>
        </w:tc>
        <w:tc>
          <w:tcPr>
            <w:tcW w:w="2757" w:type="dxa"/>
            <w:vAlign w:val="center"/>
          </w:tcPr>
          <w:p w14:paraId="1066F868" w14:textId="08A52DBC" w:rsidR="0037663C" w:rsidRDefault="00000000">
            <w:pPr>
              <w:rPr>
                <w:rFonts w:ascii="仿宋" w:eastAsia="仿宋" w:hAnsi="仿宋" w:cs="仿宋" w:hint="eastAsia"/>
                <w:szCs w:val="21"/>
              </w:rPr>
            </w:pPr>
            <w:r>
              <w:rPr>
                <w:rFonts w:ascii="仿宋" w:eastAsia="仿宋" w:hAnsi="仿宋" w:cs="仿宋" w:hint="eastAsia"/>
                <w:color w:val="2A2A2A"/>
                <w:szCs w:val="21"/>
                <w:shd w:val="clear" w:color="auto" w:fill="FFFFFF"/>
              </w:rPr>
              <w:t>了解绿色人力资源管理产生背景，掌握企业绿色人力资源管理的内涵、绿色人力资源管理的着力点，理解企业可持续发展与人力资源管理的关系、中国背景下企业绿色人力资源管理的实施路线图</w:t>
            </w:r>
            <w:r w:rsidR="00D5725A">
              <w:rPr>
                <w:rFonts w:ascii="仿宋" w:eastAsia="仿宋" w:hAnsi="仿宋" w:cs="仿宋" w:hint="eastAsia"/>
                <w:color w:val="2A2A2A"/>
                <w:szCs w:val="21"/>
                <w:shd w:val="clear" w:color="auto" w:fill="FFFFFF"/>
              </w:rPr>
              <w:t>。</w:t>
            </w:r>
          </w:p>
        </w:tc>
        <w:tc>
          <w:tcPr>
            <w:tcW w:w="397" w:type="dxa"/>
            <w:vAlign w:val="center"/>
          </w:tcPr>
          <w:p w14:paraId="59547988" w14:textId="7A68D389" w:rsidR="0037663C" w:rsidRDefault="00FE01E4">
            <w:pPr>
              <w:rPr>
                <w:rFonts w:ascii="仿宋" w:eastAsia="仿宋" w:hAnsi="仿宋" w:cs="仿宋" w:hint="eastAsia"/>
                <w:szCs w:val="21"/>
              </w:rPr>
            </w:pPr>
            <w:r>
              <w:rPr>
                <w:rFonts w:ascii="仿宋" w:eastAsia="仿宋" w:hAnsi="仿宋" w:cs="仿宋" w:hint="eastAsia"/>
                <w:szCs w:val="21"/>
              </w:rPr>
              <w:t>2</w:t>
            </w:r>
          </w:p>
        </w:tc>
        <w:tc>
          <w:tcPr>
            <w:tcW w:w="1134" w:type="dxa"/>
            <w:vAlign w:val="center"/>
          </w:tcPr>
          <w:p w14:paraId="6ECA3395" w14:textId="6BA91BD6"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理解</w:t>
            </w:r>
          </w:p>
          <w:p w14:paraId="5E29D722"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综合分析</w:t>
            </w:r>
          </w:p>
        </w:tc>
      </w:tr>
      <w:tr w:rsidR="0037663C" w14:paraId="77D5E4D8" w14:textId="77777777" w:rsidTr="00904728">
        <w:trPr>
          <w:trHeight w:val="20"/>
          <w:jc w:val="center"/>
        </w:trPr>
        <w:tc>
          <w:tcPr>
            <w:tcW w:w="1129" w:type="dxa"/>
            <w:vAlign w:val="center"/>
          </w:tcPr>
          <w:p w14:paraId="59A6399B" w14:textId="77777777" w:rsidR="0037663C" w:rsidRDefault="00000000">
            <w:pPr>
              <w:rPr>
                <w:rFonts w:ascii="仿宋" w:eastAsia="仿宋" w:hAnsi="仿宋" w:cs="仿宋" w:hint="eastAsia"/>
                <w:szCs w:val="21"/>
              </w:rPr>
            </w:pPr>
            <w:r>
              <w:rPr>
                <w:rFonts w:ascii="仿宋" w:eastAsia="仿宋" w:hAnsi="仿宋" w:cs="仿宋" w:hint="eastAsia"/>
                <w:szCs w:val="21"/>
              </w:rPr>
              <w:t>第三章</w:t>
            </w:r>
          </w:p>
          <w:p w14:paraId="58FCCACB" w14:textId="77777777" w:rsidR="0037663C" w:rsidRDefault="00000000">
            <w:pPr>
              <w:rPr>
                <w:rFonts w:ascii="仿宋" w:eastAsia="仿宋" w:hAnsi="仿宋" w:cs="仿宋" w:hint="eastAsia"/>
                <w:szCs w:val="21"/>
              </w:rPr>
            </w:pPr>
            <w:r>
              <w:rPr>
                <w:rFonts w:ascii="仿宋" w:eastAsia="仿宋" w:hAnsi="仿宋" w:cs="仿宋" w:hint="eastAsia"/>
                <w:szCs w:val="21"/>
              </w:rPr>
              <w:t>可持续发展：绿色会计</w:t>
            </w:r>
          </w:p>
        </w:tc>
        <w:tc>
          <w:tcPr>
            <w:tcW w:w="2860" w:type="dxa"/>
            <w:vAlign w:val="center"/>
          </w:tcPr>
          <w:p w14:paraId="74FCC5A1" w14:textId="77777777" w:rsidR="0037663C" w:rsidRDefault="00000000">
            <w:pPr>
              <w:rPr>
                <w:rFonts w:ascii="仿宋" w:eastAsia="仿宋" w:hAnsi="仿宋" w:cs="仿宋" w:hint="eastAsia"/>
                <w:szCs w:val="21"/>
              </w:rPr>
            </w:pPr>
            <w:r>
              <w:rPr>
                <w:rFonts w:ascii="仿宋" w:eastAsia="仿宋" w:hAnsi="仿宋" w:cs="仿宋" w:hint="eastAsia"/>
                <w:szCs w:val="21"/>
              </w:rPr>
              <w:t>1.国内、外绿色会计的产生和发展</w:t>
            </w:r>
          </w:p>
          <w:p w14:paraId="2036A34E" w14:textId="77777777" w:rsidR="0037663C" w:rsidRDefault="00000000">
            <w:pPr>
              <w:rPr>
                <w:rFonts w:ascii="仿宋" w:eastAsia="仿宋" w:hAnsi="仿宋" w:cs="仿宋" w:hint="eastAsia"/>
                <w:szCs w:val="21"/>
              </w:rPr>
            </w:pPr>
            <w:r>
              <w:rPr>
                <w:rFonts w:ascii="仿宋" w:eastAsia="仿宋" w:hAnsi="仿宋" w:cs="仿宋" w:hint="eastAsia"/>
                <w:szCs w:val="21"/>
              </w:rPr>
              <w:t>2.实施绿色会计的意义</w:t>
            </w:r>
          </w:p>
          <w:p w14:paraId="6B23BDE0" w14:textId="77777777" w:rsidR="0037663C" w:rsidRDefault="00000000">
            <w:pPr>
              <w:rPr>
                <w:rFonts w:ascii="仿宋" w:eastAsia="仿宋" w:hAnsi="仿宋" w:cs="仿宋" w:hint="eastAsia"/>
                <w:szCs w:val="21"/>
              </w:rPr>
            </w:pPr>
            <w:r>
              <w:rPr>
                <w:rFonts w:ascii="仿宋" w:eastAsia="仿宋" w:hAnsi="仿宋" w:cs="仿宋" w:hint="eastAsia"/>
                <w:szCs w:val="21"/>
              </w:rPr>
              <w:t>3.绿色会计的概念</w:t>
            </w:r>
          </w:p>
          <w:p w14:paraId="553832B5" w14:textId="77777777" w:rsidR="0037663C" w:rsidRDefault="00000000">
            <w:pPr>
              <w:rPr>
                <w:rFonts w:ascii="仿宋" w:eastAsia="仿宋" w:hAnsi="仿宋" w:cs="仿宋" w:hint="eastAsia"/>
                <w:szCs w:val="21"/>
              </w:rPr>
            </w:pPr>
            <w:r>
              <w:rPr>
                <w:rFonts w:ascii="仿宋" w:eastAsia="仿宋" w:hAnsi="仿宋" w:cs="仿宋" w:hint="eastAsia"/>
                <w:szCs w:val="21"/>
              </w:rPr>
              <w:t>4.绿色会计与传统会计的区别</w:t>
            </w:r>
          </w:p>
          <w:p w14:paraId="2845EEFC" w14:textId="519DDF25" w:rsidR="0037663C" w:rsidRPr="00904728" w:rsidRDefault="00000000">
            <w:pPr>
              <w:rPr>
                <w:rFonts w:ascii="仿宋" w:eastAsia="仿宋" w:hAnsi="仿宋" w:cs="仿宋" w:hint="eastAsia"/>
                <w:szCs w:val="21"/>
              </w:rPr>
            </w:pPr>
            <w:r>
              <w:rPr>
                <w:rFonts w:ascii="仿宋" w:eastAsia="仿宋" w:hAnsi="仿宋" w:cs="仿宋" w:hint="eastAsia"/>
                <w:szCs w:val="21"/>
              </w:rPr>
              <w:t>5.绿色会计理论框架的内容6.构建绿色会计的核算体系</w:t>
            </w:r>
          </w:p>
        </w:tc>
        <w:tc>
          <w:tcPr>
            <w:tcW w:w="2757" w:type="dxa"/>
            <w:vAlign w:val="center"/>
          </w:tcPr>
          <w:p w14:paraId="1DEDF830" w14:textId="4998DEB9" w:rsidR="0037663C" w:rsidRDefault="00000000">
            <w:pPr>
              <w:rPr>
                <w:rFonts w:ascii="仿宋" w:eastAsia="仿宋" w:hAnsi="仿宋" w:cs="仿宋" w:hint="eastAsia"/>
                <w:szCs w:val="21"/>
              </w:rPr>
            </w:pPr>
            <w:r>
              <w:rPr>
                <w:rFonts w:ascii="仿宋" w:eastAsia="仿宋" w:hAnsi="仿宋" w:cs="仿宋" w:hint="eastAsia"/>
                <w:color w:val="2A2A2A"/>
                <w:szCs w:val="21"/>
                <w:shd w:val="clear" w:color="auto" w:fill="FFFFFF"/>
              </w:rPr>
              <w:t>了解绿色会计的产生及发展现状；掌握绿色会计的理论框架；掌握绿色会计的内容、信息的披露、构建及实施的措施，以期对绿色会计的基本理论和方法有一个基础而清晰认识</w:t>
            </w:r>
            <w:r w:rsidR="00D5725A">
              <w:rPr>
                <w:rFonts w:ascii="仿宋" w:eastAsia="仿宋" w:hAnsi="仿宋" w:cs="仿宋" w:hint="eastAsia"/>
                <w:color w:val="2A2A2A"/>
                <w:szCs w:val="21"/>
                <w:shd w:val="clear" w:color="auto" w:fill="FFFFFF"/>
              </w:rPr>
              <w:t>。</w:t>
            </w:r>
          </w:p>
        </w:tc>
        <w:tc>
          <w:tcPr>
            <w:tcW w:w="397" w:type="dxa"/>
            <w:vAlign w:val="center"/>
          </w:tcPr>
          <w:p w14:paraId="4D571D95" w14:textId="5F4223D3" w:rsidR="0037663C" w:rsidRDefault="00FE01E4">
            <w:pPr>
              <w:rPr>
                <w:rFonts w:ascii="仿宋" w:eastAsia="仿宋" w:hAnsi="仿宋" w:cs="仿宋" w:hint="eastAsia"/>
                <w:szCs w:val="21"/>
              </w:rPr>
            </w:pPr>
            <w:r>
              <w:rPr>
                <w:rFonts w:ascii="仿宋" w:eastAsia="仿宋" w:hAnsi="仿宋" w:cs="仿宋" w:hint="eastAsia"/>
                <w:szCs w:val="21"/>
              </w:rPr>
              <w:t>2</w:t>
            </w:r>
          </w:p>
        </w:tc>
        <w:tc>
          <w:tcPr>
            <w:tcW w:w="1134" w:type="dxa"/>
            <w:vAlign w:val="center"/>
          </w:tcPr>
          <w:p w14:paraId="2216B64C"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理解</w:t>
            </w:r>
          </w:p>
          <w:p w14:paraId="1049BC9F" w14:textId="308678C4"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应用</w:t>
            </w:r>
          </w:p>
        </w:tc>
      </w:tr>
      <w:tr w:rsidR="0037663C" w14:paraId="3BC55DB7" w14:textId="77777777" w:rsidTr="00904728">
        <w:trPr>
          <w:trHeight w:val="20"/>
          <w:jc w:val="center"/>
        </w:trPr>
        <w:tc>
          <w:tcPr>
            <w:tcW w:w="1129" w:type="dxa"/>
            <w:vAlign w:val="center"/>
          </w:tcPr>
          <w:p w14:paraId="63B91E70" w14:textId="77777777" w:rsidR="0037663C" w:rsidRDefault="00000000">
            <w:pPr>
              <w:rPr>
                <w:rFonts w:ascii="仿宋" w:eastAsia="仿宋" w:hAnsi="仿宋" w:cs="仿宋" w:hint="eastAsia"/>
                <w:szCs w:val="21"/>
              </w:rPr>
            </w:pPr>
            <w:r>
              <w:rPr>
                <w:rFonts w:ascii="仿宋" w:eastAsia="仿宋" w:hAnsi="仿宋" w:cs="仿宋" w:hint="eastAsia"/>
                <w:szCs w:val="21"/>
              </w:rPr>
              <w:t>第四章</w:t>
            </w:r>
          </w:p>
          <w:p w14:paraId="4FD1A526" w14:textId="77777777" w:rsidR="0037663C" w:rsidRDefault="00000000">
            <w:pPr>
              <w:rPr>
                <w:rFonts w:ascii="仿宋" w:eastAsia="仿宋" w:hAnsi="仿宋" w:cs="仿宋" w:hint="eastAsia"/>
                <w:szCs w:val="21"/>
              </w:rPr>
            </w:pPr>
            <w:r>
              <w:rPr>
                <w:rFonts w:ascii="仿宋" w:eastAsia="仿宋" w:hAnsi="仿宋" w:cs="仿宋" w:hint="eastAsia"/>
                <w:szCs w:val="21"/>
              </w:rPr>
              <w:t>节能与减排：绿色供应链管理</w:t>
            </w:r>
          </w:p>
        </w:tc>
        <w:tc>
          <w:tcPr>
            <w:tcW w:w="2860" w:type="dxa"/>
            <w:vAlign w:val="center"/>
          </w:tcPr>
          <w:p w14:paraId="38B98350" w14:textId="77777777" w:rsidR="0037663C" w:rsidRDefault="00000000">
            <w:pPr>
              <w:rPr>
                <w:rFonts w:ascii="仿宋" w:eastAsia="仿宋" w:hAnsi="仿宋" w:cs="仿宋" w:hint="eastAsia"/>
                <w:szCs w:val="21"/>
              </w:rPr>
            </w:pPr>
            <w:r>
              <w:rPr>
                <w:rFonts w:ascii="仿宋" w:eastAsia="仿宋" w:hAnsi="仿宋" w:cs="仿宋" w:hint="eastAsia"/>
                <w:szCs w:val="21"/>
              </w:rPr>
              <w:t>1.绿色供应链管理产生背景</w:t>
            </w:r>
          </w:p>
          <w:p w14:paraId="3FEF6C1B" w14:textId="77777777" w:rsidR="0037663C" w:rsidRDefault="00000000">
            <w:pPr>
              <w:rPr>
                <w:rFonts w:ascii="仿宋" w:eastAsia="仿宋" w:hAnsi="仿宋" w:cs="仿宋" w:hint="eastAsia"/>
                <w:szCs w:val="21"/>
              </w:rPr>
            </w:pPr>
            <w:r>
              <w:rPr>
                <w:rFonts w:ascii="仿宋" w:eastAsia="仿宋" w:hAnsi="仿宋" w:cs="仿宋" w:hint="eastAsia"/>
                <w:szCs w:val="21"/>
              </w:rPr>
              <w:t>2.绿色供应链管理产生根源</w:t>
            </w:r>
          </w:p>
          <w:p w14:paraId="5F130BB1" w14:textId="77777777" w:rsidR="0037663C" w:rsidRDefault="00000000">
            <w:pPr>
              <w:rPr>
                <w:rFonts w:ascii="仿宋" w:eastAsia="仿宋" w:hAnsi="仿宋" w:cs="仿宋" w:hint="eastAsia"/>
                <w:szCs w:val="21"/>
              </w:rPr>
            </w:pPr>
            <w:r>
              <w:rPr>
                <w:rFonts w:ascii="仿宋" w:eastAsia="仿宋" w:hAnsi="仿宋" w:cs="仿宋" w:hint="eastAsia"/>
                <w:szCs w:val="21"/>
              </w:rPr>
              <w:t>3.传统供应链管理及其对环境的影响</w:t>
            </w:r>
          </w:p>
          <w:p w14:paraId="78B474DE" w14:textId="77777777" w:rsidR="0037663C" w:rsidRDefault="00000000">
            <w:pPr>
              <w:rPr>
                <w:rFonts w:ascii="仿宋" w:eastAsia="仿宋" w:hAnsi="仿宋" w:cs="仿宋" w:hint="eastAsia"/>
                <w:szCs w:val="21"/>
              </w:rPr>
            </w:pPr>
            <w:r>
              <w:rPr>
                <w:rFonts w:ascii="仿宋" w:eastAsia="仿宋" w:hAnsi="仿宋" w:cs="仿宋" w:hint="eastAsia"/>
                <w:szCs w:val="21"/>
              </w:rPr>
              <w:t>4.绿色供应链管理的内涵和概念</w:t>
            </w:r>
          </w:p>
          <w:p w14:paraId="3DF4543F" w14:textId="77777777" w:rsidR="0037663C" w:rsidRDefault="00000000">
            <w:pPr>
              <w:rPr>
                <w:rFonts w:ascii="仿宋" w:eastAsia="仿宋" w:hAnsi="仿宋" w:cs="仿宋" w:hint="eastAsia"/>
                <w:szCs w:val="21"/>
              </w:rPr>
            </w:pPr>
            <w:r>
              <w:rPr>
                <w:rFonts w:ascii="仿宋" w:eastAsia="仿宋" w:hAnsi="仿宋" w:cs="仿宋" w:hint="eastAsia"/>
                <w:szCs w:val="21"/>
              </w:rPr>
              <w:t>5.绿色供应链管理与传统供应链管理的区别</w:t>
            </w:r>
          </w:p>
          <w:p w14:paraId="1691701A" w14:textId="31D3C761" w:rsidR="0037663C" w:rsidRPr="00904728" w:rsidRDefault="00000000">
            <w:pPr>
              <w:rPr>
                <w:rFonts w:ascii="仿宋" w:eastAsia="仿宋" w:hAnsi="仿宋" w:cs="仿宋" w:hint="eastAsia"/>
                <w:szCs w:val="21"/>
              </w:rPr>
            </w:pPr>
            <w:r>
              <w:rPr>
                <w:rFonts w:ascii="仿宋" w:eastAsia="仿宋" w:hAnsi="仿宋" w:cs="仿宋" w:hint="eastAsia"/>
                <w:szCs w:val="21"/>
              </w:rPr>
              <w:t>6.绿色供应链管理的动因与挑战</w:t>
            </w:r>
          </w:p>
        </w:tc>
        <w:tc>
          <w:tcPr>
            <w:tcW w:w="2757" w:type="dxa"/>
            <w:vAlign w:val="center"/>
          </w:tcPr>
          <w:p w14:paraId="64864446" w14:textId="77777777" w:rsidR="0037663C" w:rsidRDefault="00000000">
            <w:pPr>
              <w:rPr>
                <w:rFonts w:ascii="仿宋" w:eastAsia="仿宋" w:hAnsi="仿宋" w:cs="仿宋" w:hint="eastAsia"/>
                <w:szCs w:val="21"/>
              </w:rPr>
            </w:pPr>
            <w:r>
              <w:rPr>
                <w:rFonts w:ascii="仿宋" w:eastAsia="仿宋" w:hAnsi="仿宋" w:cs="仿宋" w:hint="eastAsia"/>
                <w:color w:val="2A2A2A"/>
                <w:szCs w:val="21"/>
                <w:shd w:val="clear" w:color="auto" w:fill="FFFFFF"/>
              </w:rPr>
              <w:t>了解绿色供应链管理产生的现实背景；理解绿色供应链管理内涵和基本思想；掌握绿色供应链管理运营影响因素、绿色供应链管理的重点内容，以期学员对绿色供应链管理基本思想和体系结构有基础、完整而清晰认识</w:t>
            </w:r>
            <w:r>
              <w:rPr>
                <w:rFonts w:ascii="仿宋" w:eastAsia="仿宋" w:hAnsi="仿宋" w:cs="仿宋" w:hint="eastAsia"/>
                <w:szCs w:val="21"/>
              </w:rPr>
              <w:t>。</w:t>
            </w:r>
          </w:p>
        </w:tc>
        <w:tc>
          <w:tcPr>
            <w:tcW w:w="397" w:type="dxa"/>
            <w:vAlign w:val="center"/>
          </w:tcPr>
          <w:p w14:paraId="0DF61F6E" w14:textId="32F837FA" w:rsidR="0037663C" w:rsidRDefault="003F0613">
            <w:pPr>
              <w:rPr>
                <w:rFonts w:ascii="仿宋" w:eastAsia="仿宋" w:hAnsi="仿宋" w:cs="仿宋" w:hint="eastAsia"/>
                <w:szCs w:val="21"/>
              </w:rPr>
            </w:pPr>
            <w:r>
              <w:rPr>
                <w:rFonts w:ascii="仿宋" w:eastAsia="仿宋" w:hAnsi="仿宋" w:cs="仿宋" w:hint="eastAsia"/>
                <w:szCs w:val="21"/>
              </w:rPr>
              <w:t>2</w:t>
            </w:r>
          </w:p>
        </w:tc>
        <w:tc>
          <w:tcPr>
            <w:tcW w:w="1134" w:type="dxa"/>
            <w:vAlign w:val="center"/>
          </w:tcPr>
          <w:p w14:paraId="362064F3"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理解</w:t>
            </w:r>
          </w:p>
          <w:p w14:paraId="51D8A27E" w14:textId="2494955A"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应用</w:t>
            </w:r>
          </w:p>
          <w:p w14:paraId="7EDE9349"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综合分析</w:t>
            </w:r>
          </w:p>
        </w:tc>
      </w:tr>
      <w:tr w:rsidR="0037663C" w14:paraId="71038CF6" w14:textId="77777777" w:rsidTr="00904728">
        <w:trPr>
          <w:trHeight w:val="20"/>
          <w:jc w:val="center"/>
        </w:trPr>
        <w:tc>
          <w:tcPr>
            <w:tcW w:w="1129" w:type="dxa"/>
            <w:vAlign w:val="center"/>
          </w:tcPr>
          <w:p w14:paraId="1DA91B9C" w14:textId="77777777" w:rsidR="0037663C" w:rsidRDefault="00000000">
            <w:pPr>
              <w:rPr>
                <w:rFonts w:ascii="仿宋" w:eastAsia="仿宋" w:hAnsi="仿宋" w:cs="仿宋" w:hint="eastAsia"/>
                <w:szCs w:val="21"/>
              </w:rPr>
            </w:pPr>
            <w:r>
              <w:rPr>
                <w:rFonts w:ascii="仿宋" w:eastAsia="仿宋" w:hAnsi="仿宋" w:cs="仿宋" w:hint="eastAsia"/>
                <w:szCs w:val="21"/>
              </w:rPr>
              <w:t>第五章</w:t>
            </w:r>
          </w:p>
          <w:p w14:paraId="7B94F940" w14:textId="77777777" w:rsidR="0037663C" w:rsidRDefault="00000000">
            <w:pPr>
              <w:rPr>
                <w:rFonts w:ascii="仿宋" w:eastAsia="仿宋" w:hAnsi="仿宋" w:cs="仿宋" w:hint="eastAsia"/>
                <w:szCs w:val="21"/>
              </w:rPr>
            </w:pPr>
            <w:r>
              <w:rPr>
                <w:rFonts w:ascii="仿宋" w:eastAsia="仿宋" w:hAnsi="仿宋" w:cs="仿宋" w:hint="eastAsia"/>
                <w:szCs w:val="21"/>
              </w:rPr>
              <w:t>资源与环境的平衡：绿色制造</w:t>
            </w:r>
          </w:p>
        </w:tc>
        <w:tc>
          <w:tcPr>
            <w:tcW w:w="2860" w:type="dxa"/>
            <w:vAlign w:val="center"/>
          </w:tcPr>
          <w:p w14:paraId="1D2AF454" w14:textId="77777777" w:rsidR="0037663C" w:rsidRDefault="00000000">
            <w:pPr>
              <w:rPr>
                <w:rFonts w:ascii="仿宋" w:eastAsia="仿宋" w:hAnsi="仿宋" w:cs="仿宋" w:hint="eastAsia"/>
                <w:szCs w:val="21"/>
              </w:rPr>
            </w:pPr>
            <w:r>
              <w:rPr>
                <w:rFonts w:ascii="仿宋" w:eastAsia="仿宋" w:hAnsi="仿宋" w:cs="仿宋" w:hint="eastAsia"/>
                <w:szCs w:val="21"/>
              </w:rPr>
              <w:t>1.绿色制造的定义</w:t>
            </w:r>
          </w:p>
          <w:p w14:paraId="13EBF989" w14:textId="77777777" w:rsidR="0037663C" w:rsidRDefault="00000000">
            <w:pPr>
              <w:rPr>
                <w:rFonts w:ascii="仿宋" w:eastAsia="仿宋" w:hAnsi="仿宋" w:cs="仿宋" w:hint="eastAsia"/>
                <w:szCs w:val="21"/>
              </w:rPr>
            </w:pPr>
            <w:r>
              <w:rPr>
                <w:rFonts w:ascii="仿宋" w:eastAsia="仿宋" w:hAnsi="仿宋" w:cs="仿宋" w:hint="eastAsia"/>
                <w:szCs w:val="21"/>
              </w:rPr>
              <w:t>2.绿色制造的特征</w:t>
            </w:r>
          </w:p>
          <w:p w14:paraId="5ED0A707" w14:textId="77777777" w:rsidR="0037663C" w:rsidRDefault="00000000">
            <w:pPr>
              <w:rPr>
                <w:rFonts w:ascii="仿宋" w:eastAsia="仿宋" w:hAnsi="仿宋" w:cs="仿宋" w:hint="eastAsia"/>
                <w:szCs w:val="21"/>
              </w:rPr>
            </w:pPr>
            <w:r>
              <w:rPr>
                <w:rFonts w:ascii="仿宋" w:eastAsia="仿宋" w:hAnsi="仿宋" w:cs="仿宋" w:hint="eastAsia"/>
                <w:szCs w:val="21"/>
              </w:rPr>
              <w:t>3.绿色制造和相关概念的区别、绿色制造和相关概念比较</w:t>
            </w:r>
          </w:p>
          <w:p w14:paraId="05A4A278" w14:textId="77777777" w:rsidR="0037663C" w:rsidRDefault="00000000">
            <w:pPr>
              <w:rPr>
                <w:rFonts w:ascii="仿宋" w:eastAsia="仿宋" w:hAnsi="仿宋" w:cs="仿宋" w:hint="eastAsia"/>
                <w:szCs w:val="21"/>
              </w:rPr>
            </w:pPr>
            <w:r>
              <w:rPr>
                <w:rFonts w:ascii="仿宋" w:eastAsia="仿宋" w:hAnsi="仿宋" w:cs="仿宋" w:hint="eastAsia"/>
                <w:szCs w:val="21"/>
              </w:rPr>
              <w:t>4.绿色制造是企业效益驱动和要求</w:t>
            </w:r>
          </w:p>
          <w:p w14:paraId="5C345BE4" w14:textId="7332719D" w:rsidR="0037663C" w:rsidRPr="00904728" w:rsidRDefault="00000000">
            <w:pPr>
              <w:rPr>
                <w:rFonts w:ascii="仿宋" w:eastAsia="仿宋" w:hAnsi="仿宋" w:cs="仿宋" w:hint="eastAsia"/>
                <w:szCs w:val="21"/>
              </w:rPr>
            </w:pPr>
            <w:r>
              <w:rPr>
                <w:rFonts w:ascii="仿宋" w:eastAsia="仿宋" w:hAnsi="仿宋" w:cs="仿宋" w:hint="eastAsia"/>
                <w:szCs w:val="21"/>
              </w:rPr>
              <w:t>5.绿色制造是企业社会价值</w:t>
            </w:r>
            <w:r>
              <w:rPr>
                <w:rFonts w:ascii="仿宋" w:eastAsia="仿宋" w:hAnsi="仿宋" w:cs="仿宋" w:hint="eastAsia"/>
                <w:szCs w:val="21"/>
              </w:rPr>
              <w:lastRenderedPageBreak/>
              <w:t>驱动和要求</w:t>
            </w:r>
          </w:p>
        </w:tc>
        <w:tc>
          <w:tcPr>
            <w:tcW w:w="2757" w:type="dxa"/>
            <w:vAlign w:val="center"/>
          </w:tcPr>
          <w:p w14:paraId="5FB610BE" w14:textId="77777777" w:rsidR="0037663C" w:rsidRDefault="00000000">
            <w:pPr>
              <w:rPr>
                <w:rFonts w:ascii="仿宋" w:eastAsia="仿宋" w:hAnsi="仿宋" w:cs="仿宋" w:hint="eastAsia"/>
                <w:szCs w:val="21"/>
              </w:rPr>
            </w:pPr>
            <w:r>
              <w:rPr>
                <w:rFonts w:ascii="仿宋" w:eastAsia="仿宋" w:hAnsi="仿宋" w:cs="仿宋" w:hint="eastAsia"/>
                <w:color w:val="2A2A2A"/>
                <w:szCs w:val="21"/>
                <w:shd w:val="clear" w:color="auto" w:fill="FFFFFF"/>
              </w:rPr>
              <w:lastRenderedPageBreak/>
              <w:t>正确了解绿色制造产生的现实背景；掌握绿色制造概念以及绿色制造与传统制造的区别；掌握绿色制造影响因素、绿色制造的重点内容，以期对绿色制造的基本理论和方法有一个基础而清晰认</w:t>
            </w:r>
            <w:r>
              <w:rPr>
                <w:rFonts w:ascii="仿宋" w:eastAsia="仿宋" w:hAnsi="仿宋" w:cs="仿宋" w:hint="eastAsia"/>
                <w:color w:val="2A2A2A"/>
                <w:szCs w:val="21"/>
                <w:shd w:val="clear" w:color="auto" w:fill="FFFFFF"/>
              </w:rPr>
              <w:lastRenderedPageBreak/>
              <w:t>识。</w:t>
            </w:r>
          </w:p>
        </w:tc>
        <w:tc>
          <w:tcPr>
            <w:tcW w:w="397" w:type="dxa"/>
            <w:vAlign w:val="center"/>
          </w:tcPr>
          <w:p w14:paraId="1F2A1B67" w14:textId="64E355D5" w:rsidR="0037663C" w:rsidRDefault="00FE01E4">
            <w:pPr>
              <w:rPr>
                <w:rFonts w:ascii="仿宋" w:eastAsia="仿宋" w:hAnsi="仿宋" w:cs="仿宋" w:hint="eastAsia"/>
                <w:szCs w:val="21"/>
              </w:rPr>
            </w:pPr>
            <w:r>
              <w:rPr>
                <w:rFonts w:ascii="仿宋" w:eastAsia="仿宋" w:hAnsi="仿宋" w:cs="仿宋" w:hint="eastAsia"/>
                <w:szCs w:val="21"/>
              </w:rPr>
              <w:lastRenderedPageBreak/>
              <w:t>2</w:t>
            </w:r>
          </w:p>
        </w:tc>
        <w:tc>
          <w:tcPr>
            <w:tcW w:w="1134" w:type="dxa"/>
            <w:vAlign w:val="center"/>
          </w:tcPr>
          <w:p w14:paraId="2D69FE09"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理解</w:t>
            </w:r>
          </w:p>
          <w:p w14:paraId="56435AE9"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综合分析</w:t>
            </w:r>
          </w:p>
        </w:tc>
      </w:tr>
      <w:tr w:rsidR="0037663C" w14:paraId="2E9EF9F4" w14:textId="77777777" w:rsidTr="00904728">
        <w:trPr>
          <w:trHeight w:val="20"/>
          <w:jc w:val="center"/>
        </w:trPr>
        <w:tc>
          <w:tcPr>
            <w:tcW w:w="1129" w:type="dxa"/>
            <w:vAlign w:val="center"/>
          </w:tcPr>
          <w:p w14:paraId="30439DEC" w14:textId="77777777" w:rsidR="0037663C" w:rsidRDefault="00000000">
            <w:pPr>
              <w:rPr>
                <w:rFonts w:ascii="仿宋" w:eastAsia="仿宋" w:hAnsi="仿宋" w:cs="仿宋" w:hint="eastAsia"/>
                <w:szCs w:val="21"/>
              </w:rPr>
            </w:pPr>
            <w:r>
              <w:rPr>
                <w:rFonts w:ascii="仿宋" w:eastAsia="仿宋" w:hAnsi="仿宋" w:cs="仿宋" w:hint="eastAsia"/>
                <w:szCs w:val="21"/>
              </w:rPr>
              <w:t>第六章</w:t>
            </w:r>
          </w:p>
          <w:p w14:paraId="2D0E3795" w14:textId="77777777" w:rsidR="0037663C" w:rsidRDefault="00000000">
            <w:pPr>
              <w:rPr>
                <w:rFonts w:ascii="仿宋" w:eastAsia="仿宋" w:hAnsi="仿宋" w:cs="仿宋" w:hint="eastAsia"/>
                <w:szCs w:val="21"/>
              </w:rPr>
            </w:pPr>
            <w:r>
              <w:rPr>
                <w:rFonts w:ascii="仿宋" w:eastAsia="仿宋" w:hAnsi="仿宋" w:cs="仿宋" w:hint="eastAsia"/>
                <w:szCs w:val="21"/>
              </w:rPr>
              <w:t>环保生态：绿色营销</w:t>
            </w:r>
          </w:p>
        </w:tc>
        <w:tc>
          <w:tcPr>
            <w:tcW w:w="2860" w:type="dxa"/>
            <w:vAlign w:val="center"/>
          </w:tcPr>
          <w:p w14:paraId="15772899" w14:textId="77777777" w:rsidR="0037663C" w:rsidRDefault="00000000">
            <w:pPr>
              <w:rPr>
                <w:rFonts w:ascii="仿宋" w:eastAsia="仿宋" w:hAnsi="仿宋" w:cs="仿宋" w:hint="eastAsia"/>
                <w:szCs w:val="21"/>
              </w:rPr>
            </w:pPr>
            <w:r>
              <w:rPr>
                <w:rFonts w:ascii="仿宋" w:eastAsia="仿宋" w:hAnsi="仿宋" w:cs="仿宋" w:hint="eastAsia"/>
                <w:szCs w:val="21"/>
              </w:rPr>
              <w:t>1.绿色营销的定义和内涵</w:t>
            </w:r>
          </w:p>
          <w:p w14:paraId="175D246A" w14:textId="77777777" w:rsidR="0037663C" w:rsidRDefault="00000000">
            <w:pPr>
              <w:rPr>
                <w:rFonts w:ascii="仿宋" w:eastAsia="仿宋" w:hAnsi="仿宋" w:cs="仿宋" w:hint="eastAsia"/>
                <w:szCs w:val="21"/>
              </w:rPr>
            </w:pPr>
            <w:r>
              <w:rPr>
                <w:rFonts w:ascii="仿宋" w:eastAsia="仿宋" w:hAnsi="仿宋" w:cs="仿宋" w:hint="eastAsia"/>
                <w:szCs w:val="21"/>
              </w:rPr>
              <w:t>2.绿色营销与传统营销的差异、绿色营销的发展背景</w:t>
            </w:r>
          </w:p>
          <w:p w14:paraId="6B4ABE23" w14:textId="77777777" w:rsidR="0037663C" w:rsidRDefault="00000000">
            <w:pPr>
              <w:rPr>
                <w:rFonts w:ascii="仿宋" w:eastAsia="仿宋" w:hAnsi="仿宋" w:cs="仿宋" w:hint="eastAsia"/>
                <w:szCs w:val="21"/>
              </w:rPr>
            </w:pPr>
            <w:r>
              <w:rPr>
                <w:rFonts w:ascii="仿宋" w:eastAsia="仿宋" w:hAnsi="仿宋" w:cs="仿宋" w:hint="eastAsia"/>
                <w:szCs w:val="21"/>
              </w:rPr>
              <w:t>3.绿色营销的特征</w:t>
            </w:r>
          </w:p>
          <w:p w14:paraId="2D6D376E" w14:textId="77777777" w:rsidR="0037663C" w:rsidRDefault="00000000">
            <w:pPr>
              <w:rPr>
                <w:rFonts w:ascii="仿宋" w:eastAsia="仿宋" w:hAnsi="仿宋" w:cs="仿宋" w:hint="eastAsia"/>
                <w:szCs w:val="21"/>
              </w:rPr>
            </w:pPr>
            <w:r>
              <w:rPr>
                <w:rFonts w:ascii="仿宋" w:eastAsia="仿宋" w:hAnsi="仿宋" w:cs="仿宋" w:hint="eastAsia"/>
                <w:szCs w:val="21"/>
              </w:rPr>
              <w:t>4.绿色需求</w:t>
            </w:r>
          </w:p>
          <w:p w14:paraId="51F45465" w14:textId="77777777" w:rsidR="0037663C" w:rsidRDefault="00000000">
            <w:pPr>
              <w:rPr>
                <w:rFonts w:ascii="仿宋" w:eastAsia="仿宋" w:hAnsi="仿宋" w:cs="仿宋" w:hint="eastAsia"/>
                <w:szCs w:val="21"/>
              </w:rPr>
            </w:pPr>
            <w:r>
              <w:rPr>
                <w:rFonts w:ascii="仿宋" w:eastAsia="仿宋" w:hAnsi="仿宋" w:cs="仿宋" w:hint="eastAsia"/>
                <w:szCs w:val="21"/>
              </w:rPr>
              <w:t>5.绿色营销为企业创造价值</w:t>
            </w:r>
          </w:p>
          <w:p w14:paraId="255693F0" w14:textId="77777777" w:rsidR="0037663C" w:rsidRDefault="00000000">
            <w:pPr>
              <w:rPr>
                <w:rFonts w:ascii="仿宋" w:eastAsia="仿宋" w:hAnsi="仿宋" w:cs="仿宋" w:hint="eastAsia"/>
                <w:szCs w:val="21"/>
              </w:rPr>
            </w:pPr>
            <w:r>
              <w:rPr>
                <w:rFonts w:ascii="仿宋" w:eastAsia="仿宋" w:hAnsi="仿宋" w:cs="仿宋" w:hint="eastAsia"/>
                <w:szCs w:val="21"/>
              </w:rPr>
              <w:t>6.绿色营销战略</w:t>
            </w:r>
          </w:p>
          <w:p w14:paraId="05763196" w14:textId="77777777" w:rsidR="0037663C" w:rsidRDefault="00000000">
            <w:pPr>
              <w:rPr>
                <w:rFonts w:ascii="仿宋" w:eastAsia="仿宋" w:hAnsi="仿宋" w:cs="仿宋" w:hint="eastAsia"/>
                <w:szCs w:val="21"/>
              </w:rPr>
            </w:pPr>
            <w:r>
              <w:rPr>
                <w:rFonts w:ascii="仿宋" w:eastAsia="仿宋" w:hAnsi="仿宋" w:cs="仿宋" w:hint="eastAsia"/>
                <w:szCs w:val="21"/>
              </w:rPr>
              <w:t>7.绿色营销战略步骤</w:t>
            </w:r>
          </w:p>
          <w:p w14:paraId="22590157" w14:textId="77777777" w:rsidR="0037663C" w:rsidRDefault="00000000">
            <w:pPr>
              <w:rPr>
                <w:rFonts w:ascii="仿宋" w:eastAsia="仿宋" w:hAnsi="仿宋" w:cs="仿宋" w:hint="eastAsia"/>
                <w:szCs w:val="21"/>
              </w:rPr>
            </w:pPr>
            <w:r>
              <w:rPr>
                <w:rFonts w:ascii="仿宋" w:eastAsia="仿宋" w:hAnsi="仿宋" w:cs="仿宋" w:hint="eastAsia"/>
                <w:szCs w:val="21"/>
              </w:rPr>
              <w:t>8.绿色营销的4P策略之产品</w:t>
            </w:r>
          </w:p>
          <w:p w14:paraId="4B9522C6" w14:textId="77777777" w:rsidR="0037663C" w:rsidRDefault="00000000">
            <w:pPr>
              <w:rPr>
                <w:rFonts w:ascii="仿宋" w:eastAsia="仿宋" w:hAnsi="仿宋" w:cs="仿宋" w:hint="eastAsia"/>
                <w:szCs w:val="21"/>
              </w:rPr>
            </w:pPr>
            <w:r>
              <w:rPr>
                <w:rFonts w:ascii="仿宋" w:eastAsia="仿宋" w:hAnsi="仿宋" w:cs="仿宋" w:hint="eastAsia"/>
                <w:szCs w:val="21"/>
              </w:rPr>
              <w:t>9.绿色营销的4P策略之价格策略</w:t>
            </w:r>
          </w:p>
          <w:p w14:paraId="188EA3A6" w14:textId="713D7EA8" w:rsidR="0037663C" w:rsidRPr="00904728" w:rsidRDefault="00000000">
            <w:pPr>
              <w:rPr>
                <w:rFonts w:ascii="仿宋" w:eastAsia="仿宋" w:hAnsi="仿宋" w:cs="仿宋" w:hint="eastAsia"/>
                <w:szCs w:val="21"/>
              </w:rPr>
            </w:pPr>
            <w:r>
              <w:rPr>
                <w:rFonts w:ascii="仿宋" w:eastAsia="仿宋" w:hAnsi="仿宋" w:cs="仿宋" w:hint="eastAsia"/>
                <w:szCs w:val="21"/>
              </w:rPr>
              <w:t>10.绿色营销的4P策略之渠道策略</w:t>
            </w:r>
          </w:p>
        </w:tc>
        <w:tc>
          <w:tcPr>
            <w:tcW w:w="2757" w:type="dxa"/>
            <w:vAlign w:val="center"/>
          </w:tcPr>
          <w:p w14:paraId="3328D798" w14:textId="37F83F15" w:rsidR="0037663C" w:rsidRDefault="00000000">
            <w:pPr>
              <w:rPr>
                <w:rFonts w:ascii="仿宋" w:eastAsia="仿宋" w:hAnsi="仿宋" w:cs="仿宋" w:hint="eastAsia"/>
                <w:szCs w:val="21"/>
              </w:rPr>
            </w:pPr>
            <w:r>
              <w:rPr>
                <w:rFonts w:ascii="仿宋" w:eastAsia="仿宋" w:hAnsi="仿宋" w:cs="仿宋" w:hint="eastAsia"/>
                <w:color w:val="2A2A2A"/>
                <w:szCs w:val="21"/>
                <w:shd w:val="clear" w:color="auto" w:fill="FFFFFF"/>
              </w:rPr>
              <w:t>掌握绿色营销定义和内涵、绿色营销与传统营销差异，以及绿色营销的特征；了解绿色营销理论的发展背景，绿色营销各观点及综合定义；理解绿色需求和市场是如何形成的，分析企业为什么要实施绿色营销，实施绿色营销给企业带来的价值；掌握绿色营销的战略目标和内容，绿色营销实施计划的步骤，如何实施绿色营销4P策略；通过本章节的学习对绿色营销有整体的框架认识，能独立完成一份完整的绿色营销策划文案</w:t>
            </w:r>
            <w:r w:rsidR="00D5725A">
              <w:rPr>
                <w:rFonts w:ascii="仿宋" w:eastAsia="仿宋" w:hAnsi="仿宋" w:cs="仿宋" w:hint="eastAsia"/>
                <w:color w:val="2A2A2A"/>
                <w:szCs w:val="21"/>
                <w:shd w:val="clear" w:color="auto" w:fill="FFFFFF"/>
              </w:rPr>
              <w:t>。</w:t>
            </w:r>
          </w:p>
        </w:tc>
        <w:tc>
          <w:tcPr>
            <w:tcW w:w="397" w:type="dxa"/>
            <w:vAlign w:val="center"/>
          </w:tcPr>
          <w:p w14:paraId="40E3B637" w14:textId="1109B6B1" w:rsidR="0037663C" w:rsidRDefault="00D5725A">
            <w:pPr>
              <w:rPr>
                <w:rFonts w:ascii="仿宋" w:eastAsia="仿宋" w:hAnsi="仿宋" w:cs="仿宋" w:hint="eastAsia"/>
                <w:szCs w:val="21"/>
              </w:rPr>
            </w:pPr>
            <w:r>
              <w:rPr>
                <w:rFonts w:ascii="仿宋" w:eastAsia="仿宋" w:hAnsi="仿宋" w:cs="仿宋" w:hint="eastAsia"/>
                <w:szCs w:val="21"/>
              </w:rPr>
              <w:t>3</w:t>
            </w:r>
          </w:p>
        </w:tc>
        <w:tc>
          <w:tcPr>
            <w:tcW w:w="1134" w:type="dxa"/>
            <w:vAlign w:val="center"/>
          </w:tcPr>
          <w:p w14:paraId="7AD22735"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理解</w:t>
            </w:r>
          </w:p>
          <w:p w14:paraId="6B37042D"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应用</w:t>
            </w:r>
          </w:p>
          <w:p w14:paraId="38A83027"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记忆</w:t>
            </w:r>
          </w:p>
          <w:p w14:paraId="274C211C"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综合分析</w:t>
            </w:r>
          </w:p>
        </w:tc>
      </w:tr>
      <w:tr w:rsidR="0037663C" w14:paraId="7B665A0B" w14:textId="77777777" w:rsidTr="00904728">
        <w:trPr>
          <w:trHeight w:val="20"/>
          <w:jc w:val="center"/>
        </w:trPr>
        <w:tc>
          <w:tcPr>
            <w:tcW w:w="1129" w:type="dxa"/>
            <w:vAlign w:val="center"/>
          </w:tcPr>
          <w:p w14:paraId="23E7C3C2" w14:textId="77777777" w:rsidR="0037663C" w:rsidRDefault="00000000">
            <w:pPr>
              <w:rPr>
                <w:rFonts w:ascii="仿宋" w:eastAsia="仿宋" w:hAnsi="仿宋" w:cs="仿宋" w:hint="eastAsia"/>
                <w:szCs w:val="21"/>
              </w:rPr>
            </w:pPr>
            <w:r>
              <w:rPr>
                <w:rFonts w:ascii="仿宋" w:eastAsia="仿宋" w:hAnsi="仿宋" w:cs="仿宋" w:hint="eastAsia"/>
                <w:szCs w:val="21"/>
              </w:rPr>
              <w:t>第七章</w:t>
            </w:r>
          </w:p>
          <w:p w14:paraId="0D4DB336" w14:textId="77777777" w:rsidR="0037663C" w:rsidRDefault="00000000">
            <w:pPr>
              <w:rPr>
                <w:rFonts w:ascii="仿宋" w:eastAsia="仿宋" w:hAnsi="仿宋" w:cs="仿宋" w:hint="eastAsia"/>
                <w:szCs w:val="21"/>
              </w:rPr>
            </w:pPr>
            <w:r>
              <w:rPr>
                <w:rFonts w:ascii="仿宋" w:eastAsia="仿宋" w:hAnsi="仿宋" w:cs="仿宋" w:hint="eastAsia"/>
                <w:szCs w:val="21"/>
              </w:rPr>
              <w:t>环保健康安全：绿色饭店</w:t>
            </w:r>
          </w:p>
        </w:tc>
        <w:tc>
          <w:tcPr>
            <w:tcW w:w="2860" w:type="dxa"/>
            <w:vAlign w:val="center"/>
          </w:tcPr>
          <w:p w14:paraId="78E0C7E6" w14:textId="77777777" w:rsidR="0037663C" w:rsidRDefault="00000000">
            <w:pPr>
              <w:rPr>
                <w:rFonts w:ascii="仿宋" w:eastAsia="仿宋" w:hAnsi="仿宋" w:cs="仿宋" w:hint="eastAsia"/>
                <w:szCs w:val="21"/>
              </w:rPr>
            </w:pPr>
            <w:r>
              <w:rPr>
                <w:rFonts w:ascii="仿宋" w:eastAsia="仿宋" w:hAnsi="仿宋" w:cs="仿宋" w:hint="eastAsia"/>
                <w:szCs w:val="21"/>
              </w:rPr>
              <w:t>1.绿色饭店的内涵和概念界定</w:t>
            </w:r>
          </w:p>
          <w:p w14:paraId="6261C5FA" w14:textId="77777777" w:rsidR="0037663C" w:rsidRDefault="00000000">
            <w:pPr>
              <w:rPr>
                <w:rFonts w:ascii="仿宋" w:eastAsia="仿宋" w:hAnsi="仿宋" w:cs="仿宋" w:hint="eastAsia"/>
                <w:szCs w:val="21"/>
              </w:rPr>
            </w:pPr>
            <w:r>
              <w:rPr>
                <w:rFonts w:ascii="仿宋" w:eastAsia="仿宋" w:hAnsi="仿宋" w:cs="仿宋" w:hint="eastAsia"/>
                <w:szCs w:val="21"/>
              </w:rPr>
              <w:t>2.绿色饭店建设和管理的意义</w:t>
            </w:r>
          </w:p>
          <w:p w14:paraId="5BF4F8BC" w14:textId="77777777" w:rsidR="0037663C" w:rsidRDefault="00000000">
            <w:pPr>
              <w:rPr>
                <w:rFonts w:ascii="仿宋" w:eastAsia="仿宋" w:hAnsi="仿宋" w:cs="仿宋" w:hint="eastAsia"/>
                <w:szCs w:val="21"/>
              </w:rPr>
            </w:pPr>
            <w:r>
              <w:rPr>
                <w:rFonts w:ascii="仿宋" w:eastAsia="仿宋" w:hAnsi="仿宋" w:cs="仿宋" w:hint="eastAsia"/>
                <w:szCs w:val="21"/>
              </w:rPr>
              <w:t>3.绿色饭店的发展历程</w:t>
            </w:r>
          </w:p>
          <w:p w14:paraId="5FF73A3B" w14:textId="77777777" w:rsidR="0037663C" w:rsidRDefault="00000000">
            <w:pPr>
              <w:rPr>
                <w:rFonts w:ascii="仿宋" w:eastAsia="仿宋" w:hAnsi="仿宋" w:cs="仿宋" w:hint="eastAsia"/>
                <w:szCs w:val="21"/>
              </w:rPr>
            </w:pPr>
            <w:r>
              <w:rPr>
                <w:rFonts w:ascii="仿宋" w:eastAsia="仿宋" w:hAnsi="仿宋" w:cs="仿宋" w:hint="eastAsia"/>
                <w:szCs w:val="21"/>
              </w:rPr>
              <w:t>4.建设绿色饭店的途径</w:t>
            </w:r>
          </w:p>
          <w:p w14:paraId="545D2A5A" w14:textId="5F30DF27" w:rsidR="0037663C" w:rsidRPr="00904728" w:rsidRDefault="00000000">
            <w:pPr>
              <w:rPr>
                <w:rFonts w:ascii="仿宋" w:eastAsia="仿宋" w:hAnsi="仿宋" w:cs="仿宋" w:hint="eastAsia"/>
                <w:szCs w:val="21"/>
              </w:rPr>
            </w:pPr>
            <w:r>
              <w:rPr>
                <w:rFonts w:ascii="仿宋" w:eastAsia="仿宋" w:hAnsi="仿宋" w:cs="仿宋" w:hint="eastAsia"/>
                <w:szCs w:val="21"/>
              </w:rPr>
              <w:t>5.建设绿色饭店的一般原则</w:t>
            </w:r>
          </w:p>
        </w:tc>
        <w:tc>
          <w:tcPr>
            <w:tcW w:w="2757" w:type="dxa"/>
            <w:vAlign w:val="center"/>
          </w:tcPr>
          <w:p w14:paraId="152EA653" w14:textId="77777777" w:rsidR="0037663C" w:rsidRDefault="00000000">
            <w:pPr>
              <w:rPr>
                <w:rFonts w:ascii="仿宋" w:eastAsia="仿宋" w:hAnsi="仿宋" w:cs="仿宋" w:hint="eastAsia"/>
                <w:szCs w:val="21"/>
              </w:rPr>
            </w:pPr>
            <w:r>
              <w:rPr>
                <w:rFonts w:ascii="仿宋" w:eastAsia="仿宋" w:hAnsi="仿宋" w:cs="仿宋" w:hint="eastAsia"/>
                <w:color w:val="2A2A2A"/>
                <w:szCs w:val="21"/>
                <w:shd w:val="clear" w:color="auto" w:fill="FFFFFF"/>
              </w:rPr>
              <w:t>了解绿色饭店的概念，了解建设和管理绿色饭店的意义，理解国内外绿色饭店的发展历程和现状，掌握绿色饭店的标准以及建设绿色饭店的途径和一般原则（新增），掌握绿色饭店管理的方法。</w:t>
            </w:r>
          </w:p>
        </w:tc>
        <w:tc>
          <w:tcPr>
            <w:tcW w:w="397" w:type="dxa"/>
            <w:vAlign w:val="center"/>
          </w:tcPr>
          <w:p w14:paraId="39AF79A5" w14:textId="219636B1" w:rsidR="0037663C" w:rsidRDefault="00D5725A">
            <w:pPr>
              <w:rPr>
                <w:rFonts w:ascii="仿宋" w:eastAsia="仿宋" w:hAnsi="仿宋" w:cs="仿宋" w:hint="eastAsia"/>
                <w:szCs w:val="21"/>
              </w:rPr>
            </w:pPr>
            <w:r>
              <w:rPr>
                <w:rFonts w:ascii="仿宋" w:eastAsia="仿宋" w:hAnsi="仿宋" w:cs="仿宋" w:hint="eastAsia"/>
                <w:szCs w:val="21"/>
              </w:rPr>
              <w:t>1</w:t>
            </w:r>
          </w:p>
        </w:tc>
        <w:tc>
          <w:tcPr>
            <w:tcW w:w="1134" w:type="dxa"/>
            <w:vAlign w:val="center"/>
          </w:tcPr>
          <w:p w14:paraId="1BDA9153"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理解</w:t>
            </w:r>
          </w:p>
          <w:p w14:paraId="2B05E396" w14:textId="77777777" w:rsidR="0037663C" w:rsidRDefault="0037663C">
            <w:pPr>
              <w:rPr>
                <w:rFonts w:ascii="仿宋" w:eastAsia="仿宋" w:hAnsi="仿宋" w:cs="仿宋" w:hint="eastAsia"/>
                <w:szCs w:val="21"/>
                <w:lang w:val="zh-CN"/>
              </w:rPr>
            </w:pPr>
          </w:p>
          <w:p w14:paraId="1BF8C171"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记忆</w:t>
            </w:r>
          </w:p>
          <w:p w14:paraId="3121DE9F" w14:textId="77777777" w:rsidR="0037663C" w:rsidRDefault="0037663C">
            <w:pPr>
              <w:rPr>
                <w:rFonts w:ascii="仿宋" w:eastAsia="仿宋" w:hAnsi="仿宋" w:cs="仿宋" w:hint="eastAsia"/>
                <w:szCs w:val="21"/>
                <w:lang w:val="zh-CN"/>
              </w:rPr>
            </w:pPr>
          </w:p>
        </w:tc>
      </w:tr>
      <w:tr w:rsidR="0037663C" w14:paraId="00BF93DD" w14:textId="77777777" w:rsidTr="00904728">
        <w:trPr>
          <w:trHeight w:val="20"/>
          <w:jc w:val="center"/>
        </w:trPr>
        <w:tc>
          <w:tcPr>
            <w:tcW w:w="1129" w:type="dxa"/>
            <w:vAlign w:val="center"/>
          </w:tcPr>
          <w:p w14:paraId="2099417F" w14:textId="77777777" w:rsidR="0037663C" w:rsidRDefault="00000000">
            <w:pPr>
              <w:rPr>
                <w:rFonts w:ascii="仿宋" w:eastAsia="仿宋" w:hAnsi="仿宋" w:cs="仿宋" w:hint="eastAsia"/>
                <w:szCs w:val="21"/>
              </w:rPr>
            </w:pPr>
            <w:r>
              <w:rPr>
                <w:rFonts w:ascii="仿宋" w:eastAsia="仿宋" w:hAnsi="仿宋" w:cs="仿宋" w:hint="eastAsia"/>
                <w:szCs w:val="21"/>
              </w:rPr>
              <w:t>第八章企业绿色管理在生产型企业中的应用</w:t>
            </w:r>
          </w:p>
          <w:p w14:paraId="32727563" w14:textId="77777777" w:rsidR="0037663C" w:rsidRDefault="0037663C">
            <w:pPr>
              <w:rPr>
                <w:rFonts w:ascii="仿宋" w:eastAsia="仿宋" w:hAnsi="仿宋" w:cs="仿宋" w:hint="eastAsia"/>
                <w:szCs w:val="21"/>
              </w:rPr>
            </w:pPr>
          </w:p>
        </w:tc>
        <w:tc>
          <w:tcPr>
            <w:tcW w:w="2860" w:type="dxa"/>
            <w:vAlign w:val="center"/>
          </w:tcPr>
          <w:p w14:paraId="6C0E1F0B" w14:textId="77777777" w:rsidR="0037663C" w:rsidRDefault="00000000">
            <w:pPr>
              <w:rPr>
                <w:rFonts w:ascii="仿宋" w:eastAsia="仿宋" w:hAnsi="仿宋" w:cs="仿宋" w:hint="eastAsia"/>
                <w:szCs w:val="21"/>
              </w:rPr>
            </w:pPr>
            <w:r>
              <w:rPr>
                <w:rFonts w:ascii="仿宋" w:eastAsia="仿宋" w:hAnsi="仿宋" w:cs="仿宋" w:hint="eastAsia"/>
                <w:szCs w:val="21"/>
              </w:rPr>
              <w:t>1.绿色冶金实施的意义</w:t>
            </w:r>
          </w:p>
          <w:p w14:paraId="74C9DF28" w14:textId="77777777" w:rsidR="0037663C" w:rsidRDefault="00000000">
            <w:pPr>
              <w:rPr>
                <w:rFonts w:ascii="仿宋" w:eastAsia="仿宋" w:hAnsi="仿宋" w:cs="仿宋" w:hint="eastAsia"/>
                <w:szCs w:val="21"/>
              </w:rPr>
            </w:pPr>
            <w:r>
              <w:rPr>
                <w:rFonts w:ascii="仿宋" w:eastAsia="仿宋" w:hAnsi="仿宋" w:cs="仿宋" w:hint="eastAsia"/>
                <w:szCs w:val="21"/>
              </w:rPr>
              <w:t>2.优酷视频-宝钢：绿动未来宝钢的绿色管理与创新实践</w:t>
            </w:r>
          </w:p>
          <w:p w14:paraId="7F82EC9A" w14:textId="77777777" w:rsidR="0037663C" w:rsidRDefault="00000000">
            <w:pPr>
              <w:rPr>
                <w:rFonts w:ascii="仿宋" w:eastAsia="仿宋" w:hAnsi="仿宋" w:cs="仿宋" w:hint="eastAsia"/>
                <w:szCs w:val="21"/>
              </w:rPr>
            </w:pPr>
            <w:r>
              <w:rPr>
                <w:rFonts w:ascii="仿宋" w:eastAsia="仿宋" w:hAnsi="仿宋" w:cs="仿宋" w:hint="eastAsia"/>
                <w:szCs w:val="21"/>
              </w:rPr>
              <w:t>3.企业公民责任</w:t>
            </w:r>
          </w:p>
          <w:p w14:paraId="5CBBBF83" w14:textId="77777777" w:rsidR="0037663C" w:rsidRDefault="00000000">
            <w:pPr>
              <w:rPr>
                <w:rFonts w:ascii="仿宋" w:eastAsia="仿宋" w:hAnsi="仿宋" w:cs="仿宋" w:hint="eastAsia"/>
                <w:szCs w:val="21"/>
              </w:rPr>
            </w:pPr>
            <w:r>
              <w:rPr>
                <w:rFonts w:ascii="仿宋" w:eastAsia="仿宋" w:hAnsi="仿宋" w:cs="仿宋" w:hint="eastAsia"/>
                <w:szCs w:val="21"/>
              </w:rPr>
              <w:t>4.石油企业环保的社会责任</w:t>
            </w:r>
          </w:p>
          <w:p w14:paraId="29AEF043" w14:textId="77777777" w:rsidR="0037663C" w:rsidRDefault="00000000">
            <w:pPr>
              <w:rPr>
                <w:rFonts w:ascii="仿宋" w:eastAsia="仿宋" w:hAnsi="仿宋" w:cs="仿宋" w:hint="eastAsia"/>
                <w:szCs w:val="21"/>
              </w:rPr>
            </w:pPr>
            <w:r>
              <w:rPr>
                <w:rFonts w:ascii="仿宋" w:eastAsia="仿宋" w:hAnsi="仿宋" w:cs="仿宋" w:hint="eastAsia"/>
                <w:szCs w:val="21"/>
              </w:rPr>
              <w:t>5.石油企业履行社会责任：以中石化为例</w:t>
            </w:r>
          </w:p>
          <w:p w14:paraId="374414DB" w14:textId="77777777" w:rsidR="0037663C" w:rsidRDefault="00000000">
            <w:pPr>
              <w:rPr>
                <w:rFonts w:ascii="仿宋" w:eastAsia="仿宋" w:hAnsi="仿宋" w:cs="仿宋" w:hint="eastAsia"/>
                <w:szCs w:val="21"/>
                <w:lang w:val="zh-CN"/>
              </w:rPr>
            </w:pPr>
            <w:r>
              <w:rPr>
                <w:rFonts w:ascii="仿宋" w:eastAsia="仿宋" w:hAnsi="仿宋" w:cs="仿宋" w:hint="eastAsia"/>
                <w:szCs w:val="21"/>
              </w:rPr>
              <w:t>6.施工企业绿色工程项目管理的意义</w:t>
            </w:r>
          </w:p>
        </w:tc>
        <w:tc>
          <w:tcPr>
            <w:tcW w:w="2757" w:type="dxa"/>
            <w:vAlign w:val="center"/>
          </w:tcPr>
          <w:p w14:paraId="49E0D938" w14:textId="13D6F16B" w:rsidR="0037663C" w:rsidRDefault="00000000">
            <w:pPr>
              <w:rPr>
                <w:rFonts w:ascii="仿宋" w:eastAsia="仿宋" w:hAnsi="仿宋" w:cs="仿宋" w:hint="eastAsia"/>
                <w:szCs w:val="21"/>
              </w:rPr>
            </w:pPr>
            <w:r>
              <w:rPr>
                <w:rFonts w:ascii="仿宋" w:eastAsia="仿宋" w:hAnsi="仿宋" w:cs="仿宋" w:hint="eastAsia"/>
                <w:color w:val="2A2A2A"/>
                <w:szCs w:val="21"/>
                <w:shd w:val="clear" w:color="auto" w:fill="FFFFFF"/>
              </w:rPr>
              <w:t>通过冶金、石油、建筑行业的绿色管理实践案例介绍，强化企业绿色管理知识</w:t>
            </w:r>
            <w:r w:rsidR="00D5725A">
              <w:rPr>
                <w:rFonts w:ascii="仿宋" w:eastAsia="仿宋" w:hAnsi="仿宋" w:cs="仿宋" w:hint="eastAsia"/>
                <w:color w:val="2A2A2A"/>
                <w:szCs w:val="21"/>
                <w:shd w:val="clear" w:color="auto" w:fill="FFFFFF"/>
              </w:rPr>
              <w:t>。</w:t>
            </w:r>
          </w:p>
        </w:tc>
        <w:tc>
          <w:tcPr>
            <w:tcW w:w="397" w:type="dxa"/>
            <w:vAlign w:val="center"/>
          </w:tcPr>
          <w:p w14:paraId="51FA1402" w14:textId="0CDB9164" w:rsidR="0037663C" w:rsidRDefault="00FE01E4">
            <w:pPr>
              <w:rPr>
                <w:rFonts w:ascii="仿宋" w:eastAsia="仿宋" w:hAnsi="仿宋" w:cs="仿宋" w:hint="eastAsia"/>
                <w:szCs w:val="21"/>
              </w:rPr>
            </w:pPr>
            <w:r>
              <w:rPr>
                <w:rFonts w:ascii="仿宋" w:eastAsia="仿宋" w:hAnsi="仿宋" w:cs="仿宋" w:hint="eastAsia"/>
                <w:szCs w:val="21"/>
              </w:rPr>
              <w:t>2</w:t>
            </w:r>
          </w:p>
        </w:tc>
        <w:tc>
          <w:tcPr>
            <w:tcW w:w="1134" w:type="dxa"/>
            <w:vAlign w:val="center"/>
          </w:tcPr>
          <w:p w14:paraId="01DE6254"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理解</w:t>
            </w:r>
          </w:p>
          <w:p w14:paraId="7710C5BF" w14:textId="2344E6AA"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应用</w:t>
            </w:r>
          </w:p>
          <w:p w14:paraId="597F3921"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综合分析</w:t>
            </w:r>
          </w:p>
        </w:tc>
      </w:tr>
    </w:tbl>
    <w:p w14:paraId="509835D7" w14:textId="77777777" w:rsidR="0037663C" w:rsidRDefault="0037663C">
      <w:pPr>
        <w:ind w:firstLineChars="200" w:firstLine="360"/>
        <w:rPr>
          <w:rFonts w:ascii="仿宋" w:eastAsia="仿宋" w:hAnsi="仿宋" w:hint="eastAsia"/>
          <w:sz w:val="18"/>
          <w:szCs w:val="18"/>
          <w:lang w:val="zh-CN"/>
        </w:rPr>
      </w:pPr>
    </w:p>
    <w:p w14:paraId="7A56478E" w14:textId="77777777" w:rsidR="0037663C" w:rsidRDefault="00000000">
      <w:pPr>
        <w:rPr>
          <w:rFonts w:ascii="黑体" w:eastAsia="黑体" w:hAnsi="黑体" w:hint="eastAsia"/>
          <w:szCs w:val="21"/>
          <w:lang w:val="en-GB"/>
        </w:rPr>
      </w:pPr>
      <w:r>
        <w:rPr>
          <w:rFonts w:ascii="黑体" w:eastAsia="黑体" w:hAnsi="黑体" w:hint="eastAsia"/>
          <w:szCs w:val="21"/>
          <w:lang w:val="en-GB"/>
        </w:rPr>
        <w:t>五、教学方法</w:t>
      </w:r>
    </w:p>
    <w:p w14:paraId="5B03FEB5" w14:textId="77777777" w:rsidR="0037663C" w:rsidRDefault="00000000" w:rsidP="003F0613">
      <w:pPr>
        <w:pStyle w:val="a3"/>
        <w:snapToGrid w:val="0"/>
        <w:spacing w:before="144" w:line="360" w:lineRule="atLeast"/>
        <w:ind w:firstLineChars="200" w:firstLine="420"/>
        <w:rPr>
          <w:rFonts w:ascii="仿宋" w:eastAsia="仿宋" w:hAnsi="仿宋" w:cs="仿宋" w:hint="eastAsia"/>
        </w:rPr>
      </w:pPr>
      <w:r>
        <w:rPr>
          <w:rFonts w:ascii="仿宋" w:eastAsia="仿宋" w:hAnsi="仿宋" w:cs="仿宋" w:hint="eastAsia"/>
        </w:rPr>
        <w:t>本课程提倡学生广泛阅读参考书和参考文献，实行课堂讲授、自学、与课堂讨论相结合的教学方法，达到教师精讲、学生宽学多练的学习目的。</w:t>
      </w:r>
    </w:p>
    <w:p w14:paraId="5B17BDCE" w14:textId="77777777" w:rsidR="00D5725A" w:rsidRDefault="00D5725A" w:rsidP="003F0613">
      <w:pPr>
        <w:pStyle w:val="a3"/>
        <w:snapToGrid w:val="0"/>
        <w:spacing w:before="144" w:line="360" w:lineRule="atLeast"/>
        <w:rPr>
          <w:rFonts w:ascii="仿宋" w:eastAsia="仿宋" w:hAnsi="仿宋" w:hint="eastAsia"/>
        </w:rPr>
      </w:pPr>
    </w:p>
    <w:p w14:paraId="5C4E0318" w14:textId="77777777" w:rsidR="00D5725A" w:rsidRDefault="00D5725A" w:rsidP="003F0613">
      <w:pPr>
        <w:pStyle w:val="a3"/>
        <w:snapToGrid w:val="0"/>
        <w:spacing w:before="144" w:line="360" w:lineRule="atLeast"/>
        <w:rPr>
          <w:rFonts w:ascii="仿宋" w:eastAsia="仿宋" w:hAnsi="仿宋" w:hint="eastAsia"/>
        </w:rPr>
      </w:pPr>
    </w:p>
    <w:p w14:paraId="434F43CA" w14:textId="77777777" w:rsidR="0037663C" w:rsidRDefault="00000000">
      <w:pPr>
        <w:numPr>
          <w:ilvl w:val="0"/>
          <w:numId w:val="2"/>
        </w:numPr>
        <w:rPr>
          <w:rFonts w:ascii="黑体" w:eastAsia="黑体" w:hAnsi="黑体" w:hint="eastAsia"/>
          <w:szCs w:val="21"/>
        </w:rPr>
      </w:pPr>
      <w:r>
        <w:rPr>
          <w:rFonts w:ascii="黑体" w:eastAsia="黑体" w:hAnsi="黑体" w:hint="eastAsia"/>
          <w:szCs w:val="21"/>
          <w:lang w:val="en-GB"/>
        </w:rPr>
        <w:lastRenderedPageBreak/>
        <w:t>考核方式</w:t>
      </w:r>
    </w:p>
    <w:p w14:paraId="52E874A6" w14:textId="2D8973FA" w:rsidR="0037663C" w:rsidRDefault="005411CA" w:rsidP="003F0613">
      <w:pPr>
        <w:spacing w:before="144"/>
        <w:ind w:firstLineChars="200" w:firstLine="422"/>
        <w:rPr>
          <w:rFonts w:ascii="仿宋" w:eastAsia="仿宋" w:hAnsi="仿宋" w:cs="仿宋" w:hint="eastAsia"/>
          <w:szCs w:val="21"/>
        </w:rPr>
      </w:pPr>
      <w:r>
        <w:rPr>
          <w:rFonts w:ascii="仿宋" w:eastAsia="仿宋" w:hAnsi="仿宋" w:cs="仿宋" w:hint="eastAsia"/>
          <w:b/>
          <w:bCs/>
          <w:szCs w:val="21"/>
        </w:rPr>
        <w:t>按照</w:t>
      </w:r>
      <w:r w:rsidR="005C0E2F">
        <w:rPr>
          <w:rFonts w:ascii="仿宋" w:eastAsia="仿宋" w:hAnsi="仿宋" w:cs="仿宋" w:hint="eastAsia"/>
          <w:b/>
          <w:bCs/>
          <w:szCs w:val="21"/>
        </w:rPr>
        <w:t>慕课</w:t>
      </w:r>
      <w:r>
        <w:rPr>
          <w:rFonts w:ascii="仿宋" w:eastAsia="仿宋" w:hAnsi="仿宋" w:cs="仿宋" w:hint="eastAsia"/>
          <w:b/>
          <w:bCs/>
          <w:szCs w:val="21"/>
        </w:rPr>
        <w:t>平台</w:t>
      </w:r>
      <w:r w:rsidR="005C0E2F">
        <w:rPr>
          <w:rFonts w:ascii="仿宋" w:eastAsia="仿宋" w:hAnsi="仿宋" w:cs="仿宋" w:hint="eastAsia"/>
          <w:b/>
          <w:bCs/>
          <w:szCs w:val="21"/>
        </w:rPr>
        <w:t>总分数构成</w:t>
      </w:r>
      <w:r w:rsidR="005C0E2F">
        <w:rPr>
          <w:rFonts w:ascii="仿宋" w:eastAsia="仿宋" w:hAnsi="仿宋" w:cs="仿宋" w:hint="eastAsia"/>
          <w:szCs w:val="21"/>
        </w:rPr>
        <w:t>：</w:t>
      </w:r>
    </w:p>
    <w:p w14:paraId="3ACFDD18" w14:textId="045F8BA0" w:rsidR="0037663C" w:rsidRDefault="005C0E2F">
      <w:pPr>
        <w:ind w:firstLineChars="400" w:firstLine="840"/>
        <w:rPr>
          <w:rFonts w:ascii="仿宋" w:eastAsia="仿宋" w:hAnsi="仿宋" w:cs="仿宋" w:hint="eastAsia"/>
          <w:szCs w:val="21"/>
        </w:rPr>
      </w:pPr>
      <w:r>
        <w:rPr>
          <w:rFonts w:ascii="仿宋" w:eastAsia="仿宋" w:hAnsi="仿宋" w:cs="仿宋" w:hint="eastAsia"/>
          <w:szCs w:val="21"/>
        </w:rPr>
        <w:t>过程成绩60%：</w:t>
      </w:r>
      <w:bookmarkStart w:id="0" w:name="OLE_LINK1"/>
      <w:r w:rsidR="00C60C45">
        <w:rPr>
          <w:rFonts w:ascii="仿宋" w:eastAsia="仿宋" w:hAnsi="仿宋" w:cs="仿宋" w:hint="eastAsia"/>
          <w:szCs w:val="21"/>
        </w:rPr>
        <w:t>平时成绩</w:t>
      </w:r>
      <w:r>
        <w:rPr>
          <w:rFonts w:ascii="仿宋" w:eastAsia="仿宋" w:hAnsi="仿宋" w:cs="仿宋" w:hint="eastAsia"/>
          <w:szCs w:val="21"/>
        </w:rPr>
        <w:t>：</w:t>
      </w:r>
      <w:r w:rsidR="00C60C45">
        <w:rPr>
          <w:rFonts w:ascii="仿宋" w:eastAsia="仿宋" w:hAnsi="仿宋" w:cs="仿宋" w:hint="eastAsia"/>
          <w:szCs w:val="21"/>
        </w:rPr>
        <w:t>3</w:t>
      </w:r>
      <w:r>
        <w:rPr>
          <w:rFonts w:ascii="仿宋" w:eastAsia="仿宋" w:hAnsi="仿宋" w:cs="仿宋" w:hint="eastAsia"/>
          <w:szCs w:val="21"/>
        </w:rPr>
        <w:t xml:space="preserve">0% </w:t>
      </w:r>
      <w:r w:rsidR="00C60C45">
        <w:rPr>
          <w:rFonts w:ascii="仿宋" w:eastAsia="仿宋" w:hAnsi="仿宋" w:cs="仿宋" w:hint="eastAsia"/>
          <w:szCs w:val="21"/>
        </w:rPr>
        <w:t>章节测试</w:t>
      </w:r>
      <w:r>
        <w:rPr>
          <w:rFonts w:ascii="仿宋" w:eastAsia="仿宋" w:hAnsi="仿宋" w:cs="仿宋" w:hint="eastAsia"/>
          <w:szCs w:val="21"/>
        </w:rPr>
        <w:t>：1</w:t>
      </w:r>
      <w:r w:rsidR="00C60C45">
        <w:rPr>
          <w:rFonts w:ascii="仿宋" w:eastAsia="仿宋" w:hAnsi="仿宋" w:cs="仿宋" w:hint="eastAsia"/>
          <w:szCs w:val="21"/>
        </w:rPr>
        <w:t>0</w:t>
      </w:r>
      <w:r>
        <w:rPr>
          <w:rFonts w:ascii="仿宋" w:eastAsia="仿宋" w:hAnsi="仿宋" w:cs="仿宋" w:hint="eastAsia"/>
          <w:szCs w:val="21"/>
        </w:rPr>
        <w:t xml:space="preserve">% </w:t>
      </w:r>
      <w:r w:rsidR="00C60C45">
        <w:rPr>
          <w:rFonts w:ascii="仿宋" w:eastAsia="仿宋" w:hAnsi="仿宋" w:cs="仿宋" w:hint="eastAsia"/>
          <w:szCs w:val="21"/>
        </w:rPr>
        <w:t>见面课成绩</w:t>
      </w:r>
      <w:r>
        <w:rPr>
          <w:rFonts w:ascii="仿宋" w:eastAsia="仿宋" w:hAnsi="仿宋" w:cs="仿宋" w:hint="eastAsia"/>
          <w:szCs w:val="21"/>
        </w:rPr>
        <w:t>：2</w:t>
      </w:r>
      <w:r w:rsidR="00C60C45">
        <w:rPr>
          <w:rFonts w:ascii="仿宋" w:eastAsia="仿宋" w:hAnsi="仿宋" w:cs="仿宋" w:hint="eastAsia"/>
          <w:szCs w:val="21"/>
        </w:rPr>
        <w:t>0</w:t>
      </w:r>
      <w:r>
        <w:rPr>
          <w:rFonts w:ascii="仿宋" w:eastAsia="仿宋" w:hAnsi="仿宋" w:cs="仿宋" w:hint="eastAsia"/>
          <w:szCs w:val="21"/>
        </w:rPr>
        <w:t xml:space="preserve">% </w:t>
      </w:r>
      <w:bookmarkEnd w:id="0"/>
    </w:p>
    <w:p w14:paraId="7AAD3F69" w14:textId="76478A4D" w:rsidR="0037663C" w:rsidRDefault="00904728" w:rsidP="005C0E2F">
      <w:pPr>
        <w:ind w:firstLineChars="400" w:firstLine="840"/>
        <w:rPr>
          <w:rFonts w:ascii="仿宋" w:eastAsia="仿宋" w:hAnsi="仿宋" w:cs="仿宋" w:hint="eastAsia"/>
          <w:szCs w:val="21"/>
        </w:rPr>
      </w:pPr>
      <w:r>
        <w:rPr>
          <w:rFonts w:ascii="仿宋" w:eastAsia="仿宋" w:hAnsi="仿宋" w:cs="仿宋" w:hint="eastAsia"/>
          <w:szCs w:val="21"/>
        </w:rPr>
        <w:t>结课</w:t>
      </w:r>
      <w:r w:rsidR="005C0E2F">
        <w:rPr>
          <w:rFonts w:ascii="仿宋" w:eastAsia="仿宋" w:hAnsi="仿宋" w:cs="仿宋" w:hint="eastAsia"/>
          <w:szCs w:val="21"/>
        </w:rPr>
        <w:t>考核</w:t>
      </w:r>
      <w:r w:rsidR="004C3B0E">
        <w:rPr>
          <w:rFonts w:ascii="仿宋" w:eastAsia="仿宋" w:hAnsi="仿宋" w:cs="仿宋" w:hint="eastAsia"/>
          <w:szCs w:val="21"/>
        </w:rPr>
        <w:t>（开卷）</w:t>
      </w:r>
      <w:r>
        <w:rPr>
          <w:rFonts w:ascii="仿宋" w:eastAsia="仿宋" w:hAnsi="仿宋" w:cs="仿宋" w:hint="eastAsia"/>
          <w:szCs w:val="21"/>
        </w:rPr>
        <w:t>40%。</w:t>
      </w:r>
    </w:p>
    <w:p w14:paraId="4C9FB6DE" w14:textId="77777777" w:rsidR="003F0613" w:rsidRPr="005C0E2F" w:rsidRDefault="003F0613" w:rsidP="005C0E2F">
      <w:pPr>
        <w:ind w:firstLineChars="400" w:firstLine="840"/>
        <w:rPr>
          <w:rFonts w:ascii="仿宋" w:eastAsia="仿宋" w:hAnsi="仿宋" w:cs="仿宋" w:hint="eastAsia"/>
          <w:szCs w:val="21"/>
        </w:rPr>
      </w:pPr>
    </w:p>
    <w:p w14:paraId="6366AA5C" w14:textId="77777777" w:rsidR="0037663C" w:rsidRDefault="00000000">
      <w:pPr>
        <w:rPr>
          <w:rFonts w:ascii="黑体" w:eastAsia="黑体" w:hAnsi="黑体" w:hint="eastAsia"/>
          <w:szCs w:val="21"/>
          <w:lang w:val="en-GB"/>
        </w:rPr>
      </w:pPr>
      <w:r>
        <w:rPr>
          <w:rFonts w:ascii="黑体" w:eastAsia="黑体" w:hAnsi="黑体" w:hint="eastAsia"/>
          <w:szCs w:val="21"/>
          <w:lang w:val="en-GB"/>
        </w:rPr>
        <w:t>七、教材与参考书</w:t>
      </w:r>
    </w:p>
    <w:p w14:paraId="74A27824" w14:textId="77777777" w:rsidR="0037663C" w:rsidRDefault="00000000" w:rsidP="00D5725A">
      <w:pPr>
        <w:spacing w:before="144"/>
        <w:ind w:firstLineChars="200" w:firstLine="422"/>
        <w:rPr>
          <w:rFonts w:ascii="仿宋" w:eastAsia="仿宋" w:hAnsi="仿宋" w:hint="eastAsia"/>
          <w:szCs w:val="21"/>
        </w:rPr>
      </w:pPr>
      <w:r>
        <w:rPr>
          <w:rFonts w:ascii="仿宋" w:eastAsia="仿宋" w:hAnsi="仿宋" w:hint="eastAsia"/>
          <w:b/>
          <w:szCs w:val="21"/>
        </w:rPr>
        <w:t>参考书：</w:t>
      </w:r>
    </w:p>
    <w:p w14:paraId="17E7EC6D" w14:textId="77777777" w:rsidR="0037663C" w:rsidRDefault="00000000">
      <w:pPr>
        <w:pStyle w:val="aa"/>
        <w:widowControl/>
        <w:spacing w:beforeAutospacing="0" w:afterAutospacing="0"/>
        <w:ind w:firstLineChars="200" w:firstLine="420"/>
        <w:rPr>
          <w:rFonts w:ascii="仿宋" w:eastAsia="仿宋" w:hAnsi="仿宋" w:cs="仿宋" w:hint="eastAsia"/>
          <w:sz w:val="21"/>
          <w:szCs w:val="21"/>
        </w:rPr>
      </w:pPr>
      <w:r>
        <w:rPr>
          <w:rFonts w:ascii="仿宋" w:eastAsia="仿宋" w:hAnsi="仿宋" w:cs="仿宋" w:hint="eastAsia"/>
          <w:sz w:val="21"/>
          <w:szCs w:val="21"/>
        </w:rPr>
        <w:t>1.王起.绿色管理在西方的兴起.中国环境报.1993-5-15.</w:t>
      </w:r>
    </w:p>
    <w:p w14:paraId="3765C214" w14:textId="77777777" w:rsidR="0037663C" w:rsidRDefault="00000000">
      <w:pPr>
        <w:pStyle w:val="aa"/>
        <w:widowControl/>
        <w:spacing w:beforeAutospacing="0" w:afterAutospacing="0"/>
        <w:ind w:firstLineChars="200" w:firstLine="420"/>
        <w:rPr>
          <w:rFonts w:ascii="仿宋" w:eastAsia="仿宋" w:hAnsi="仿宋" w:cs="仿宋" w:hint="eastAsia"/>
          <w:sz w:val="21"/>
          <w:szCs w:val="21"/>
        </w:rPr>
      </w:pPr>
      <w:r>
        <w:rPr>
          <w:rFonts w:ascii="仿宋" w:eastAsia="仿宋" w:hAnsi="仿宋" w:cs="仿宋" w:hint="eastAsia"/>
          <w:sz w:val="21"/>
          <w:szCs w:val="21"/>
        </w:rPr>
        <w:t>2.梅雪芹."泰晤士老爹"的落魄与新生.2007.环境保护，(14):68-70.</w:t>
      </w:r>
    </w:p>
    <w:p w14:paraId="55D340BF" w14:textId="77777777" w:rsidR="0037663C" w:rsidRDefault="00000000">
      <w:pPr>
        <w:pStyle w:val="aa"/>
        <w:widowControl/>
        <w:spacing w:beforeAutospacing="0" w:afterAutospacing="0"/>
        <w:ind w:firstLineChars="200" w:firstLine="420"/>
        <w:rPr>
          <w:rFonts w:ascii="仿宋" w:eastAsia="仿宋" w:hAnsi="仿宋" w:cs="仿宋" w:hint="eastAsia"/>
          <w:sz w:val="21"/>
          <w:szCs w:val="21"/>
        </w:rPr>
      </w:pPr>
      <w:r>
        <w:rPr>
          <w:rFonts w:ascii="仿宋" w:eastAsia="仿宋" w:hAnsi="仿宋" w:cs="仿宋" w:hint="eastAsia"/>
          <w:sz w:val="21"/>
          <w:szCs w:val="21"/>
        </w:rPr>
        <w:t>3.吴建祖，曾宪聚.2010.绿色管理的动力：社会责任还是经济利益?.管理学家：学术版， (4).75-78.</w:t>
      </w:r>
    </w:p>
    <w:p w14:paraId="2467C42B" w14:textId="77777777" w:rsidR="0037663C" w:rsidRDefault="00000000">
      <w:pPr>
        <w:pStyle w:val="aa"/>
        <w:widowControl/>
        <w:spacing w:beforeAutospacing="0" w:afterAutospacing="0"/>
        <w:ind w:firstLineChars="200" w:firstLine="420"/>
        <w:rPr>
          <w:rFonts w:ascii="仿宋" w:eastAsia="仿宋" w:hAnsi="仿宋" w:cs="仿宋" w:hint="eastAsia"/>
          <w:sz w:val="21"/>
          <w:szCs w:val="21"/>
        </w:rPr>
      </w:pPr>
      <w:r>
        <w:rPr>
          <w:rFonts w:ascii="仿宋" w:eastAsia="仿宋" w:hAnsi="仿宋" w:cs="仿宋" w:hint="eastAsia"/>
          <w:sz w:val="21"/>
          <w:szCs w:val="21"/>
        </w:rPr>
        <w:t>4.马士华，林勇.供应链管理(第五版).机械工业出版社，2016.</w:t>
      </w:r>
    </w:p>
    <w:p w14:paraId="3BDD64DC" w14:textId="77777777" w:rsidR="0037663C" w:rsidRDefault="00000000">
      <w:pPr>
        <w:pStyle w:val="aa"/>
        <w:widowControl/>
        <w:spacing w:beforeAutospacing="0" w:afterAutospacing="0"/>
        <w:ind w:firstLineChars="200" w:firstLine="420"/>
        <w:rPr>
          <w:rFonts w:ascii="仿宋" w:eastAsia="仿宋" w:hAnsi="仿宋" w:cs="仿宋" w:hint="eastAsia"/>
          <w:sz w:val="21"/>
          <w:szCs w:val="21"/>
        </w:rPr>
      </w:pPr>
      <w:r>
        <w:rPr>
          <w:rFonts w:ascii="仿宋" w:eastAsia="仿宋" w:hAnsi="仿宋" w:cs="仿宋" w:hint="eastAsia"/>
          <w:sz w:val="21"/>
          <w:szCs w:val="21"/>
        </w:rPr>
        <w:t>5.(美)鲍尔索克斯.供应链物流管理.清华大学出版社，2009.</w:t>
      </w:r>
    </w:p>
    <w:p w14:paraId="37733173" w14:textId="77777777" w:rsidR="0037663C" w:rsidRDefault="00000000">
      <w:pPr>
        <w:pStyle w:val="aa"/>
        <w:widowControl/>
        <w:spacing w:beforeAutospacing="0" w:afterAutospacing="0"/>
        <w:ind w:firstLineChars="200" w:firstLine="420"/>
        <w:rPr>
          <w:rFonts w:ascii="仿宋" w:eastAsia="仿宋" w:hAnsi="仿宋" w:cs="仿宋" w:hint="eastAsia"/>
          <w:sz w:val="21"/>
          <w:szCs w:val="21"/>
        </w:rPr>
      </w:pPr>
      <w:r>
        <w:rPr>
          <w:rFonts w:ascii="仿宋" w:eastAsia="仿宋" w:hAnsi="仿宋" w:cs="仿宋" w:hint="eastAsia"/>
          <w:sz w:val="21"/>
          <w:szCs w:val="21"/>
        </w:rPr>
        <w:t>6.朱庆华，阎洪.绿色供应链管理：理论与实践.科学出版社.2014.</w:t>
      </w:r>
    </w:p>
    <w:p w14:paraId="593CE756" w14:textId="77777777" w:rsidR="0037663C" w:rsidRDefault="00000000">
      <w:pPr>
        <w:pStyle w:val="aa"/>
        <w:widowControl/>
        <w:spacing w:beforeAutospacing="0" w:afterAutospacing="0"/>
        <w:ind w:firstLineChars="200" w:firstLine="420"/>
        <w:rPr>
          <w:rFonts w:ascii="仿宋" w:eastAsia="仿宋" w:hAnsi="仿宋" w:cs="仿宋" w:hint="eastAsia"/>
          <w:sz w:val="21"/>
          <w:szCs w:val="21"/>
        </w:rPr>
      </w:pPr>
      <w:r>
        <w:rPr>
          <w:rFonts w:ascii="仿宋" w:eastAsia="仿宋" w:hAnsi="仿宋" w:cs="仿宋" w:hint="eastAsia"/>
          <w:sz w:val="21"/>
          <w:szCs w:val="21"/>
        </w:rPr>
        <w:t>7.苏宜.投资项目评估.第2版.北京：清华大学出版社.2011.</w:t>
      </w:r>
    </w:p>
    <w:p w14:paraId="1083B0ED" w14:textId="77777777" w:rsidR="0037663C" w:rsidRDefault="00000000">
      <w:pPr>
        <w:pStyle w:val="aa"/>
        <w:widowControl/>
        <w:spacing w:beforeAutospacing="0" w:afterAutospacing="0"/>
        <w:ind w:firstLineChars="200" w:firstLine="420"/>
        <w:rPr>
          <w:rFonts w:ascii="仿宋" w:eastAsia="仿宋" w:hAnsi="仿宋" w:cs="仿宋" w:hint="eastAsia"/>
          <w:sz w:val="21"/>
          <w:szCs w:val="21"/>
        </w:rPr>
      </w:pPr>
      <w:r>
        <w:rPr>
          <w:rFonts w:ascii="仿宋" w:eastAsia="仿宋" w:hAnsi="仿宋" w:cs="仿宋" w:hint="eastAsia"/>
          <w:sz w:val="21"/>
          <w:szCs w:val="21"/>
        </w:rPr>
        <w:t>8.曾平华.财务报表看什么?上海：立信会计出版社.2009.</w:t>
      </w:r>
    </w:p>
    <w:p w14:paraId="2727300B" w14:textId="77777777" w:rsidR="0037663C" w:rsidRDefault="00000000">
      <w:pPr>
        <w:pStyle w:val="aa"/>
        <w:widowControl/>
        <w:spacing w:beforeAutospacing="0" w:afterAutospacing="0"/>
        <w:ind w:firstLineChars="200" w:firstLine="420"/>
        <w:rPr>
          <w:rFonts w:ascii="仿宋" w:eastAsia="仿宋" w:hAnsi="仿宋" w:cs="仿宋" w:hint="eastAsia"/>
          <w:sz w:val="21"/>
          <w:szCs w:val="21"/>
        </w:rPr>
      </w:pPr>
      <w:r>
        <w:rPr>
          <w:rFonts w:ascii="仿宋" w:eastAsia="仿宋" w:hAnsi="仿宋" w:cs="仿宋" w:hint="eastAsia"/>
          <w:sz w:val="21"/>
          <w:szCs w:val="21"/>
        </w:rPr>
        <w:t>9.卢相君，时军.绿色会计.北京：中国环境出版社.2016.</w:t>
      </w:r>
    </w:p>
    <w:p w14:paraId="256AD576" w14:textId="77777777" w:rsidR="0037663C" w:rsidRDefault="00000000">
      <w:pPr>
        <w:pStyle w:val="aa"/>
        <w:widowControl/>
        <w:spacing w:beforeAutospacing="0" w:afterAutospacing="0"/>
        <w:ind w:firstLineChars="200" w:firstLine="420"/>
        <w:rPr>
          <w:rFonts w:ascii="仿宋" w:eastAsia="仿宋" w:hAnsi="仿宋" w:cs="仿宋" w:hint="eastAsia"/>
          <w:sz w:val="21"/>
          <w:szCs w:val="21"/>
        </w:rPr>
      </w:pPr>
      <w:r>
        <w:rPr>
          <w:rFonts w:ascii="仿宋" w:eastAsia="仿宋" w:hAnsi="仿宋" w:cs="仿宋" w:hint="eastAsia"/>
          <w:sz w:val="21"/>
          <w:szCs w:val="21"/>
        </w:rPr>
        <w:t>10.孙恒，王彦卓.企业绿色会计理论与实践应用研究.北京：经济科学出版</w:t>
      </w:r>
    </w:p>
    <w:p w14:paraId="0E8BE3F1" w14:textId="77777777" w:rsidR="0037663C" w:rsidRDefault="00000000">
      <w:pPr>
        <w:pStyle w:val="aa"/>
        <w:widowControl/>
        <w:spacing w:beforeAutospacing="0" w:afterAutospacing="0"/>
        <w:rPr>
          <w:rFonts w:ascii="仿宋" w:eastAsia="仿宋" w:hAnsi="仿宋" w:cs="仿宋" w:hint="eastAsia"/>
          <w:sz w:val="21"/>
          <w:szCs w:val="21"/>
        </w:rPr>
      </w:pPr>
      <w:r>
        <w:rPr>
          <w:rFonts w:ascii="仿宋" w:eastAsia="仿宋" w:hAnsi="仿宋" w:cs="仿宋" w:hint="eastAsia"/>
          <w:sz w:val="21"/>
          <w:szCs w:val="21"/>
        </w:rPr>
        <w:t>社.2014.</w:t>
      </w:r>
    </w:p>
    <w:p w14:paraId="27B44063" w14:textId="77777777" w:rsidR="0037663C" w:rsidRDefault="0037663C">
      <w:pPr>
        <w:pStyle w:val="aa"/>
        <w:widowControl/>
        <w:spacing w:beforeAutospacing="0" w:afterAutospacing="0"/>
      </w:pPr>
    </w:p>
    <w:p w14:paraId="4916D368" w14:textId="77777777" w:rsidR="0037663C" w:rsidRDefault="0037663C">
      <w:pPr>
        <w:pStyle w:val="aa"/>
        <w:widowControl/>
        <w:spacing w:beforeAutospacing="0" w:afterAutospacing="0"/>
        <w:ind w:firstLineChars="200" w:firstLine="480"/>
      </w:pPr>
    </w:p>
    <w:p w14:paraId="0BB91487" w14:textId="77777777" w:rsidR="0037663C" w:rsidRDefault="0037663C">
      <w:pPr>
        <w:pStyle w:val="aa"/>
        <w:widowControl/>
        <w:spacing w:beforeAutospacing="0" w:afterAutospacing="0"/>
        <w:ind w:firstLineChars="200" w:firstLine="480"/>
      </w:pP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6"/>
      </w:tblGrid>
      <w:tr w:rsidR="0037663C" w14:paraId="1BC81DC7" w14:textId="77777777">
        <w:trPr>
          <w:trHeight w:val="454"/>
          <w:jc w:val="right"/>
        </w:trPr>
        <w:tc>
          <w:tcPr>
            <w:tcW w:w="3316" w:type="dxa"/>
            <w:vAlign w:val="center"/>
          </w:tcPr>
          <w:p w14:paraId="5655270E" w14:textId="77777777" w:rsidR="0037663C" w:rsidRDefault="00000000">
            <w:pPr>
              <w:rPr>
                <w:rFonts w:ascii="黑体" w:eastAsia="仿宋" w:hAnsi="黑体" w:hint="eastAsia"/>
                <w:szCs w:val="21"/>
              </w:rPr>
            </w:pPr>
            <w:r>
              <w:rPr>
                <w:rFonts w:ascii="仿宋" w:eastAsia="仿宋" w:hAnsi="仿宋" w:hint="eastAsia"/>
                <w:szCs w:val="21"/>
                <w:lang w:val="en-GB"/>
              </w:rPr>
              <w:t>制定人：（课程</w:t>
            </w:r>
            <w:r>
              <w:rPr>
                <w:rFonts w:ascii="仿宋" w:eastAsia="仿宋" w:hAnsi="仿宋"/>
                <w:szCs w:val="21"/>
                <w:lang w:val="en-GB"/>
              </w:rPr>
              <w:t>负责人</w:t>
            </w:r>
            <w:r>
              <w:rPr>
                <w:rFonts w:ascii="仿宋" w:eastAsia="仿宋" w:hAnsi="仿宋" w:hint="eastAsia"/>
                <w:szCs w:val="21"/>
                <w:lang w:val="en-GB"/>
              </w:rPr>
              <w:t>）</w:t>
            </w:r>
            <w:r>
              <w:rPr>
                <w:rFonts w:ascii="仿宋" w:eastAsia="仿宋" w:hAnsi="仿宋" w:hint="eastAsia"/>
                <w:szCs w:val="21"/>
              </w:rPr>
              <w:t>鞠小玉</w:t>
            </w:r>
          </w:p>
        </w:tc>
      </w:tr>
      <w:tr w:rsidR="0037663C" w14:paraId="7C52312C" w14:textId="77777777">
        <w:trPr>
          <w:trHeight w:val="454"/>
          <w:jc w:val="right"/>
        </w:trPr>
        <w:tc>
          <w:tcPr>
            <w:tcW w:w="3316" w:type="dxa"/>
            <w:vAlign w:val="center"/>
          </w:tcPr>
          <w:p w14:paraId="672B1F07" w14:textId="77777777" w:rsidR="0037663C" w:rsidRDefault="00000000">
            <w:pPr>
              <w:rPr>
                <w:rFonts w:ascii="仿宋" w:eastAsia="仿宋" w:hAnsi="仿宋" w:hint="eastAsia"/>
                <w:szCs w:val="21"/>
              </w:rPr>
            </w:pPr>
            <w:r>
              <w:rPr>
                <w:rFonts w:ascii="仿宋" w:eastAsia="仿宋" w:hAnsi="仿宋" w:hint="eastAsia"/>
                <w:szCs w:val="21"/>
                <w:lang w:val="en-GB"/>
              </w:rPr>
              <w:t>审核人</w:t>
            </w:r>
            <w:r>
              <w:rPr>
                <w:rFonts w:ascii="仿宋" w:eastAsia="仿宋" w:hAnsi="仿宋"/>
                <w:szCs w:val="21"/>
                <w:lang w:val="en-GB"/>
              </w:rPr>
              <w:t>：（</w:t>
            </w:r>
            <w:r>
              <w:rPr>
                <w:rFonts w:ascii="仿宋" w:eastAsia="仿宋" w:hAnsi="仿宋" w:hint="eastAsia"/>
                <w:szCs w:val="21"/>
                <w:lang w:val="en-GB"/>
              </w:rPr>
              <w:t>开课系主任</w:t>
            </w:r>
            <w:r>
              <w:rPr>
                <w:rFonts w:ascii="仿宋" w:eastAsia="仿宋" w:hAnsi="仿宋"/>
                <w:szCs w:val="21"/>
                <w:lang w:val="en-GB"/>
              </w:rPr>
              <w:t>）</w:t>
            </w:r>
            <w:r>
              <w:rPr>
                <w:rFonts w:ascii="仿宋" w:eastAsia="仿宋" w:hAnsi="仿宋" w:hint="eastAsia"/>
                <w:szCs w:val="21"/>
              </w:rPr>
              <w:t>鞠小玉</w:t>
            </w:r>
          </w:p>
        </w:tc>
      </w:tr>
      <w:tr w:rsidR="0037663C" w14:paraId="319D6999" w14:textId="77777777">
        <w:trPr>
          <w:trHeight w:val="454"/>
          <w:jc w:val="right"/>
        </w:trPr>
        <w:tc>
          <w:tcPr>
            <w:tcW w:w="3316" w:type="dxa"/>
            <w:vAlign w:val="center"/>
          </w:tcPr>
          <w:p w14:paraId="783558D2" w14:textId="55592BD3" w:rsidR="0037663C" w:rsidRDefault="00000000">
            <w:pPr>
              <w:rPr>
                <w:rFonts w:ascii="仿宋" w:eastAsia="仿宋" w:hAnsi="仿宋" w:hint="eastAsia"/>
                <w:szCs w:val="21"/>
                <w:lang w:val="en-GB"/>
              </w:rPr>
            </w:pPr>
            <w:r>
              <w:rPr>
                <w:rFonts w:ascii="仿宋" w:eastAsia="仿宋" w:hAnsi="仿宋" w:hint="eastAsia"/>
                <w:szCs w:val="21"/>
                <w:lang w:val="en-GB"/>
              </w:rPr>
              <w:t>制（修）订时间：202</w:t>
            </w:r>
            <w:r w:rsidR="00D5725A">
              <w:rPr>
                <w:rFonts w:ascii="仿宋" w:eastAsia="仿宋" w:hAnsi="仿宋" w:hint="eastAsia"/>
                <w:szCs w:val="21"/>
              </w:rPr>
              <w:t>4</w:t>
            </w:r>
            <w:r>
              <w:rPr>
                <w:rFonts w:ascii="仿宋" w:eastAsia="仿宋" w:hAnsi="仿宋" w:hint="eastAsia"/>
                <w:szCs w:val="21"/>
                <w:lang w:val="en-GB"/>
              </w:rPr>
              <w:t>年</w:t>
            </w:r>
            <w:r>
              <w:rPr>
                <w:rFonts w:ascii="仿宋" w:eastAsia="仿宋" w:hAnsi="仿宋" w:hint="eastAsia"/>
                <w:szCs w:val="21"/>
              </w:rPr>
              <w:t>8</w:t>
            </w:r>
            <w:r>
              <w:rPr>
                <w:rFonts w:ascii="仿宋" w:eastAsia="仿宋" w:hAnsi="仿宋" w:hint="eastAsia"/>
                <w:szCs w:val="21"/>
                <w:lang w:val="en-GB"/>
              </w:rPr>
              <w:t>月</w:t>
            </w:r>
          </w:p>
        </w:tc>
      </w:tr>
    </w:tbl>
    <w:p w14:paraId="7EE8EF6A" w14:textId="77777777" w:rsidR="0037663C" w:rsidRDefault="00000000">
      <w:pPr>
        <w:widowControl/>
        <w:jc w:val="left"/>
        <w:rPr>
          <w:rFonts w:ascii="仿宋" w:eastAsia="仿宋" w:hAnsi="仿宋" w:hint="eastAsia"/>
          <w:szCs w:val="21"/>
        </w:rPr>
      </w:pPr>
      <w:r>
        <w:rPr>
          <w:rFonts w:ascii="仿宋" w:eastAsia="仿宋" w:hAnsi="仿宋"/>
          <w:szCs w:val="21"/>
        </w:rPr>
        <w:br w:type="page"/>
      </w:r>
      <w:r>
        <w:rPr>
          <w:rFonts w:ascii="仿宋" w:eastAsia="仿宋" w:hAnsi="仿宋" w:hint="eastAsia"/>
          <w:szCs w:val="21"/>
        </w:rPr>
        <w:lastRenderedPageBreak/>
        <w:t xml:space="preserve">  </w:t>
      </w:r>
    </w:p>
    <w:p w14:paraId="4935B7BC" w14:textId="77777777" w:rsidR="0037663C" w:rsidRDefault="00000000">
      <w:pPr>
        <w:jc w:val="center"/>
        <w:rPr>
          <w:rFonts w:ascii="Times New Roman" w:eastAsia="黑体" w:hAnsi="Times New Roman" w:cs="Times New Roman"/>
          <w:b/>
          <w:sz w:val="32"/>
          <w:szCs w:val="21"/>
          <w:lang w:val="en-GB"/>
        </w:rPr>
      </w:pPr>
      <w:r>
        <w:rPr>
          <w:rFonts w:ascii="Times New Roman" w:eastAsia="黑体" w:hAnsi="Times New Roman" w:cs="Times New Roman"/>
          <w:b/>
          <w:sz w:val="32"/>
          <w:szCs w:val="21"/>
          <w:lang w:val="en-GB"/>
        </w:rPr>
        <w:t>《</w:t>
      </w:r>
      <w:r>
        <w:rPr>
          <w:rFonts w:ascii="Times New Roman" w:eastAsia="黑体" w:hAnsi="Times New Roman" w:cs="Times New Roman" w:hint="eastAsia"/>
          <w:b/>
          <w:sz w:val="32"/>
          <w:szCs w:val="21"/>
          <w:lang w:val="en-GB"/>
        </w:rPr>
        <w:t>Introduction to enterprise green management</w:t>
      </w:r>
      <w:r>
        <w:rPr>
          <w:rFonts w:ascii="Times New Roman" w:eastAsia="黑体" w:hAnsi="Times New Roman" w:cs="Times New Roman"/>
          <w:b/>
          <w:sz w:val="32"/>
          <w:szCs w:val="21"/>
          <w:lang w:val="en-GB"/>
        </w:rPr>
        <w:t>》</w:t>
      </w:r>
      <w:r>
        <w:rPr>
          <w:rFonts w:ascii="Times New Roman" w:eastAsia="黑体" w:hAnsi="Times New Roman" w:cs="Times New Roman"/>
          <w:b/>
          <w:sz w:val="32"/>
          <w:szCs w:val="21"/>
          <w:lang w:val="en-GB"/>
        </w:rPr>
        <w:t>Syllabus</w:t>
      </w:r>
    </w:p>
    <w:p w14:paraId="2CD67573" w14:textId="77777777"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I. Basic Information</w:t>
      </w: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37663C" w14:paraId="5C9939A7" w14:textId="77777777">
        <w:trPr>
          <w:jc w:val="right"/>
        </w:trPr>
        <w:tc>
          <w:tcPr>
            <w:tcW w:w="4025" w:type="dxa"/>
            <w:vAlign w:val="center"/>
          </w:tcPr>
          <w:p w14:paraId="3A648190" w14:textId="77777777" w:rsidR="0037663C" w:rsidRDefault="00000000">
            <w:pPr>
              <w:rPr>
                <w:rFonts w:ascii="Times New Roman" w:eastAsia="黑体" w:hAnsi="Times New Roman" w:cs="Times New Roman"/>
                <w:szCs w:val="21"/>
                <w:lang w:val="en-GB"/>
              </w:rPr>
            </w:pPr>
            <w:r>
              <w:rPr>
                <w:rFonts w:ascii="Times New Roman" w:hAnsi="Times New Roman" w:cs="Times New Roman"/>
              </w:rPr>
              <w:t xml:space="preserve">Course Name: </w:t>
            </w:r>
            <w:r>
              <w:rPr>
                <w:rFonts w:ascii="Times New Roman" w:hAnsi="Times New Roman" w:cs="Times New Roman" w:hint="eastAsia"/>
              </w:rPr>
              <w:t>Introduction to enterprise green management</w:t>
            </w:r>
          </w:p>
        </w:tc>
        <w:tc>
          <w:tcPr>
            <w:tcW w:w="3969" w:type="dxa"/>
            <w:vAlign w:val="center"/>
          </w:tcPr>
          <w:p w14:paraId="3CCB4169"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lang w:val="en-GB"/>
              </w:rPr>
              <w:t xml:space="preserve">Name in Chinese: </w:t>
            </w:r>
            <w:r>
              <w:rPr>
                <w:rFonts w:ascii="Times New Roman" w:eastAsia="仿宋" w:hAnsi="Times New Roman" w:cs="Times New Roman" w:hint="eastAsia"/>
                <w:szCs w:val="21"/>
              </w:rPr>
              <w:t>企业绿色管理概论</w:t>
            </w:r>
          </w:p>
        </w:tc>
      </w:tr>
      <w:tr w:rsidR="0037663C" w14:paraId="503BFCB8" w14:textId="77777777">
        <w:trPr>
          <w:jc w:val="right"/>
        </w:trPr>
        <w:tc>
          <w:tcPr>
            <w:tcW w:w="4025" w:type="dxa"/>
            <w:vAlign w:val="center"/>
          </w:tcPr>
          <w:p w14:paraId="7D4593B5" w14:textId="5923B041" w:rsidR="0037663C" w:rsidRDefault="00000000">
            <w:pPr>
              <w:rPr>
                <w:rFonts w:ascii="Times New Roman" w:eastAsia="黑体" w:hAnsi="Times New Roman" w:cs="Times New Roman"/>
                <w:szCs w:val="21"/>
                <w:lang w:val="en-GB"/>
              </w:rPr>
            </w:pPr>
            <w:r>
              <w:rPr>
                <w:rFonts w:ascii="Times New Roman" w:hAnsi="Times New Roman" w:cs="Times New Roman"/>
              </w:rPr>
              <w:t xml:space="preserve">Course No.: </w:t>
            </w:r>
            <w:r>
              <w:rPr>
                <w:rFonts w:ascii="Times New Roman" w:eastAsia="仿宋" w:hAnsi="Times New Roman" w:cs="Times New Roman"/>
                <w:szCs w:val="21"/>
              </w:rPr>
              <w:t>2</w:t>
            </w:r>
            <w:r w:rsidR="00FB5BD6">
              <w:rPr>
                <w:rFonts w:ascii="Times New Roman" w:eastAsia="仿宋" w:hAnsi="Times New Roman" w:cs="Times New Roman" w:hint="eastAsia"/>
                <w:szCs w:val="21"/>
              </w:rPr>
              <w:t>4</w:t>
            </w:r>
            <w:r>
              <w:rPr>
                <w:rFonts w:ascii="Times New Roman" w:eastAsia="仿宋" w:hAnsi="Times New Roman" w:cs="Times New Roman"/>
                <w:szCs w:val="21"/>
              </w:rPr>
              <w:t>0901G001</w:t>
            </w:r>
          </w:p>
        </w:tc>
        <w:tc>
          <w:tcPr>
            <w:tcW w:w="3969" w:type="dxa"/>
            <w:vAlign w:val="center"/>
          </w:tcPr>
          <w:p w14:paraId="71407100" w14:textId="6F8F8B8E" w:rsidR="0037663C" w:rsidRDefault="00000000">
            <w:pPr>
              <w:rPr>
                <w:rFonts w:ascii="Times New Roman" w:hAnsi="Times New Roman" w:cs="Times New Roman"/>
                <w:szCs w:val="21"/>
              </w:rPr>
            </w:pPr>
            <w:r>
              <w:rPr>
                <w:rFonts w:ascii="Times New Roman" w:hAnsi="Times New Roman" w:cs="Times New Roman"/>
              </w:rPr>
              <w:t xml:space="preserve">Total Credits: </w:t>
            </w:r>
            <w:r w:rsidR="00FE01E4">
              <w:rPr>
                <w:rFonts w:ascii="Times New Roman" w:hAnsi="Times New Roman" w:cs="Times New Roman" w:hint="eastAsia"/>
              </w:rPr>
              <w:t>1</w:t>
            </w:r>
          </w:p>
        </w:tc>
      </w:tr>
      <w:tr w:rsidR="0037663C" w14:paraId="3C379AE6" w14:textId="77777777">
        <w:trPr>
          <w:jc w:val="right"/>
        </w:trPr>
        <w:tc>
          <w:tcPr>
            <w:tcW w:w="4025" w:type="dxa"/>
            <w:vAlign w:val="center"/>
          </w:tcPr>
          <w:p w14:paraId="285AF217" w14:textId="057203EA" w:rsidR="0037663C" w:rsidRDefault="00000000">
            <w:pPr>
              <w:rPr>
                <w:rFonts w:ascii="Times New Roman" w:hAnsi="Times New Roman" w:cs="Times New Roman"/>
                <w:szCs w:val="21"/>
              </w:rPr>
            </w:pPr>
            <w:r>
              <w:rPr>
                <w:rFonts w:ascii="Times New Roman" w:hAnsi="Times New Roman" w:cs="Times New Roman"/>
              </w:rPr>
              <w:t xml:space="preserve">Total Hours: </w:t>
            </w:r>
            <w:r w:rsidR="008430D1">
              <w:rPr>
                <w:rFonts w:ascii="Times New Roman" w:hAnsi="Times New Roman" w:cs="Times New Roman" w:hint="eastAsia"/>
              </w:rPr>
              <w:t>15</w:t>
            </w:r>
          </w:p>
        </w:tc>
        <w:tc>
          <w:tcPr>
            <w:tcW w:w="3969" w:type="dxa"/>
            <w:vAlign w:val="center"/>
          </w:tcPr>
          <w:p w14:paraId="44062EA0" w14:textId="55FED78B" w:rsidR="0037663C" w:rsidRDefault="00000000">
            <w:pPr>
              <w:rPr>
                <w:rFonts w:ascii="Times New Roman" w:eastAsia="黑体" w:hAnsi="Times New Roman" w:cs="Times New Roman"/>
                <w:szCs w:val="21"/>
              </w:rPr>
            </w:pPr>
            <w:r>
              <w:rPr>
                <w:rFonts w:ascii="Times New Roman" w:eastAsia="黑体" w:hAnsi="Times New Roman" w:cs="Times New Roman"/>
                <w:szCs w:val="21"/>
                <w:lang w:val="en-GB"/>
              </w:rPr>
              <w:t xml:space="preserve">Lecture Hours: </w:t>
            </w:r>
            <w:r w:rsidR="008430D1">
              <w:rPr>
                <w:rFonts w:ascii="Times New Roman" w:eastAsia="黑体" w:hAnsi="Times New Roman" w:cs="Times New Roman" w:hint="eastAsia"/>
                <w:szCs w:val="21"/>
              </w:rPr>
              <w:t>15</w:t>
            </w:r>
          </w:p>
        </w:tc>
      </w:tr>
      <w:tr w:rsidR="0037663C" w14:paraId="1AFFB341" w14:textId="77777777">
        <w:trPr>
          <w:jc w:val="right"/>
        </w:trPr>
        <w:tc>
          <w:tcPr>
            <w:tcW w:w="4025" w:type="dxa"/>
            <w:vAlign w:val="center"/>
          </w:tcPr>
          <w:p w14:paraId="3C3E3D2D" w14:textId="77777777" w:rsidR="0037663C" w:rsidRDefault="00000000">
            <w:pPr>
              <w:rPr>
                <w:rFonts w:ascii="Times New Roman" w:hAnsi="Times New Roman" w:cs="Times New Roman"/>
                <w:szCs w:val="21"/>
              </w:rPr>
            </w:pPr>
            <w:r>
              <w:rPr>
                <w:rFonts w:ascii="Times New Roman" w:hAnsi="Times New Roman" w:cs="Times New Roman"/>
              </w:rPr>
              <w:t xml:space="preserve">Lab Hours: </w:t>
            </w:r>
            <w:r>
              <w:rPr>
                <w:rFonts w:ascii="Times New Roman" w:hAnsi="Times New Roman" w:cs="Times New Roman" w:hint="eastAsia"/>
              </w:rPr>
              <w:t>0</w:t>
            </w:r>
          </w:p>
        </w:tc>
        <w:tc>
          <w:tcPr>
            <w:tcW w:w="3969" w:type="dxa"/>
            <w:vAlign w:val="center"/>
          </w:tcPr>
          <w:p w14:paraId="3ABDB619" w14:textId="77777777" w:rsidR="0037663C" w:rsidRDefault="00000000">
            <w:pPr>
              <w:rPr>
                <w:rFonts w:ascii="Times New Roman" w:hAnsi="Times New Roman" w:cs="Times New Roman"/>
                <w:szCs w:val="21"/>
              </w:rPr>
            </w:pPr>
            <w:r>
              <w:rPr>
                <w:rFonts w:ascii="Times New Roman" w:hAnsi="Times New Roman" w:cs="Times New Roman"/>
              </w:rPr>
              <w:t xml:space="preserve">Computer Lab Hours: </w:t>
            </w:r>
            <w:r>
              <w:rPr>
                <w:rFonts w:ascii="Times New Roman" w:hAnsi="Times New Roman" w:cs="Times New Roman" w:hint="eastAsia"/>
              </w:rPr>
              <w:t>0</w:t>
            </w:r>
          </w:p>
        </w:tc>
      </w:tr>
      <w:tr w:rsidR="0037663C" w14:paraId="56FCD446" w14:textId="77777777">
        <w:trPr>
          <w:jc w:val="right"/>
        </w:trPr>
        <w:tc>
          <w:tcPr>
            <w:tcW w:w="4025" w:type="dxa"/>
            <w:vAlign w:val="center"/>
          </w:tcPr>
          <w:p w14:paraId="5E8C73BE" w14:textId="77777777" w:rsidR="0037663C" w:rsidRDefault="00000000">
            <w:pPr>
              <w:rPr>
                <w:rFonts w:ascii="Times New Roman" w:eastAsia="黑体" w:hAnsi="Times New Roman" w:cs="Times New Roman"/>
                <w:szCs w:val="21"/>
                <w:lang w:val="en-GB"/>
              </w:rPr>
            </w:pPr>
            <w:r>
              <w:rPr>
                <w:rFonts w:ascii="Times New Roman" w:hAnsi="Times New Roman" w:cs="Times New Roman"/>
              </w:rPr>
              <w:t xml:space="preserve">Offering College: </w:t>
            </w:r>
            <w:r>
              <w:rPr>
                <w:rFonts w:ascii="Times New Roman" w:hAnsi="Times New Roman" w:cs="Times New Roman" w:hint="eastAsia"/>
              </w:rPr>
              <w:t>college of business administration</w:t>
            </w:r>
          </w:p>
        </w:tc>
        <w:tc>
          <w:tcPr>
            <w:tcW w:w="3969" w:type="dxa"/>
            <w:vAlign w:val="center"/>
          </w:tcPr>
          <w:p w14:paraId="4D412387" w14:textId="77777777" w:rsidR="0037663C" w:rsidRDefault="00000000">
            <w:pPr>
              <w:rPr>
                <w:rFonts w:ascii="Times New Roman" w:eastAsia="黑体" w:hAnsi="Times New Roman" w:cs="Times New Roman"/>
                <w:szCs w:val="21"/>
                <w:lang w:val="en-GB"/>
              </w:rPr>
            </w:pPr>
            <w:r>
              <w:rPr>
                <w:rFonts w:ascii="Times New Roman" w:hAnsi="Times New Roman" w:cs="Times New Roman"/>
              </w:rPr>
              <w:t xml:space="preserve">Corresponding Majors: </w:t>
            </w:r>
            <w:r>
              <w:rPr>
                <w:rFonts w:ascii="Times New Roman" w:hAnsi="Times New Roman" w:cs="Times New Roman" w:hint="eastAsia"/>
              </w:rPr>
              <w:t>All professional</w:t>
            </w:r>
          </w:p>
        </w:tc>
      </w:tr>
      <w:tr w:rsidR="0037663C" w14:paraId="1D0EDDBA" w14:textId="77777777">
        <w:trPr>
          <w:trHeight w:val="63"/>
          <w:jc w:val="right"/>
        </w:trPr>
        <w:tc>
          <w:tcPr>
            <w:tcW w:w="4025" w:type="dxa"/>
            <w:vAlign w:val="center"/>
          </w:tcPr>
          <w:p w14:paraId="3C68604A" w14:textId="77777777" w:rsidR="0037663C" w:rsidRDefault="00000000">
            <w:pPr>
              <w:rPr>
                <w:rFonts w:ascii="Times New Roman" w:eastAsia="黑体" w:hAnsi="Times New Roman" w:cs="Times New Roman"/>
                <w:szCs w:val="21"/>
                <w:lang w:val="en-GB"/>
              </w:rPr>
            </w:pPr>
            <w:r>
              <w:rPr>
                <w:rFonts w:ascii="Times New Roman" w:hAnsi="Times New Roman" w:cs="Times New Roman"/>
              </w:rPr>
              <w:t>Course Type: Elective</w:t>
            </w:r>
          </w:p>
        </w:tc>
        <w:tc>
          <w:tcPr>
            <w:tcW w:w="3969" w:type="dxa"/>
            <w:vAlign w:val="center"/>
          </w:tcPr>
          <w:p w14:paraId="0B42CF14" w14:textId="77777777" w:rsidR="0037663C" w:rsidRDefault="00000000">
            <w:pPr>
              <w:rPr>
                <w:rFonts w:ascii="Times New Roman" w:eastAsia="黑体" w:hAnsi="Times New Roman" w:cs="Times New Roman"/>
                <w:szCs w:val="21"/>
                <w:lang w:val="en-GB"/>
              </w:rPr>
            </w:pPr>
            <w:r>
              <w:rPr>
                <w:rFonts w:ascii="Times New Roman" w:hAnsi="Times New Roman" w:cs="Times New Roman"/>
              </w:rPr>
              <w:t xml:space="preserve">Prerequisite: </w:t>
            </w:r>
          </w:p>
        </w:tc>
      </w:tr>
    </w:tbl>
    <w:p w14:paraId="019F6587" w14:textId="77777777" w:rsidR="00D5725A" w:rsidRDefault="00D5725A">
      <w:pPr>
        <w:rPr>
          <w:rFonts w:ascii="Times New Roman" w:eastAsia="黑体" w:hAnsi="Times New Roman" w:cs="Times New Roman"/>
          <w:b/>
          <w:szCs w:val="21"/>
          <w:lang w:val="en-GB"/>
        </w:rPr>
      </w:pPr>
    </w:p>
    <w:p w14:paraId="5E5CE988" w14:textId="58F31CA9"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14:paraId="2D77F2C1" w14:textId="77777777" w:rsidR="0037663C"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Ecological civilization mountain green water green, green development of enterprises first."Introduction to the green enterprise management" MOOC will work with you, from the perspective of enterprise management, natural to humanistic care, by sharing the basic enterprise green management principle and method, build a new enterprise green management concept, open the future enterprise profit source of green channel, boost ecological civilization construction, achieve a win-win situation of enterprise economic and ecological benefits. We believe that the harmony between business management and nature is everywhere.</w:t>
      </w:r>
    </w:p>
    <w:p w14:paraId="6DA8A29D" w14:textId="77777777" w:rsidR="0037663C" w:rsidRDefault="0037663C">
      <w:pPr>
        <w:ind w:firstLineChars="200" w:firstLine="420"/>
        <w:rPr>
          <w:rFonts w:ascii="Times New Roman" w:eastAsia="仿宋" w:hAnsi="Times New Roman" w:cs="Times New Roman"/>
          <w:szCs w:val="21"/>
          <w:lang w:val="en-GB"/>
        </w:rPr>
      </w:pPr>
    </w:p>
    <w:p w14:paraId="79734C54" w14:textId="77777777"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III. Course Objective</w:t>
      </w:r>
    </w:p>
    <w:p w14:paraId="574436EA" w14:textId="77777777" w:rsidR="0037663C" w:rsidRDefault="00000000">
      <w:pPr>
        <w:ind w:firstLineChars="200" w:firstLine="420"/>
        <w:rPr>
          <w:rFonts w:ascii="Times New Roman" w:eastAsia="黑体" w:hAnsi="Times New Roman" w:cs="Times New Roman"/>
          <w:bCs/>
          <w:szCs w:val="21"/>
          <w:lang w:val="en-GB"/>
        </w:rPr>
      </w:pPr>
      <w:r>
        <w:rPr>
          <w:rFonts w:ascii="Times New Roman" w:eastAsia="黑体" w:hAnsi="Times New Roman" w:cs="Times New Roman" w:hint="eastAsia"/>
          <w:bCs/>
          <w:szCs w:val="21"/>
          <w:lang w:val="en-GB"/>
        </w:rPr>
        <w:t>Understand the frontier ideas of enterprise management and establish the concept of green and sustainable development; master the green management ideas and management methods, including green human resource management, green accounting, green supply chain management, green manufacturing, green marketing, etc.; use the green management ideas and ideas to guide the green management practice of hotel, metallurgy, petroleum, construction and other service and production industries.</w:t>
      </w:r>
    </w:p>
    <w:p w14:paraId="6EFB8759" w14:textId="77777777" w:rsidR="0037663C" w:rsidRDefault="0037663C">
      <w:pPr>
        <w:rPr>
          <w:rFonts w:ascii="Times New Roman" w:eastAsia="黑体" w:hAnsi="Times New Roman" w:cs="Times New Roman"/>
          <w:bCs/>
          <w:szCs w:val="21"/>
          <w:lang w:val="en-GB"/>
        </w:rPr>
      </w:pPr>
    </w:p>
    <w:p w14:paraId="42844117" w14:textId="77777777"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 xml:space="preserve">IV. Contents </w:t>
      </w:r>
      <w:r>
        <w:rPr>
          <w:rFonts w:ascii="Times New Roman" w:eastAsia="仿宋" w:hAnsi="Times New Roman" w:cs="Times New Roman"/>
          <w:b/>
          <w:szCs w:val="21"/>
          <w:lang w:val="en-GB"/>
        </w:rPr>
        <w:t>and</w:t>
      </w:r>
      <w:r>
        <w:rPr>
          <w:rFonts w:ascii="Times New Roman" w:eastAsia="黑体" w:hAnsi="Times New Roman" w:cs="Times New Roman"/>
          <w:b/>
          <w:szCs w:val="21"/>
          <w:lang w:val="en-GB"/>
        </w:rPr>
        <w:t xml:space="preserve"> Requirements</w:t>
      </w:r>
    </w:p>
    <w:p w14:paraId="66C1EE96" w14:textId="77777777" w:rsidR="0037663C" w:rsidRDefault="0037663C">
      <w:pPr>
        <w:rPr>
          <w:rFonts w:ascii="Times New Roman" w:eastAsia="黑体" w:hAnsi="Times New Roman" w:cs="Times New Roman"/>
          <w:b/>
          <w:szCs w:val="21"/>
          <w:lang w:val="en-GB"/>
        </w:rPr>
      </w:pPr>
    </w:p>
    <w:tbl>
      <w:tblPr>
        <w:tblStyle w:val="ab"/>
        <w:tblW w:w="8674" w:type="dxa"/>
        <w:jc w:val="center"/>
        <w:tblLayout w:type="fixed"/>
        <w:tblLook w:val="04A0" w:firstRow="1" w:lastRow="0" w:firstColumn="1" w:lastColumn="0" w:noHBand="0" w:noVBand="1"/>
      </w:tblPr>
      <w:tblGrid>
        <w:gridCol w:w="1091"/>
        <w:gridCol w:w="2737"/>
        <w:gridCol w:w="2748"/>
        <w:gridCol w:w="664"/>
        <w:gridCol w:w="1434"/>
      </w:tblGrid>
      <w:tr w:rsidR="0037663C" w14:paraId="74E0618E" w14:textId="77777777">
        <w:trPr>
          <w:trHeight w:val="20"/>
          <w:tblHeader/>
          <w:jc w:val="center"/>
        </w:trPr>
        <w:tc>
          <w:tcPr>
            <w:tcW w:w="3828" w:type="dxa"/>
            <w:gridSpan w:val="2"/>
            <w:vAlign w:val="center"/>
          </w:tcPr>
          <w:p w14:paraId="38EAEB86" w14:textId="77777777" w:rsidR="0037663C" w:rsidRDefault="00000000">
            <w:pPr>
              <w:jc w:val="center"/>
              <w:rPr>
                <w:rFonts w:ascii="Times New Roman" w:eastAsia="仿宋" w:hAnsi="Times New Roman" w:cs="Times New Roman"/>
                <w:b/>
                <w:szCs w:val="21"/>
                <w:lang w:val="zh-CN"/>
              </w:rPr>
            </w:pPr>
            <w:r>
              <w:rPr>
                <w:rFonts w:ascii="Times New Roman" w:eastAsia="仿宋" w:hAnsi="Times New Roman" w:cs="Times New Roman"/>
                <w:b/>
                <w:szCs w:val="21"/>
                <w:lang w:val="zh-CN"/>
              </w:rPr>
              <w:t>Chapter / teaching unit</w:t>
            </w:r>
          </w:p>
        </w:tc>
        <w:tc>
          <w:tcPr>
            <w:tcW w:w="2748" w:type="dxa"/>
            <w:vAlign w:val="center"/>
          </w:tcPr>
          <w:p w14:paraId="275A5743" w14:textId="77777777" w:rsidR="0037663C" w:rsidRPr="00904728" w:rsidRDefault="00000000">
            <w:pPr>
              <w:jc w:val="center"/>
              <w:rPr>
                <w:rFonts w:ascii="Times New Roman" w:eastAsia="仿宋" w:hAnsi="Times New Roman" w:cs="Times New Roman"/>
                <w:b/>
                <w:szCs w:val="21"/>
              </w:rPr>
            </w:pPr>
            <w:r w:rsidRPr="00904728">
              <w:rPr>
                <w:rFonts w:ascii="Times New Roman" w:eastAsia="仿宋" w:hAnsi="Times New Roman" w:cs="Times New Roman"/>
                <w:b/>
                <w:szCs w:val="21"/>
              </w:rPr>
              <w:t>Teaching content, key points and difficulties</w:t>
            </w:r>
          </w:p>
        </w:tc>
        <w:tc>
          <w:tcPr>
            <w:tcW w:w="664" w:type="dxa"/>
            <w:vAlign w:val="center"/>
          </w:tcPr>
          <w:p w14:paraId="4FD2682D" w14:textId="77777777" w:rsidR="0037663C" w:rsidRDefault="00000000">
            <w:pPr>
              <w:jc w:val="center"/>
              <w:rPr>
                <w:rFonts w:ascii="Times New Roman" w:eastAsia="仿宋" w:hAnsi="Times New Roman" w:cs="Times New Roman"/>
                <w:b/>
                <w:szCs w:val="21"/>
                <w:lang w:val="zh-CN"/>
              </w:rPr>
            </w:pPr>
            <w:r>
              <w:rPr>
                <w:rFonts w:ascii="Times New Roman" w:eastAsia="仿宋" w:hAnsi="Times New Roman" w:cs="Times New Roman"/>
                <w:b/>
                <w:szCs w:val="21"/>
                <w:lang w:val="zh-CN"/>
              </w:rPr>
              <w:t>class hour</w:t>
            </w:r>
          </w:p>
        </w:tc>
        <w:tc>
          <w:tcPr>
            <w:tcW w:w="1434" w:type="dxa"/>
            <w:vAlign w:val="center"/>
          </w:tcPr>
          <w:p w14:paraId="55F36116" w14:textId="77777777" w:rsidR="0037663C" w:rsidRDefault="00000000">
            <w:pPr>
              <w:jc w:val="center"/>
              <w:rPr>
                <w:rFonts w:ascii="Times New Roman" w:eastAsia="仿宋" w:hAnsi="Times New Roman" w:cs="Times New Roman"/>
                <w:b/>
                <w:szCs w:val="21"/>
                <w:lang w:val="zh-CN"/>
              </w:rPr>
            </w:pPr>
            <w:r>
              <w:rPr>
                <w:rFonts w:ascii="Times New Roman" w:eastAsia="仿宋" w:hAnsi="Times New Roman" w:cs="Times New Roman"/>
                <w:b/>
                <w:szCs w:val="21"/>
                <w:lang w:val="zh-CN"/>
              </w:rPr>
              <w:t xml:space="preserve">study requirement </w:t>
            </w:r>
          </w:p>
        </w:tc>
      </w:tr>
      <w:tr w:rsidR="0037663C" w14:paraId="3603CDFB" w14:textId="77777777">
        <w:trPr>
          <w:trHeight w:val="1530"/>
          <w:jc w:val="center"/>
        </w:trPr>
        <w:tc>
          <w:tcPr>
            <w:tcW w:w="1091" w:type="dxa"/>
            <w:vAlign w:val="center"/>
          </w:tcPr>
          <w:p w14:paraId="5F0B793F"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lang w:val="zh-CN"/>
              </w:rPr>
              <w:t xml:space="preserve">chapter </w:t>
            </w:r>
            <w:r>
              <w:rPr>
                <w:rFonts w:ascii="Times New Roman" w:eastAsia="仿宋" w:hAnsi="Times New Roman" w:cs="Times New Roman"/>
                <w:szCs w:val="21"/>
              </w:rPr>
              <w:t>1</w:t>
            </w:r>
          </w:p>
          <w:p w14:paraId="56375F0B"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t xml:space="preserve"> Low carbon trend</w:t>
            </w:r>
          </w:p>
        </w:tc>
        <w:tc>
          <w:tcPr>
            <w:tcW w:w="2737" w:type="dxa"/>
            <w:vAlign w:val="center"/>
          </w:tcPr>
          <w:p w14:paraId="25461E30" w14:textId="77777777" w:rsidR="0037663C" w:rsidRDefault="00000000">
            <w:pPr>
              <w:numPr>
                <w:ilvl w:val="0"/>
                <w:numId w:val="3"/>
              </w:numPr>
              <w:rPr>
                <w:rFonts w:ascii="Times New Roman" w:eastAsia="仿宋" w:hAnsi="Times New Roman" w:cs="Times New Roman"/>
                <w:szCs w:val="21"/>
              </w:rPr>
            </w:pPr>
            <w:r>
              <w:rPr>
                <w:rFonts w:ascii="Times New Roman" w:eastAsia="仿宋" w:hAnsi="Times New Roman" w:cs="Times New Roman"/>
                <w:szCs w:val="21"/>
              </w:rPr>
              <w:t xml:space="preserve">The connotation and concept definition of enterprise green management </w:t>
            </w:r>
          </w:p>
          <w:p w14:paraId="0E00CE37" w14:textId="77777777" w:rsidR="0037663C" w:rsidRDefault="00000000">
            <w:pPr>
              <w:numPr>
                <w:ilvl w:val="0"/>
                <w:numId w:val="3"/>
              </w:numPr>
              <w:rPr>
                <w:rFonts w:ascii="Times New Roman" w:eastAsia="仿宋" w:hAnsi="Times New Roman" w:cs="Times New Roman"/>
                <w:szCs w:val="21"/>
              </w:rPr>
            </w:pPr>
            <w:r>
              <w:rPr>
                <w:rFonts w:ascii="Times New Roman" w:eastAsia="仿宋" w:hAnsi="Times New Roman" w:cs="Times New Roman"/>
                <w:szCs w:val="21"/>
              </w:rPr>
              <w:t xml:space="preserve">The connection and difference between enterprise green management and traditional management </w:t>
            </w:r>
          </w:p>
          <w:p w14:paraId="4FF3BEFD" w14:textId="77777777" w:rsidR="0037663C" w:rsidRDefault="00000000">
            <w:pPr>
              <w:numPr>
                <w:ilvl w:val="0"/>
                <w:numId w:val="3"/>
              </w:numPr>
              <w:rPr>
                <w:rFonts w:ascii="Times New Roman" w:eastAsia="仿宋" w:hAnsi="Times New Roman" w:cs="Times New Roman"/>
                <w:szCs w:val="21"/>
              </w:rPr>
            </w:pPr>
            <w:r>
              <w:rPr>
                <w:rFonts w:ascii="Times New Roman" w:eastAsia="仿宋" w:hAnsi="Times New Roman" w:cs="Times New Roman"/>
                <w:szCs w:val="21"/>
              </w:rPr>
              <w:t xml:space="preserve">Practical background of enterprise green management </w:t>
            </w:r>
          </w:p>
          <w:p w14:paraId="54F2D3CA" w14:textId="77777777" w:rsidR="0037663C" w:rsidRDefault="00000000">
            <w:pPr>
              <w:numPr>
                <w:ilvl w:val="0"/>
                <w:numId w:val="3"/>
              </w:numPr>
              <w:rPr>
                <w:rFonts w:ascii="Times New Roman" w:eastAsia="仿宋" w:hAnsi="Times New Roman" w:cs="Times New Roman"/>
                <w:szCs w:val="21"/>
              </w:rPr>
            </w:pPr>
            <w:r>
              <w:rPr>
                <w:rFonts w:ascii="Times New Roman" w:eastAsia="仿宋" w:hAnsi="Times New Roman" w:cs="Times New Roman"/>
                <w:szCs w:val="21"/>
              </w:rPr>
              <w:t xml:space="preserve">Internal motivation of </w:t>
            </w:r>
            <w:r>
              <w:rPr>
                <w:rFonts w:ascii="Times New Roman" w:eastAsia="仿宋" w:hAnsi="Times New Roman" w:cs="Times New Roman"/>
                <w:szCs w:val="21"/>
              </w:rPr>
              <w:lastRenderedPageBreak/>
              <w:t xml:space="preserve">enterprises to implement green management </w:t>
            </w:r>
          </w:p>
          <w:p w14:paraId="02B3CB19" w14:textId="77777777" w:rsidR="0037663C" w:rsidRDefault="00000000">
            <w:pPr>
              <w:numPr>
                <w:ilvl w:val="0"/>
                <w:numId w:val="3"/>
              </w:numPr>
              <w:rPr>
                <w:rFonts w:ascii="Times New Roman" w:eastAsia="仿宋" w:hAnsi="Times New Roman" w:cs="Times New Roman"/>
                <w:szCs w:val="21"/>
              </w:rPr>
            </w:pPr>
            <w:r>
              <w:rPr>
                <w:rFonts w:ascii="Times New Roman" w:eastAsia="仿宋" w:hAnsi="Times New Roman" w:cs="Times New Roman"/>
                <w:szCs w:val="21"/>
              </w:rPr>
              <w:t xml:space="preserve">Enterprise green management strategy </w:t>
            </w:r>
          </w:p>
          <w:p w14:paraId="468321F9" w14:textId="77777777" w:rsidR="0037663C" w:rsidRDefault="00000000">
            <w:pPr>
              <w:numPr>
                <w:ilvl w:val="0"/>
                <w:numId w:val="3"/>
              </w:numPr>
              <w:rPr>
                <w:rFonts w:ascii="Times New Roman" w:eastAsia="仿宋" w:hAnsi="Times New Roman" w:cs="Times New Roman"/>
                <w:szCs w:val="21"/>
              </w:rPr>
            </w:pPr>
            <w:r>
              <w:rPr>
                <w:rFonts w:ascii="Times New Roman" w:eastAsia="仿宋" w:hAnsi="Times New Roman" w:cs="Times New Roman"/>
                <w:szCs w:val="21"/>
              </w:rPr>
              <w:t xml:space="preserve">Principles of enterprise green managements </w:t>
            </w:r>
          </w:p>
          <w:p w14:paraId="2FBB2786" w14:textId="77777777" w:rsidR="0037663C" w:rsidRDefault="00000000">
            <w:pPr>
              <w:numPr>
                <w:ilvl w:val="0"/>
                <w:numId w:val="3"/>
              </w:numPr>
              <w:rPr>
                <w:rFonts w:ascii="Times New Roman" w:eastAsia="仿宋" w:hAnsi="Times New Roman" w:cs="Times New Roman"/>
                <w:szCs w:val="21"/>
              </w:rPr>
            </w:pPr>
            <w:r>
              <w:rPr>
                <w:rFonts w:ascii="Times New Roman" w:eastAsia="仿宋" w:hAnsi="Times New Roman" w:cs="Times New Roman"/>
                <w:szCs w:val="21"/>
              </w:rPr>
              <w:t xml:space="preserve">Content of enterprise green management </w:t>
            </w:r>
          </w:p>
          <w:p w14:paraId="39E816E6" w14:textId="77777777" w:rsidR="0037663C" w:rsidRDefault="00000000">
            <w:pPr>
              <w:numPr>
                <w:ilvl w:val="0"/>
                <w:numId w:val="3"/>
              </w:numPr>
              <w:rPr>
                <w:rFonts w:ascii="Times New Roman" w:eastAsia="仿宋" w:hAnsi="Times New Roman" w:cs="Times New Roman"/>
                <w:szCs w:val="21"/>
              </w:rPr>
            </w:pPr>
            <w:r>
              <w:rPr>
                <w:rFonts w:ascii="Times New Roman" w:eastAsia="仿宋" w:hAnsi="Times New Roman" w:cs="Times New Roman"/>
                <w:szCs w:val="21"/>
              </w:rPr>
              <w:t xml:space="preserve">Assess the methods of enterprise green enterprise management </w:t>
            </w:r>
          </w:p>
          <w:p w14:paraId="17C33984" w14:textId="77777777" w:rsidR="0037663C" w:rsidRDefault="00000000">
            <w:pPr>
              <w:numPr>
                <w:ilvl w:val="0"/>
                <w:numId w:val="3"/>
              </w:numPr>
              <w:rPr>
                <w:rFonts w:ascii="Times New Roman" w:eastAsia="仿宋" w:hAnsi="Times New Roman" w:cs="Times New Roman"/>
                <w:szCs w:val="21"/>
              </w:rPr>
            </w:pPr>
            <w:r>
              <w:rPr>
                <w:rFonts w:ascii="Times New Roman" w:eastAsia="仿宋" w:hAnsi="Times New Roman" w:cs="Times New Roman"/>
                <w:szCs w:val="21"/>
              </w:rPr>
              <w:t xml:space="preserve">Knowledge expansion: an analysis of the motivation of enterprises in implementing green management based on game theory </w:t>
            </w:r>
          </w:p>
          <w:p w14:paraId="37824D21"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10. Understand the green development background</w:t>
            </w:r>
          </w:p>
        </w:tc>
        <w:tc>
          <w:tcPr>
            <w:tcW w:w="2748" w:type="dxa"/>
            <w:vAlign w:val="center"/>
          </w:tcPr>
          <w:p w14:paraId="1CD5AC1A" w14:textId="77777777" w:rsidR="0037663C" w:rsidRDefault="00000000">
            <w:pPr>
              <w:rPr>
                <w:rFonts w:ascii="Times New Roman" w:eastAsia="仿宋" w:hAnsi="Times New Roman" w:cs="Times New Roman"/>
                <w:szCs w:val="21"/>
              </w:rPr>
            </w:pPr>
            <w:r>
              <w:rPr>
                <w:rFonts w:ascii="Times New Roman" w:eastAsia="仿宋" w:hAnsi="Times New Roman" w:cs="Times New Roman"/>
                <w:color w:val="2A2A2A"/>
                <w:szCs w:val="21"/>
                <w:shd w:val="clear" w:color="auto" w:fill="FFFFFF"/>
              </w:rPr>
              <w:lastRenderedPageBreak/>
              <w:t xml:space="preserve">Grasp the concept of green management and the difference between green management and traditional management; understand the realistic background of green management; understand the internal motivation of green management, the principles of green management, the </w:t>
            </w:r>
            <w:r>
              <w:rPr>
                <w:rFonts w:ascii="Times New Roman" w:eastAsia="仿宋" w:hAnsi="Times New Roman" w:cs="Times New Roman"/>
                <w:color w:val="2A2A2A"/>
                <w:szCs w:val="21"/>
                <w:shd w:val="clear" w:color="auto" w:fill="FFFFFF"/>
              </w:rPr>
              <w:lastRenderedPageBreak/>
              <w:t>strategy of green management, and the evaluation methods of green management to have an overall understanding of green management.</w:t>
            </w:r>
          </w:p>
        </w:tc>
        <w:tc>
          <w:tcPr>
            <w:tcW w:w="664" w:type="dxa"/>
            <w:vAlign w:val="center"/>
          </w:tcPr>
          <w:p w14:paraId="4C38355D" w14:textId="4FA7D14E" w:rsidR="0037663C" w:rsidRDefault="00FE01E4">
            <w:pPr>
              <w:rPr>
                <w:rFonts w:ascii="Times New Roman" w:eastAsia="仿宋" w:hAnsi="Times New Roman" w:cs="Times New Roman"/>
                <w:szCs w:val="21"/>
              </w:rPr>
            </w:pPr>
            <w:r>
              <w:rPr>
                <w:rFonts w:ascii="Times New Roman" w:eastAsia="仿宋" w:hAnsi="Times New Roman" w:cs="Times New Roman" w:hint="eastAsia"/>
                <w:szCs w:val="21"/>
              </w:rPr>
              <w:lastRenderedPageBreak/>
              <w:t>1</w:t>
            </w:r>
          </w:p>
        </w:tc>
        <w:tc>
          <w:tcPr>
            <w:tcW w:w="1434" w:type="dxa"/>
            <w:vAlign w:val="center"/>
          </w:tcPr>
          <w:p w14:paraId="23641B69" w14:textId="77777777" w:rsidR="0037663C" w:rsidRPr="00904728" w:rsidRDefault="0000000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understand</w:t>
            </w:r>
          </w:p>
          <w:p w14:paraId="527C50D4" w14:textId="77777777" w:rsidR="0037663C" w:rsidRPr="00904728" w:rsidRDefault="0000000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apply</w:t>
            </w:r>
          </w:p>
          <w:p w14:paraId="0635AC03" w14:textId="77777777" w:rsidR="0037663C" w:rsidRPr="00904728" w:rsidRDefault="0000000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remember</w:t>
            </w:r>
          </w:p>
          <w:p w14:paraId="54149E25" w14:textId="77777777" w:rsidR="0037663C" w:rsidRPr="00904728" w:rsidRDefault="0000000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aggregate analysis</w:t>
            </w:r>
          </w:p>
        </w:tc>
      </w:tr>
      <w:tr w:rsidR="0037663C" w14:paraId="4FE48031" w14:textId="77777777">
        <w:trPr>
          <w:trHeight w:val="20"/>
          <w:jc w:val="center"/>
        </w:trPr>
        <w:tc>
          <w:tcPr>
            <w:tcW w:w="1091" w:type="dxa"/>
            <w:vAlign w:val="center"/>
          </w:tcPr>
          <w:p w14:paraId="4B01D62C"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chapter 2</w:t>
            </w:r>
          </w:p>
          <w:p w14:paraId="20823479"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Harmony between man and nature: green human resource management</w:t>
            </w:r>
          </w:p>
        </w:tc>
        <w:tc>
          <w:tcPr>
            <w:tcW w:w="2737" w:type="dxa"/>
            <w:vAlign w:val="center"/>
          </w:tcPr>
          <w:p w14:paraId="3E23BB4E" w14:textId="77777777" w:rsidR="0037663C" w:rsidRDefault="00000000">
            <w:pPr>
              <w:numPr>
                <w:ilvl w:val="0"/>
                <w:numId w:val="4"/>
              </w:numPr>
              <w:rPr>
                <w:rFonts w:ascii="Times New Roman" w:eastAsia="仿宋" w:hAnsi="Times New Roman" w:cs="Times New Roman"/>
                <w:szCs w:val="21"/>
              </w:rPr>
            </w:pPr>
            <w:r>
              <w:rPr>
                <w:rFonts w:ascii="Times New Roman" w:eastAsia="仿宋" w:hAnsi="Times New Roman" w:cs="Times New Roman"/>
                <w:szCs w:val="21"/>
              </w:rPr>
              <w:t xml:space="preserve">Background analysis of green human resource management </w:t>
            </w:r>
          </w:p>
          <w:p w14:paraId="7BD585C2" w14:textId="77777777" w:rsidR="0037663C" w:rsidRDefault="00000000">
            <w:pPr>
              <w:numPr>
                <w:ilvl w:val="0"/>
                <w:numId w:val="4"/>
              </w:numPr>
              <w:rPr>
                <w:rFonts w:ascii="Times New Roman" w:eastAsia="仿宋" w:hAnsi="Times New Roman" w:cs="Times New Roman"/>
                <w:szCs w:val="21"/>
              </w:rPr>
            </w:pPr>
            <w:r>
              <w:rPr>
                <w:rFonts w:ascii="Times New Roman" w:eastAsia="仿宋" w:hAnsi="Times New Roman" w:cs="Times New Roman"/>
                <w:szCs w:val="21"/>
              </w:rPr>
              <w:t>Human resource development and management are the foundation of sustainable development of enterprises</w:t>
            </w:r>
          </w:p>
          <w:p w14:paraId="49796F4B" w14:textId="77777777" w:rsidR="0037663C" w:rsidRDefault="00000000">
            <w:pPr>
              <w:numPr>
                <w:ilvl w:val="0"/>
                <w:numId w:val="4"/>
              </w:numPr>
              <w:rPr>
                <w:rFonts w:ascii="Times New Roman" w:eastAsia="仿宋" w:hAnsi="Times New Roman" w:cs="Times New Roman"/>
                <w:szCs w:val="21"/>
              </w:rPr>
            </w:pPr>
            <w:r>
              <w:rPr>
                <w:rFonts w:ascii="Times New Roman" w:eastAsia="仿宋" w:hAnsi="Times New Roman" w:cs="Times New Roman"/>
                <w:szCs w:val="21"/>
              </w:rPr>
              <w:t xml:space="preserve">Connotation of green human resource management </w:t>
            </w:r>
          </w:p>
          <w:p w14:paraId="52AF67FC" w14:textId="77777777" w:rsidR="0037663C" w:rsidRDefault="00000000">
            <w:pPr>
              <w:numPr>
                <w:ilvl w:val="0"/>
                <w:numId w:val="4"/>
              </w:numPr>
              <w:rPr>
                <w:rFonts w:ascii="Times New Roman" w:eastAsia="仿宋" w:hAnsi="Times New Roman" w:cs="Times New Roman"/>
                <w:szCs w:val="21"/>
              </w:rPr>
            </w:pPr>
            <w:r>
              <w:rPr>
                <w:rFonts w:ascii="Times New Roman" w:eastAsia="仿宋" w:hAnsi="Times New Roman" w:cs="Times New Roman"/>
                <w:szCs w:val="21"/>
              </w:rPr>
              <w:t xml:space="preserve">The focus point of implementing green human resource management </w:t>
            </w:r>
          </w:p>
          <w:p w14:paraId="2E352349" w14:textId="77777777" w:rsidR="0037663C" w:rsidRDefault="00000000">
            <w:pPr>
              <w:numPr>
                <w:ilvl w:val="0"/>
                <w:numId w:val="4"/>
              </w:numPr>
              <w:rPr>
                <w:rFonts w:ascii="Times New Roman" w:eastAsia="仿宋" w:hAnsi="Times New Roman" w:cs="Times New Roman"/>
                <w:szCs w:val="21"/>
              </w:rPr>
            </w:pPr>
            <w:r>
              <w:rPr>
                <w:rFonts w:ascii="Times New Roman" w:eastAsia="仿宋" w:hAnsi="Times New Roman" w:cs="Times New Roman"/>
                <w:szCs w:val="21"/>
              </w:rPr>
              <w:t xml:space="preserve">Implementation framework and path of green human resource management in China context </w:t>
            </w:r>
          </w:p>
          <w:p w14:paraId="47978135"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6. Expand knowledge points: an economic explanation of the causes of pollution</w:t>
            </w:r>
          </w:p>
        </w:tc>
        <w:tc>
          <w:tcPr>
            <w:tcW w:w="2748" w:type="dxa"/>
            <w:vAlign w:val="center"/>
          </w:tcPr>
          <w:p w14:paraId="1A44B85B" w14:textId="77777777" w:rsidR="0037663C" w:rsidRDefault="00000000">
            <w:pPr>
              <w:rPr>
                <w:rFonts w:ascii="Times New Roman" w:eastAsia="仿宋" w:hAnsi="Times New Roman" w:cs="Times New Roman"/>
                <w:szCs w:val="21"/>
              </w:rPr>
            </w:pPr>
            <w:r>
              <w:rPr>
                <w:rFonts w:ascii="Times New Roman" w:eastAsia="仿宋" w:hAnsi="Times New Roman" w:cs="Times New Roman"/>
                <w:color w:val="2A2A2A"/>
                <w:szCs w:val="21"/>
                <w:shd w:val="clear" w:color="auto" w:fill="FFFFFF"/>
              </w:rPr>
              <w:t>Understand the background of green human resource management, master the connotation of green human resource management, the focus of green human resource management, understand the relationship between sustainable development of enterprises and human resource management, and the implementation road map of green human resource management under the background of China.</w:t>
            </w:r>
          </w:p>
        </w:tc>
        <w:tc>
          <w:tcPr>
            <w:tcW w:w="664" w:type="dxa"/>
            <w:vAlign w:val="center"/>
          </w:tcPr>
          <w:p w14:paraId="59613653" w14:textId="7672CC0D" w:rsidR="0037663C" w:rsidRDefault="00FE01E4">
            <w:pPr>
              <w:rPr>
                <w:rFonts w:ascii="Times New Roman" w:eastAsia="仿宋" w:hAnsi="Times New Roman" w:cs="Times New Roman"/>
                <w:szCs w:val="21"/>
              </w:rPr>
            </w:pPr>
            <w:r>
              <w:rPr>
                <w:rFonts w:ascii="Times New Roman" w:eastAsia="仿宋" w:hAnsi="Times New Roman" w:cs="Times New Roman" w:hint="eastAsia"/>
                <w:szCs w:val="21"/>
              </w:rPr>
              <w:t>2</w:t>
            </w:r>
          </w:p>
        </w:tc>
        <w:tc>
          <w:tcPr>
            <w:tcW w:w="1434" w:type="dxa"/>
            <w:vAlign w:val="center"/>
          </w:tcPr>
          <w:p w14:paraId="016E01FF"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understand</w:t>
            </w:r>
          </w:p>
          <w:p w14:paraId="744F4011"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apply</w:t>
            </w:r>
          </w:p>
          <w:p w14:paraId="1F59C15E" w14:textId="77777777" w:rsidR="0037663C" w:rsidRDefault="0037663C">
            <w:pPr>
              <w:rPr>
                <w:rFonts w:ascii="Times New Roman" w:eastAsia="仿宋" w:hAnsi="Times New Roman" w:cs="Times New Roman"/>
                <w:szCs w:val="21"/>
                <w:lang w:val="zh-CN"/>
              </w:rPr>
            </w:pPr>
          </w:p>
          <w:p w14:paraId="515BF576" w14:textId="77777777" w:rsidR="0037663C" w:rsidRDefault="0037663C">
            <w:pPr>
              <w:rPr>
                <w:rFonts w:ascii="Times New Roman" w:eastAsia="仿宋" w:hAnsi="Times New Roman" w:cs="Times New Roman"/>
                <w:szCs w:val="21"/>
                <w:lang w:val="zh-CN"/>
              </w:rPr>
            </w:pPr>
          </w:p>
        </w:tc>
      </w:tr>
      <w:tr w:rsidR="0037663C" w14:paraId="314DAD1A" w14:textId="77777777">
        <w:trPr>
          <w:trHeight w:val="20"/>
          <w:jc w:val="center"/>
        </w:trPr>
        <w:tc>
          <w:tcPr>
            <w:tcW w:w="1091" w:type="dxa"/>
            <w:vAlign w:val="center"/>
          </w:tcPr>
          <w:p w14:paraId="0C16A6DB"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chapter 3</w:t>
            </w:r>
          </w:p>
          <w:p w14:paraId="5C0BC4DF"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Sustainable developm</w:t>
            </w:r>
            <w:r>
              <w:rPr>
                <w:rFonts w:ascii="Times New Roman" w:eastAsia="仿宋" w:hAnsi="Times New Roman" w:cs="Times New Roman"/>
                <w:szCs w:val="21"/>
              </w:rPr>
              <w:lastRenderedPageBreak/>
              <w:t>ent: Green accounting</w:t>
            </w:r>
          </w:p>
        </w:tc>
        <w:tc>
          <w:tcPr>
            <w:tcW w:w="2737" w:type="dxa"/>
            <w:vAlign w:val="center"/>
          </w:tcPr>
          <w:p w14:paraId="4A8C8A62" w14:textId="77777777" w:rsidR="0037663C" w:rsidRDefault="00000000">
            <w:pPr>
              <w:numPr>
                <w:ilvl w:val="0"/>
                <w:numId w:val="5"/>
              </w:numPr>
              <w:rPr>
                <w:rFonts w:ascii="Times New Roman" w:eastAsia="仿宋" w:hAnsi="Times New Roman" w:cs="Times New Roman"/>
                <w:szCs w:val="21"/>
              </w:rPr>
            </w:pPr>
            <w:r>
              <w:rPr>
                <w:rFonts w:ascii="Times New Roman" w:eastAsia="仿宋" w:hAnsi="Times New Roman" w:cs="Times New Roman"/>
                <w:szCs w:val="21"/>
              </w:rPr>
              <w:lastRenderedPageBreak/>
              <w:t xml:space="preserve">The generation and development of green accounting at home and abroad </w:t>
            </w:r>
          </w:p>
          <w:p w14:paraId="0CA5B69C" w14:textId="77777777" w:rsidR="0037663C" w:rsidRDefault="00000000">
            <w:pPr>
              <w:numPr>
                <w:ilvl w:val="0"/>
                <w:numId w:val="5"/>
              </w:numPr>
              <w:rPr>
                <w:rFonts w:ascii="Times New Roman" w:eastAsia="仿宋" w:hAnsi="Times New Roman" w:cs="Times New Roman"/>
                <w:szCs w:val="21"/>
              </w:rPr>
            </w:pPr>
            <w:r>
              <w:rPr>
                <w:rFonts w:ascii="Times New Roman" w:eastAsia="仿宋" w:hAnsi="Times New Roman" w:cs="Times New Roman"/>
                <w:szCs w:val="21"/>
              </w:rPr>
              <w:lastRenderedPageBreak/>
              <w:t xml:space="preserve">The significance of implementing green accounting </w:t>
            </w:r>
          </w:p>
          <w:p w14:paraId="4C5B2C74" w14:textId="77777777" w:rsidR="0037663C" w:rsidRDefault="00000000">
            <w:pPr>
              <w:numPr>
                <w:ilvl w:val="0"/>
                <w:numId w:val="5"/>
              </w:numPr>
              <w:rPr>
                <w:rFonts w:ascii="Times New Roman" w:eastAsia="仿宋" w:hAnsi="Times New Roman" w:cs="Times New Roman"/>
                <w:szCs w:val="21"/>
              </w:rPr>
            </w:pPr>
            <w:r>
              <w:rPr>
                <w:rFonts w:ascii="Times New Roman" w:eastAsia="仿宋" w:hAnsi="Times New Roman" w:cs="Times New Roman"/>
                <w:szCs w:val="21"/>
              </w:rPr>
              <w:t xml:space="preserve">The concept of green accounting </w:t>
            </w:r>
          </w:p>
          <w:p w14:paraId="60C5374E" w14:textId="77777777" w:rsidR="0037663C" w:rsidRDefault="00000000">
            <w:pPr>
              <w:numPr>
                <w:ilvl w:val="0"/>
                <w:numId w:val="5"/>
              </w:numPr>
              <w:rPr>
                <w:rFonts w:ascii="Times New Roman" w:eastAsia="仿宋" w:hAnsi="Times New Roman" w:cs="Times New Roman"/>
                <w:szCs w:val="21"/>
              </w:rPr>
            </w:pPr>
            <w:r>
              <w:rPr>
                <w:rFonts w:ascii="Times New Roman" w:eastAsia="仿宋" w:hAnsi="Times New Roman" w:cs="Times New Roman"/>
                <w:szCs w:val="21"/>
              </w:rPr>
              <w:t xml:space="preserve">The difference between green accounting and traditional accounting </w:t>
            </w:r>
          </w:p>
          <w:p w14:paraId="08E78B06" w14:textId="77777777" w:rsidR="0037663C" w:rsidRPr="00904728" w:rsidRDefault="00000000">
            <w:pPr>
              <w:numPr>
                <w:ilvl w:val="0"/>
                <w:numId w:val="5"/>
              </w:numPr>
              <w:rPr>
                <w:rFonts w:ascii="Times New Roman" w:eastAsia="仿宋" w:hAnsi="Times New Roman" w:cs="Times New Roman"/>
                <w:szCs w:val="21"/>
              </w:rPr>
            </w:pPr>
            <w:r>
              <w:rPr>
                <w:rFonts w:ascii="Times New Roman" w:eastAsia="仿宋" w:hAnsi="Times New Roman" w:cs="Times New Roman"/>
                <w:szCs w:val="21"/>
              </w:rPr>
              <w:t xml:space="preserve"> Construct the accounting system of green accounting</w:t>
            </w:r>
          </w:p>
        </w:tc>
        <w:tc>
          <w:tcPr>
            <w:tcW w:w="2748" w:type="dxa"/>
            <w:vAlign w:val="center"/>
          </w:tcPr>
          <w:p w14:paraId="35CD16EF" w14:textId="77777777" w:rsidR="0037663C" w:rsidRDefault="00000000">
            <w:pPr>
              <w:rPr>
                <w:rFonts w:ascii="Times New Roman" w:eastAsia="仿宋" w:hAnsi="Times New Roman" w:cs="Times New Roman"/>
                <w:szCs w:val="21"/>
              </w:rPr>
            </w:pPr>
            <w:r>
              <w:rPr>
                <w:rFonts w:ascii="Times New Roman" w:eastAsia="仿宋" w:hAnsi="Times New Roman" w:cs="Times New Roman"/>
                <w:color w:val="2A2A2A"/>
                <w:szCs w:val="21"/>
                <w:shd w:val="clear" w:color="auto" w:fill="FFFFFF"/>
              </w:rPr>
              <w:lastRenderedPageBreak/>
              <w:t xml:space="preserve">Understand the emergence and development status of green accounting; master the theoretical framework of </w:t>
            </w:r>
            <w:r>
              <w:rPr>
                <w:rFonts w:ascii="Times New Roman" w:eastAsia="仿宋" w:hAnsi="Times New Roman" w:cs="Times New Roman"/>
                <w:color w:val="2A2A2A"/>
                <w:szCs w:val="21"/>
                <w:shd w:val="clear" w:color="auto" w:fill="FFFFFF"/>
              </w:rPr>
              <w:lastRenderedPageBreak/>
              <w:t>green accounting; master the measures of the content, information disclosure, construction and implementation of green accounting, in order to have a clear understanding of the basic theories and methods of green accounting.</w:t>
            </w:r>
          </w:p>
        </w:tc>
        <w:tc>
          <w:tcPr>
            <w:tcW w:w="664" w:type="dxa"/>
            <w:vAlign w:val="center"/>
          </w:tcPr>
          <w:p w14:paraId="17F599AE" w14:textId="1B6DF5AD" w:rsidR="0037663C" w:rsidRDefault="00FE01E4">
            <w:pPr>
              <w:rPr>
                <w:rFonts w:ascii="Times New Roman" w:eastAsia="仿宋" w:hAnsi="Times New Roman" w:cs="Times New Roman"/>
                <w:szCs w:val="21"/>
              </w:rPr>
            </w:pPr>
            <w:r>
              <w:rPr>
                <w:rFonts w:ascii="Times New Roman" w:eastAsia="仿宋" w:hAnsi="Times New Roman" w:cs="Times New Roman" w:hint="eastAsia"/>
                <w:szCs w:val="21"/>
              </w:rPr>
              <w:lastRenderedPageBreak/>
              <w:t>2</w:t>
            </w:r>
          </w:p>
        </w:tc>
        <w:tc>
          <w:tcPr>
            <w:tcW w:w="1434" w:type="dxa"/>
            <w:vAlign w:val="center"/>
          </w:tcPr>
          <w:p w14:paraId="44156D4B"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understand</w:t>
            </w:r>
          </w:p>
          <w:p w14:paraId="050EC239" w14:textId="77777777" w:rsidR="0037663C" w:rsidRDefault="0037663C">
            <w:pPr>
              <w:rPr>
                <w:rFonts w:ascii="Times New Roman" w:eastAsia="仿宋" w:hAnsi="Times New Roman" w:cs="Times New Roman"/>
                <w:szCs w:val="21"/>
                <w:lang w:val="zh-CN"/>
              </w:rPr>
            </w:pPr>
          </w:p>
          <w:p w14:paraId="223DAE5F"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aggregate analysis</w:t>
            </w:r>
          </w:p>
          <w:p w14:paraId="335725B0" w14:textId="77777777" w:rsidR="0037663C" w:rsidRDefault="0037663C">
            <w:pPr>
              <w:rPr>
                <w:rFonts w:ascii="Times New Roman" w:eastAsia="仿宋" w:hAnsi="Times New Roman" w:cs="Times New Roman"/>
                <w:szCs w:val="21"/>
                <w:lang w:val="zh-CN"/>
              </w:rPr>
            </w:pPr>
          </w:p>
        </w:tc>
      </w:tr>
      <w:tr w:rsidR="0037663C" w14:paraId="1A3CACF3" w14:textId="77777777">
        <w:trPr>
          <w:trHeight w:val="7202"/>
          <w:jc w:val="center"/>
        </w:trPr>
        <w:tc>
          <w:tcPr>
            <w:tcW w:w="1091" w:type="dxa"/>
            <w:vAlign w:val="center"/>
          </w:tcPr>
          <w:p w14:paraId="0BF681F6"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lastRenderedPageBreak/>
              <w:t>chapter 4</w:t>
            </w:r>
          </w:p>
          <w:p w14:paraId="0AE460BC"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Energy saving and emission reduction: green supply chain management</w:t>
            </w:r>
          </w:p>
        </w:tc>
        <w:tc>
          <w:tcPr>
            <w:tcW w:w="2737" w:type="dxa"/>
            <w:vAlign w:val="center"/>
          </w:tcPr>
          <w:p w14:paraId="765FBFC5" w14:textId="77777777" w:rsidR="0037663C" w:rsidRDefault="00000000">
            <w:pPr>
              <w:numPr>
                <w:ilvl w:val="0"/>
                <w:numId w:val="6"/>
              </w:numPr>
              <w:rPr>
                <w:rFonts w:ascii="Times New Roman" w:eastAsia="仿宋" w:hAnsi="Times New Roman" w:cs="Times New Roman"/>
                <w:szCs w:val="21"/>
              </w:rPr>
            </w:pPr>
            <w:r>
              <w:rPr>
                <w:rFonts w:ascii="Times New Roman" w:eastAsia="仿宋" w:hAnsi="Times New Roman" w:cs="Times New Roman"/>
                <w:szCs w:val="21"/>
              </w:rPr>
              <w:t xml:space="preserve">Background of green supply chain management </w:t>
            </w:r>
          </w:p>
          <w:p w14:paraId="524CE09A" w14:textId="77777777" w:rsidR="0037663C" w:rsidRDefault="00000000">
            <w:pPr>
              <w:numPr>
                <w:ilvl w:val="0"/>
                <w:numId w:val="6"/>
              </w:numPr>
              <w:rPr>
                <w:rFonts w:ascii="Times New Roman" w:eastAsia="仿宋" w:hAnsi="Times New Roman" w:cs="Times New Roman"/>
                <w:szCs w:val="21"/>
              </w:rPr>
            </w:pPr>
            <w:r>
              <w:rPr>
                <w:rFonts w:ascii="Times New Roman" w:eastAsia="仿宋" w:hAnsi="Times New Roman" w:cs="Times New Roman"/>
                <w:szCs w:val="21"/>
              </w:rPr>
              <w:t xml:space="preserve">Root causes of green supply chain management </w:t>
            </w:r>
          </w:p>
          <w:p w14:paraId="6A514D7B" w14:textId="77777777" w:rsidR="0037663C" w:rsidRDefault="00000000">
            <w:pPr>
              <w:numPr>
                <w:ilvl w:val="0"/>
                <w:numId w:val="6"/>
              </w:numPr>
              <w:rPr>
                <w:rFonts w:ascii="Times New Roman" w:eastAsia="仿宋" w:hAnsi="Times New Roman" w:cs="Times New Roman"/>
                <w:szCs w:val="21"/>
              </w:rPr>
            </w:pPr>
            <w:r>
              <w:rPr>
                <w:rFonts w:ascii="Times New Roman" w:eastAsia="仿宋" w:hAnsi="Times New Roman" w:cs="Times New Roman"/>
                <w:szCs w:val="21"/>
              </w:rPr>
              <w:t xml:space="preserve">Traditional supply chain management and its impact on the environment </w:t>
            </w:r>
          </w:p>
          <w:p w14:paraId="4C166A35" w14:textId="77777777" w:rsidR="0037663C" w:rsidRDefault="00000000">
            <w:pPr>
              <w:numPr>
                <w:ilvl w:val="0"/>
                <w:numId w:val="6"/>
              </w:numPr>
              <w:rPr>
                <w:rFonts w:ascii="Times New Roman" w:eastAsia="仿宋" w:hAnsi="Times New Roman" w:cs="Times New Roman"/>
                <w:szCs w:val="21"/>
              </w:rPr>
            </w:pPr>
            <w:r>
              <w:rPr>
                <w:rFonts w:ascii="Times New Roman" w:eastAsia="仿宋" w:hAnsi="Times New Roman" w:cs="Times New Roman"/>
                <w:szCs w:val="21"/>
              </w:rPr>
              <w:t xml:space="preserve">Connotation and concept of green supply chain management </w:t>
            </w:r>
          </w:p>
          <w:p w14:paraId="12F55D21" w14:textId="77777777" w:rsidR="0037663C" w:rsidRDefault="00000000">
            <w:pPr>
              <w:numPr>
                <w:ilvl w:val="0"/>
                <w:numId w:val="6"/>
              </w:numPr>
              <w:rPr>
                <w:rFonts w:ascii="Times New Roman" w:eastAsia="仿宋" w:hAnsi="Times New Roman" w:cs="Times New Roman"/>
                <w:szCs w:val="21"/>
              </w:rPr>
            </w:pPr>
            <w:r>
              <w:rPr>
                <w:rFonts w:ascii="Times New Roman" w:eastAsia="仿宋" w:hAnsi="Times New Roman" w:cs="Times New Roman"/>
                <w:szCs w:val="21"/>
              </w:rPr>
              <w:t>The difference between green supply chain management and traditional supply chain management</w:t>
            </w:r>
          </w:p>
          <w:p w14:paraId="6A0287B6" w14:textId="77777777" w:rsidR="0037663C" w:rsidRPr="00904728" w:rsidRDefault="00000000">
            <w:pPr>
              <w:rPr>
                <w:rFonts w:ascii="Times New Roman" w:eastAsia="仿宋" w:hAnsi="Times New Roman" w:cs="Times New Roman"/>
                <w:szCs w:val="21"/>
              </w:rPr>
            </w:pPr>
            <w:r>
              <w:rPr>
                <w:rFonts w:ascii="Times New Roman" w:eastAsia="仿宋" w:hAnsi="Times New Roman" w:cs="Times New Roman"/>
                <w:szCs w:val="21"/>
              </w:rPr>
              <w:t xml:space="preserve"> 6. Causes and challenges of green supply chain management</w:t>
            </w:r>
          </w:p>
        </w:tc>
        <w:tc>
          <w:tcPr>
            <w:tcW w:w="2748" w:type="dxa"/>
            <w:vAlign w:val="center"/>
          </w:tcPr>
          <w:p w14:paraId="7E1D5151" w14:textId="77777777" w:rsidR="0037663C" w:rsidRDefault="00000000">
            <w:pPr>
              <w:rPr>
                <w:rFonts w:ascii="Times New Roman" w:eastAsia="仿宋" w:hAnsi="Times New Roman" w:cs="Times New Roman"/>
                <w:szCs w:val="21"/>
              </w:rPr>
            </w:pPr>
            <w:r>
              <w:rPr>
                <w:rFonts w:ascii="Times New Roman" w:eastAsia="仿宋" w:hAnsi="Times New Roman" w:cs="Times New Roman"/>
                <w:color w:val="2A2A2A"/>
                <w:szCs w:val="21"/>
                <w:shd w:val="clear" w:color="auto" w:fill="FFFFFF"/>
              </w:rPr>
              <w:t>Understand the realistic background of green supply chain management; understand the connotation and basic ideas of green supply chain management; master the influencing factors of green supply chain management operation and the key contents of green supply chain management, so that students can have a basic, complete and clear understanding of the basic ideas and system structure of green supply chain management.</w:t>
            </w:r>
          </w:p>
        </w:tc>
        <w:tc>
          <w:tcPr>
            <w:tcW w:w="664" w:type="dxa"/>
            <w:vAlign w:val="center"/>
          </w:tcPr>
          <w:p w14:paraId="45C58876" w14:textId="3FDA45F3" w:rsidR="0037663C" w:rsidRDefault="003F0613">
            <w:pPr>
              <w:rPr>
                <w:rFonts w:ascii="Times New Roman" w:eastAsia="仿宋" w:hAnsi="Times New Roman" w:cs="Times New Roman"/>
                <w:szCs w:val="21"/>
              </w:rPr>
            </w:pPr>
            <w:r>
              <w:rPr>
                <w:rFonts w:ascii="Times New Roman" w:eastAsia="仿宋" w:hAnsi="Times New Roman" w:cs="Times New Roman" w:hint="eastAsia"/>
                <w:szCs w:val="21"/>
              </w:rPr>
              <w:t>2</w:t>
            </w:r>
          </w:p>
        </w:tc>
        <w:tc>
          <w:tcPr>
            <w:tcW w:w="1434" w:type="dxa"/>
            <w:vAlign w:val="center"/>
          </w:tcPr>
          <w:p w14:paraId="4610F068"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understand</w:t>
            </w:r>
          </w:p>
          <w:p w14:paraId="12E3A1F2"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apply</w:t>
            </w:r>
          </w:p>
          <w:p w14:paraId="41C8846D" w14:textId="77777777" w:rsidR="0037663C" w:rsidRDefault="0037663C">
            <w:pPr>
              <w:rPr>
                <w:rFonts w:ascii="Times New Roman" w:eastAsia="仿宋" w:hAnsi="Times New Roman" w:cs="Times New Roman"/>
                <w:szCs w:val="21"/>
                <w:lang w:val="zh-CN"/>
              </w:rPr>
            </w:pPr>
          </w:p>
          <w:p w14:paraId="448D1653"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aggregate analysis</w:t>
            </w:r>
          </w:p>
          <w:p w14:paraId="739E47FD" w14:textId="77777777" w:rsidR="0037663C" w:rsidRDefault="0037663C">
            <w:pPr>
              <w:rPr>
                <w:rFonts w:ascii="Times New Roman" w:eastAsia="仿宋" w:hAnsi="Times New Roman" w:cs="Times New Roman"/>
                <w:szCs w:val="21"/>
                <w:lang w:val="zh-CN"/>
              </w:rPr>
            </w:pPr>
          </w:p>
        </w:tc>
      </w:tr>
      <w:tr w:rsidR="0037663C" w14:paraId="2FB8D90D" w14:textId="77777777">
        <w:trPr>
          <w:trHeight w:val="20"/>
          <w:jc w:val="center"/>
        </w:trPr>
        <w:tc>
          <w:tcPr>
            <w:tcW w:w="1091" w:type="dxa"/>
            <w:vAlign w:val="center"/>
          </w:tcPr>
          <w:p w14:paraId="24C39975"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Chapter 5 Balance of resources and the environment: green manufacturing</w:t>
            </w:r>
          </w:p>
        </w:tc>
        <w:tc>
          <w:tcPr>
            <w:tcW w:w="2737" w:type="dxa"/>
            <w:vAlign w:val="center"/>
          </w:tcPr>
          <w:p w14:paraId="7EE2D34D" w14:textId="77777777" w:rsidR="0037663C" w:rsidRDefault="00000000">
            <w:pPr>
              <w:numPr>
                <w:ilvl w:val="0"/>
                <w:numId w:val="7"/>
              </w:numPr>
              <w:rPr>
                <w:rFonts w:ascii="Times New Roman" w:eastAsia="仿宋" w:hAnsi="Times New Roman" w:cs="Times New Roman"/>
                <w:szCs w:val="21"/>
                <w:lang w:val="zh-CN"/>
              </w:rPr>
            </w:pPr>
            <w:r>
              <w:rPr>
                <w:rFonts w:ascii="Times New Roman" w:eastAsia="仿宋" w:hAnsi="Times New Roman" w:cs="Times New Roman"/>
                <w:szCs w:val="21"/>
                <w:lang w:val="zh-CN"/>
              </w:rPr>
              <w:t xml:space="preserve">Definition of green manufacturing </w:t>
            </w:r>
          </w:p>
          <w:p w14:paraId="5ED11AD8" w14:textId="77777777" w:rsidR="0037663C" w:rsidRDefault="00000000">
            <w:pPr>
              <w:numPr>
                <w:ilvl w:val="0"/>
                <w:numId w:val="7"/>
              </w:numPr>
              <w:rPr>
                <w:rFonts w:ascii="Times New Roman" w:eastAsia="仿宋" w:hAnsi="Times New Roman" w:cs="Times New Roman"/>
                <w:szCs w:val="21"/>
                <w:lang w:val="zh-CN"/>
              </w:rPr>
            </w:pPr>
            <w:r>
              <w:rPr>
                <w:rFonts w:ascii="Times New Roman" w:eastAsia="仿宋" w:hAnsi="Times New Roman" w:cs="Times New Roman"/>
                <w:szCs w:val="21"/>
                <w:lang w:val="zh-CN"/>
              </w:rPr>
              <w:t xml:space="preserve">Characteristics of green manufacturing </w:t>
            </w:r>
          </w:p>
          <w:p w14:paraId="16FFC3A3" w14:textId="77777777" w:rsidR="0037663C" w:rsidRPr="00904728" w:rsidRDefault="00000000">
            <w:pPr>
              <w:numPr>
                <w:ilvl w:val="0"/>
                <w:numId w:val="7"/>
              </w:numPr>
              <w:rPr>
                <w:rFonts w:ascii="Times New Roman" w:eastAsia="仿宋" w:hAnsi="Times New Roman" w:cs="Times New Roman"/>
                <w:szCs w:val="21"/>
              </w:rPr>
            </w:pPr>
            <w:r w:rsidRPr="00904728">
              <w:rPr>
                <w:rFonts w:ascii="Times New Roman" w:eastAsia="仿宋" w:hAnsi="Times New Roman" w:cs="Times New Roman"/>
                <w:szCs w:val="21"/>
              </w:rPr>
              <w:t xml:space="preserve">Differences between green manufacturing and related concepts, and comparison of green manufacturing and related concepts </w:t>
            </w:r>
          </w:p>
          <w:p w14:paraId="6D00FEA8" w14:textId="77777777" w:rsidR="0037663C" w:rsidRPr="00904728" w:rsidRDefault="00000000">
            <w:pPr>
              <w:numPr>
                <w:ilvl w:val="0"/>
                <w:numId w:val="7"/>
              </w:numPr>
              <w:rPr>
                <w:rFonts w:ascii="Times New Roman" w:eastAsia="仿宋" w:hAnsi="Times New Roman" w:cs="Times New Roman"/>
                <w:szCs w:val="21"/>
              </w:rPr>
            </w:pPr>
            <w:r w:rsidRPr="00904728">
              <w:rPr>
                <w:rFonts w:ascii="Times New Roman" w:eastAsia="仿宋" w:hAnsi="Times New Roman" w:cs="Times New Roman"/>
                <w:szCs w:val="21"/>
              </w:rPr>
              <w:lastRenderedPageBreak/>
              <w:t xml:space="preserve">Green manufacturing is driven and required by enterprise efficiency </w:t>
            </w:r>
          </w:p>
          <w:p w14:paraId="5A3666F2" w14:textId="77777777" w:rsidR="0037663C" w:rsidRPr="00904728" w:rsidRDefault="00000000">
            <w:pPr>
              <w:rPr>
                <w:rFonts w:ascii="Times New Roman" w:eastAsia="仿宋" w:hAnsi="Times New Roman" w:cs="Times New Roman"/>
                <w:szCs w:val="21"/>
              </w:rPr>
            </w:pPr>
            <w:r w:rsidRPr="00904728">
              <w:rPr>
                <w:rFonts w:ascii="Times New Roman" w:eastAsia="仿宋" w:hAnsi="Times New Roman" w:cs="Times New Roman"/>
                <w:szCs w:val="21"/>
              </w:rPr>
              <w:t>5. Green manufacturing is driven and required by enterprise social value</w:t>
            </w:r>
          </w:p>
        </w:tc>
        <w:tc>
          <w:tcPr>
            <w:tcW w:w="2748" w:type="dxa"/>
            <w:vAlign w:val="center"/>
          </w:tcPr>
          <w:p w14:paraId="74182BC0" w14:textId="77777777" w:rsidR="0037663C" w:rsidRDefault="00000000">
            <w:pPr>
              <w:rPr>
                <w:rFonts w:ascii="Times New Roman" w:eastAsia="仿宋" w:hAnsi="Times New Roman" w:cs="Times New Roman"/>
                <w:szCs w:val="21"/>
              </w:rPr>
            </w:pPr>
            <w:r>
              <w:rPr>
                <w:rFonts w:ascii="Times New Roman" w:eastAsia="仿宋" w:hAnsi="Times New Roman" w:cs="Times New Roman"/>
                <w:color w:val="2A2A2A"/>
                <w:szCs w:val="21"/>
                <w:shd w:val="clear" w:color="auto" w:fill="FFFFFF"/>
              </w:rPr>
              <w:lastRenderedPageBreak/>
              <w:t xml:space="preserve">To correctly understand the realistic background of green manufacturing; master the concept of green manufacturing and the difference green from traditional manufacturing; master the influencing factors of green manufacturing and </w:t>
            </w:r>
            <w:r>
              <w:rPr>
                <w:rFonts w:ascii="Times New Roman" w:eastAsia="仿宋" w:hAnsi="Times New Roman" w:cs="Times New Roman"/>
                <w:color w:val="2A2A2A"/>
                <w:szCs w:val="21"/>
                <w:shd w:val="clear" w:color="auto" w:fill="FFFFFF"/>
              </w:rPr>
              <w:lastRenderedPageBreak/>
              <w:t>the key contents of green manufacturing, in order to have a clear understanding of the basic theories and methods of green manufacturing.</w:t>
            </w:r>
          </w:p>
        </w:tc>
        <w:tc>
          <w:tcPr>
            <w:tcW w:w="664" w:type="dxa"/>
            <w:vAlign w:val="center"/>
          </w:tcPr>
          <w:p w14:paraId="5E535CC9" w14:textId="77777777" w:rsidR="0037663C" w:rsidRDefault="0037663C">
            <w:pPr>
              <w:rPr>
                <w:rFonts w:ascii="Times New Roman" w:eastAsia="仿宋" w:hAnsi="Times New Roman" w:cs="Times New Roman"/>
                <w:szCs w:val="21"/>
              </w:rPr>
            </w:pPr>
          </w:p>
          <w:p w14:paraId="3F1B648F" w14:textId="09E9CCE6" w:rsidR="0037663C" w:rsidRDefault="00FE01E4">
            <w:pPr>
              <w:rPr>
                <w:rFonts w:ascii="Times New Roman" w:eastAsia="仿宋" w:hAnsi="Times New Roman" w:cs="Times New Roman"/>
                <w:szCs w:val="21"/>
              </w:rPr>
            </w:pPr>
            <w:r>
              <w:rPr>
                <w:rFonts w:ascii="Times New Roman" w:eastAsia="仿宋" w:hAnsi="Times New Roman" w:cs="Times New Roman" w:hint="eastAsia"/>
                <w:szCs w:val="21"/>
              </w:rPr>
              <w:t>2</w:t>
            </w:r>
          </w:p>
        </w:tc>
        <w:tc>
          <w:tcPr>
            <w:tcW w:w="1434" w:type="dxa"/>
            <w:vAlign w:val="center"/>
          </w:tcPr>
          <w:p w14:paraId="18ED9E1D"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understand</w:t>
            </w:r>
          </w:p>
          <w:p w14:paraId="6ED7820B" w14:textId="77777777" w:rsidR="0037663C" w:rsidRDefault="0037663C">
            <w:pPr>
              <w:rPr>
                <w:rFonts w:ascii="Times New Roman" w:eastAsia="仿宋" w:hAnsi="Times New Roman" w:cs="Times New Roman"/>
                <w:szCs w:val="21"/>
                <w:lang w:val="zh-CN"/>
              </w:rPr>
            </w:pPr>
          </w:p>
          <w:p w14:paraId="5CA4D316"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aggregate analysis</w:t>
            </w:r>
          </w:p>
          <w:p w14:paraId="3A42CCD5" w14:textId="77777777" w:rsidR="0037663C" w:rsidRDefault="0037663C">
            <w:pPr>
              <w:rPr>
                <w:rFonts w:ascii="Times New Roman" w:eastAsia="仿宋" w:hAnsi="Times New Roman" w:cs="Times New Roman"/>
                <w:szCs w:val="21"/>
                <w:lang w:val="zh-CN"/>
              </w:rPr>
            </w:pPr>
          </w:p>
        </w:tc>
      </w:tr>
      <w:tr w:rsidR="0037663C" w14:paraId="51F81DD5" w14:textId="77777777">
        <w:trPr>
          <w:trHeight w:val="20"/>
          <w:jc w:val="center"/>
        </w:trPr>
        <w:tc>
          <w:tcPr>
            <w:tcW w:w="1091" w:type="dxa"/>
            <w:vAlign w:val="center"/>
          </w:tcPr>
          <w:p w14:paraId="616BA11C"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chapter 6 Environmental protection and ecology: green marketing</w:t>
            </w:r>
          </w:p>
        </w:tc>
        <w:tc>
          <w:tcPr>
            <w:tcW w:w="2737" w:type="dxa"/>
            <w:vAlign w:val="center"/>
          </w:tcPr>
          <w:p w14:paraId="7910A3C2" w14:textId="77777777" w:rsidR="0037663C" w:rsidRPr="00904728" w:rsidRDefault="00000000">
            <w:pPr>
              <w:numPr>
                <w:ilvl w:val="0"/>
                <w:numId w:val="8"/>
              </w:numPr>
              <w:rPr>
                <w:rFonts w:ascii="Times New Roman" w:eastAsia="仿宋" w:hAnsi="Times New Roman" w:cs="Times New Roman"/>
                <w:szCs w:val="21"/>
              </w:rPr>
            </w:pPr>
            <w:r w:rsidRPr="00904728">
              <w:rPr>
                <w:rFonts w:ascii="Times New Roman" w:eastAsia="仿宋" w:hAnsi="Times New Roman" w:cs="Times New Roman"/>
                <w:szCs w:val="21"/>
              </w:rPr>
              <w:t xml:space="preserve">Definition and connotation of green marketing </w:t>
            </w:r>
          </w:p>
          <w:p w14:paraId="0E673B99" w14:textId="77777777" w:rsidR="0037663C" w:rsidRPr="00904728" w:rsidRDefault="00000000">
            <w:pPr>
              <w:numPr>
                <w:ilvl w:val="0"/>
                <w:numId w:val="8"/>
              </w:numPr>
              <w:rPr>
                <w:rFonts w:ascii="Times New Roman" w:eastAsia="仿宋" w:hAnsi="Times New Roman" w:cs="Times New Roman"/>
                <w:szCs w:val="21"/>
              </w:rPr>
            </w:pPr>
            <w:r w:rsidRPr="00904728">
              <w:rPr>
                <w:rFonts w:ascii="Times New Roman" w:eastAsia="仿宋" w:hAnsi="Times New Roman" w:cs="Times New Roman"/>
                <w:szCs w:val="21"/>
              </w:rPr>
              <w:t xml:space="preserve">The difference between green marketing and traditional marketing, and the development background of green marketing </w:t>
            </w:r>
          </w:p>
          <w:p w14:paraId="29660246" w14:textId="77777777" w:rsidR="0037663C" w:rsidRPr="00904728" w:rsidRDefault="00000000">
            <w:pPr>
              <w:numPr>
                <w:ilvl w:val="0"/>
                <w:numId w:val="8"/>
              </w:numPr>
              <w:rPr>
                <w:rFonts w:ascii="Times New Roman" w:eastAsia="仿宋" w:hAnsi="Times New Roman" w:cs="Times New Roman"/>
                <w:szCs w:val="21"/>
              </w:rPr>
            </w:pPr>
            <w:r w:rsidRPr="00904728">
              <w:rPr>
                <w:rFonts w:ascii="Times New Roman" w:eastAsia="仿宋" w:hAnsi="Times New Roman" w:cs="Times New Roman"/>
                <w:szCs w:val="21"/>
              </w:rPr>
              <w:t xml:space="preserve">The characteristics of green marketing </w:t>
            </w:r>
          </w:p>
          <w:p w14:paraId="4971F8EB" w14:textId="77777777" w:rsidR="0037663C" w:rsidRDefault="00000000">
            <w:pPr>
              <w:numPr>
                <w:ilvl w:val="0"/>
                <w:numId w:val="8"/>
              </w:numPr>
              <w:rPr>
                <w:rFonts w:ascii="Times New Roman" w:eastAsia="仿宋" w:hAnsi="Times New Roman" w:cs="Times New Roman"/>
                <w:szCs w:val="21"/>
                <w:lang w:val="zh-CN"/>
              </w:rPr>
            </w:pPr>
            <w:r>
              <w:rPr>
                <w:rFonts w:ascii="Times New Roman" w:eastAsia="仿宋" w:hAnsi="Times New Roman" w:cs="Times New Roman"/>
                <w:szCs w:val="21"/>
                <w:lang w:val="zh-CN"/>
              </w:rPr>
              <w:t xml:space="preserve">Green demand </w:t>
            </w:r>
          </w:p>
          <w:p w14:paraId="34671FC5" w14:textId="77777777" w:rsidR="0037663C" w:rsidRPr="00904728" w:rsidRDefault="00000000">
            <w:pPr>
              <w:numPr>
                <w:ilvl w:val="0"/>
                <w:numId w:val="8"/>
              </w:numPr>
              <w:rPr>
                <w:rFonts w:ascii="Times New Roman" w:eastAsia="仿宋" w:hAnsi="Times New Roman" w:cs="Times New Roman"/>
                <w:szCs w:val="21"/>
              </w:rPr>
            </w:pPr>
            <w:r w:rsidRPr="00904728">
              <w:rPr>
                <w:rFonts w:ascii="Times New Roman" w:eastAsia="仿宋" w:hAnsi="Times New Roman" w:cs="Times New Roman"/>
                <w:szCs w:val="21"/>
              </w:rPr>
              <w:t>Green marketing creates value for enterprises</w:t>
            </w:r>
          </w:p>
          <w:p w14:paraId="733A9E95" w14:textId="77777777" w:rsidR="0037663C" w:rsidRDefault="00000000">
            <w:pPr>
              <w:numPr>
                <w:ilvl w:val="0"/>
                <w:numId w:val="8"/>
              </w:numPr>
              <w:rPr>
                <w:rFonts w:ascii="Times New Roman" w:eastAsia="仿宋" w:hAnsi="Times New Roman" w:cs="Times New Roman"/>
                <w:szCs w:val="21"/>
                <w:lang w:val="zh-CN"/>
              </w:rPr>
            </w:pPr>
            <w:r>
              <w:rPr>
                <w:rFonts w:ascii="Times New Roman" w:eastAsia="仿宋" w:hAnsi="Times New Roman" w:cs="Times New Roman"/>
                <w:szCs w:val="21"/>
                <w:lang w:val="zh-CN"/>
              </w:rPr>
              <w:t xml:space="preserve">Green marketing strategy </w:t>
            </w:r>
          </w:p>
          <w:p w14:paraId="2AE2A80D" w14:textId="77777777" w:rsidR="0037663C" w:rsidRDefault="00000000">
            <w:pPr>
              <w:numPr>
                <w:ilvl w:val="0"/>
                <w:numId w:val="8"/>
              </w:numPr>
              <w:rPr>
                <w:rFonts w:ascii="Times New Roman" w:eastAsia="仿宋" w:hAnsi="Times New Roman" w:cs="Times New Roman"/>
                <w:szCs w:val="21"/>
                <w:lang w:val="zh-CN"/>
              </w:rPr>
            </w:pPr>
            <w:r>
              <w:rPr>
                <w:rFonts w:ascii="Times New Roman" w:eastAsia="仿宋" w:hAnsi="Times New Roman" w:cs="Times New Roman"/>
                <w:szCs w:val="21"/>
                <w:lang w:val="zh-CN"/>
              </w:rPr>
              <w:t xml:space="preserve">Green marketing strategy steps </w:t>
            </w:r>
          </w:p>
          <w:p w14:paraId="5455C02E" w14:textId="77777777" w:rsidR="0037663C" w:rsidRPr="00904728" w:rsidRDefault="00000000">
            <w:pPr>
              <w:numPr>
                <w:ilvl w:val="0"/>
                <w:numId w:val="8"/>
              </w:numPr>
              <w:rPr>
                <w:rFonts w:ascii="Times New Roman" w:eastAsia="仿宋" w:hAnsi="Times New Roman" w:cs="Times New Roman"/>
                <w:szCs w:val="21"/>
              </w:rPr>
            </w:pPr>
            <w:r w:rsidRPr="00904728">
              <w:rPr>
                <w:rFonts w:ascii="Times New Roman" w:eastAsia="仿宋" w:hAnsi="Times New Roman" w:cs="Times New Roman"/>
                <w:szCs w:val="21"/>
              </w:rPr>
              <w:t xml:space="preserve">The 4P strategy products of green marketing </w:t>
            </w:r>
          </w:p>
          <w:p w14:paraId="78BA8D28" w14:textId="77777777" w:rsidR="0037663C" w:rsidRPr="00904728" w:rsidRDefault="00000000">
            <w:pPr>
              <w:numPr>
                <w:ilvl w:val="0"/>
                <w:numId w:val="8"/>
              </w:numPr>
              <w:rPr>
                <w:rFonts w:ascii="Times New Roman" w:eastAsia="仿宋" w:hAnsi="Times New Roman" w:cs="Times New Roman"/>
                <w:szCs w:val="21"/>
              </w:rPr>
            </w:pPr>
            <w:r w:rsidRPr="00904728">
              <w:rPr>
                <w:rFonts w:ascii="Times New Roman" w:eastAsia="仿宋" w:hAnsi="Times New Roman" w:cs="Times New Roman"/>
                <w:szCs w:val="21"/>
              </w:rPr>
              <w:t xml:space="preserve">Price strategy of the 4P strategy of green marketing </w:t>
            </w:r>
          </w:p>
          <w:p w14:paraId="27C63FAE" w14:textId="77777777" w:rsidR="0037663C" w:rsidRPr="00904728" w:rsidRDefault="00000000">
            <w:pPr>
              <w:rPr>
                <w:rFonts w:ascii="Times New Roman" w:eastAsia="仿宋" w:hAnsi="Times New Roman" w:cs="Times New Roman"/>
                <w:szCs w:val="21"/>
              </w:rPr>
            </w:pPr>
            <w:r w:rsidRPr="00904728">
              <w:rPr>
                <w:rFonts w:ascii="Times New Roman" w:eastAsia="仿宋" w:hAnsi="Times New Roman" w:cs="Times New Roman"/>
                <w:szCs w:val="21"/>
              </w:rPr>
              <w:t>10. Channel strategy of the 4P strategy of green marketing</w:t>
            </w:r>
          </w:p>
        </w:tc>
        <w:tc>
          <w:tcPr>
            <w:tcW w:w="2748" w:type="dxa"/>
            <w:vAlign w:val="center"/>
          </w:tcPr>
          <w:p w14:paraId="7B85AB55" w14:textId="77777777" w:rsidR="0037663C" w:rsidRDefault="00000000">
            <w:pPr>
              <w:rPr>
                <w:rFonts w:ascii="Times New Roman" w:eastAsia="仿宋" w:hAnsi="Times New Roman" w:cs="Times New Roman"/>
                <w:szCs w:val="21"/>
              </w:rPr>
            </w:pPr>
            <w:r>
              <w:rPr>
                <w:rFonts w:ascii="Times New Roman" w:eastAsia="仿宋" w:hAnsi="Times New Roman" w:cs="Times New Roman"/>
                <w:color w:val="2A2A2A"/>
                <w:szCs w:val="21"/>
                <w:shd w:val="clear" w:color="auto" w:fill="FFFFFF"/>
              </w:rPr>
              <w:t>Master the definition and connotation of green marketing, the difference between green marketing and traditional marketing, and the characteristics of green marketing; understand the development background of green marketing theory, the views and comprehensive definition of green marketing; understand the green demand and market, analyze why enterprises should implement green marketing and the value of green marketing to enterprises; master the strategic objectives and contents of green marketing, steps of green marketing implementation plan and how to implement 4P strategy of green marketing through the study of this chapter, and independently complete a complete copy of green marketing planning.</w:t>
            </w:r>
          </w:p>
        </w:tc>
        <w:tc>
          <w:tcPr>
            <w:tcW w:w="664" w:type="dxa"/>
            <w:vAlign w:val="center"/>
          </w:tcPr>
          <w:p w14:paraId="520AD3C3" w14:textId="25B2BF0E" w:rsidR="0037663C" w:rsidRDefault="00D5725A">
            <w:pPr>
              <w:rPr>
                <w:rFonts w:ascii="Times New Roman" w:eastAsia="仿宋" w:hAnsi="Times New Roman" w:cs="Times New Roman"/>
                <w:szCs w:val="21"/>
              </w:rPr>
            </w:pPr>
            <w:r>
              <w:rPr>
                <w:rFonts w:ascii="Times New Roman" w:eastAsia="仿宋" w:hAnsi="Times New Roman" w:cs="Times New Roman" w:hint="eastAsia"/>
                <w:szCs w:val="21"/>
              </w:rPr>
              <w:t>3</w:t>
            </w:r>
          </w:p>
        </w:tc>
        <w:tc>
          <w:tcPr>
            <w:tcW w:w="1434" w:type="dxa"/>
            <w:vAlign w:val="center"/>
          </w:tcPr>
          <w:p w14:paraId="046AD1A9" w14:textId="77777777" w:rsidR="0037663C" w:rsidRPr="00904728" w:rsidRDefault="0000000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understand</w:t>
            </w:r>
          </w:p>
          <w:p w14:paraId="10F9F080" w14:textId="77777777" w:rsidR="0037663C" w:rsidRPr="00904728" w:rsidRDefault="0000000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apply</w:t>
            </w:r>
          </w:p>
          <w:p w14:paraId="5F8C2980" w14:textId="77777777" w:rsidR="0037663C" w:rsidRPr="00904728" w:rsidRDefault="0000000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remember</w:t>
            </w:r>
          </w:p>
          <w:p w14:paraId="1F210CE3" w14:textId="77777777" w:rsidR="0037663C" w:rsidRPr="00904728" w:rsidRDefault="0000000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aggregate analysis</w:t>
            </w:r>
          </w:p>
        </w:tc>
      </w:tr>
      <w:tr w:rsidR="0037663C" w14:paraId="35215DEB" w14:textId="77777777">
        <w:trPr>
          <w:trHeight w:val="20"/>
          <w:jc w:val="center"/>
        </w:trPr>
        <w:tc>
          <w:tcPr>
            <w:tcW w:w="1091" w:type="dxa"/>
            <w:vAlign w:val="center"/>
          </w:tcPr>
          <w:p w14:paraId="369D4527"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Chapter 7</w:t>
            </w:r>
          </w:p>
          <w:p w14:paraId="4A72BBAA"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Environmental protection, health and safety: a green hotel</w:t>
            </w:r>
          </w:p>
        </w:tc>
        <w:tc>
          <w:tcPr>
            <w:tcW w:w="2737" w:type="dxa"/>
            <w:vAlign w:val="center"/>
          </w:tcPr>
          <w:p w14:paraId="2E964213" w14:textId="77777777" w:rsidR="0037663C" w:rsidRPr="00904728" w:rsidRDefault="00000000">
            <w:pPr>
              <w:numPr>
                <w:ilvl w:val="0"/>
                <w:numId w:val="9"/>
              </w:numPr>
              <w:rPr>
                <w:rFonts w:ascii="Times New Roman" w:eastAsia="仿宋" w:hAnsi="Times New Roman" w:cs="Times New Roman"/>
                <w:szCs w:val="21"/>
              </w:rPr>
            </w:pPr>
            <w:r w:rsidRPr="00904728">
              <w:rPr>
                <w:rFonts w:ascii="Times New Roman" w:eastAsia="仿宋" w:hAnsi="Times New Roman" w:cs="Times New Roman"/>
                <w:szCs w:val="21"/>
              </w:rPr>
              <w:t xml:space="preserve">The connotation and concept definition of the green hotel </w:t>
            </w:r>
          </w:p>
          <w:p w14:paraId="55719A28" w14:textId="77777777" w:rsidR="0037663C" w:rsidRPr="00904728" w:rsidRDefault="00000000">
            <w:pPr>
              <w:numPr>
                <w:ilvl w:val="0"/>
                <w:numId w:val="9"/>
              </w:numPr>
              <w:rPr>
                <w:rFonts w:ascii="Times New Roman" w:eastAsia="仿宋" w:hAnsi="Times New Roman" w:cs="Times New Roman"/>
                <w:szCs w:val="21"/>
              </w:rPr>
            </w:pPr>
            <w:r w:rsidRPr="00904728">
              <w:rPr>
                <w:rFonts w:ascii="Times New Roman" w:eastAsia="仿宋" w:hAnsi="Times New Roman" w:cs="Times New Roman"/>
                <w:szCs w:val="21"/>
              </w:rPr>
              <w:t xml:space="preserve">The significance of the construction and management of green hotels </w:t>
            </w:r>
          </w:p>
          <w:p w14:paraId="0233E6C6" w14:textId="77777777" w:rsidR="0037663C" w:rsidRPr="00904728" w:rsidRDefault="00000000">
            <w:pPr>
              <w:numPr>
                <w:ilvl w:val="0"/>
                <w:numId w:val="9"/>
              </w:numPr>
              <w:rPr>
                <w:rFonts w:ascii="Times New Roman" w:eastAsia="仿宋" w:hAnsi="Times New Roman" w:cs="Times New Roman"/>
                <w:szCs w:val="21"/>
              </w:rPr>
            </w:pPr>
            <w:r w:rsidRPr="00904728">
              <w:rPr>
                <w:rFonts w:ascii="Times New Roman" w:eastAsia="仿宋" w:hAnsi="Times New Roman" w:cs="Times New Roman"/>
                <w:szCs w:val="21"/>
              </w:rPr>
              <w:t xml:space="preserve">The development process of green hotels </w:t>
            </w:r>
          </w:p>
          <w:p w14:paraId="1C28DF2C" w14:textId="77777777" w:rsidR="0037663C" w:rsidRPr="00904728" w:rsidRDefault="00000000">
            <w:pPr>
              <w:rPr>
                <w:rFonts w:ascii="Times New Roman" w:eastAsia="仿宋" w:hAnsi="Times New Roman" w:cs="Times New Roman"/>
                <w:szCs w:val="21"/>
              </w:rPr>
            </w:pPr>
            <w:r w:rsidRPr="00904728">
              <w:rPr>
                <w:rFonts w:ascii="Times New Roman" w:eastAsia="仿宋" w:hAnsi="Times New Roman" w:cs="Times New Roman"/>
                <w:szCs w:val="21"/>
              </w:rPr>
              <w:t xml:space="preserve">4. The way to build green </w:t>
            </w:r>
            <w:r w:rsidRPr="00904728">
              <w:rPr>
                <w:rFonts w:ascii="Times New Roman" w:eastAsia="仿宋" w:hAnsi="Times New Roman" w:cs="Times New Roman"/>
                <w:szCs w:val="21"/>
              </w:rPr>
              <w:lastRenderedPageBreak/>
              <w:t>hotels</w:t>
            </w:r>
          </w:p>
          <w:p w14:paraId="67065906" w14:textId="77777777" w:rsidR="0037663C" w:rsidRPr="00904728" w:rsidRDefault="00000000">
            <w:pPr>
              <w:rPr>
                <w:rFonts w:ascii="Times New Roman" w:eastAsia="仿宋" w:hAnsi="Times New Roman" w:cs="Times New Roman"/>
                <w:szCs w:val="21"/>
              </w:rPr>
            </w:pPr>
            <w:r w:rsidRPr="00904728">
              <w:rPr>
                <w:rFonts w:ascii="Times New Roman" w:eastAsia="仿宋" w:hAnsi="Times New Roman" w:cs="Times New Roman"/>
                <w:szCs w:val="21"/>
              </w:rPr>
              <w:t xml:space="preserve"> 5. General principles for building a green hotel</w:t>
            </w:r>
          </w:p>
        </w:tc>
        <w:tc>
          <w:tcPr>
            <w:tcW w:w="2748" w:type="dxa"/>
            <w:vAlign w:val="center"/>
          </w:tcPr>
          <w:p w14:paraId="79923B4E" w14:textId="77777777" w:rsidR="0037663C" w:rsidRDefault="00000000">
            <w:pPr>
              <w:rPr>
                <w:rFonts w:ascii="Times New Roman" w:eastAsia="仿宋" w:hAnsi="Times New Roman" w:cs="Times New Roman"/>
                <w:szCs w:val="21"/>
              </w:rPr>
            </w:pPr>
            <w:r>
              <w:rPr>
                <w:rFonts w:ascii="Times New Roman" w:eastAsia="仿宋" w:hAnsi="Times New Roman" w:cs="Times New Roman"/>
                <w:color w:val="2A2A2A"/>
                <w:szCs w:val="21"/>
                <w:shd w:val="clear" w:color="auto" w:fill="FFFFFF"/>
              </w:rPr>
              <w:lastRenderedPageBreak/>
              <w:t xml:space="preserve">Understand the concept of green hotel, understand the significance of the construction and management of green hotel, understand the development process and current situation of green hotel at home and abroad, master the standards of green </w:t>
            </w:r>
            <w:r>
              <w:rPr>
                <w:rFonts w:ascii="Times New Roman" w:eastAsia="仿宋" w:hAnsi="Times New Roman" w:cs="Times New Roman"/>
                <w:color w:val="2A2A2A"/>
                <w:szCs w:val="21"/>
                <w:shd w:val="clear" w:color="auto" w:fill="FFFFFF"/>
              </w:rPr>
              <w:lastRenderedPageBreak/>
              <w:t>hotel and the ways and general principles of building green hotel (new), master the method of green hotel management.</w:t>
            </w:r>
          </w:p>
        </w:tc>
        <w:tc>
          <w:tcPr>
            <w:tcW w:w="664" w:type="dxa"/>
            <w:vAlign w:val="center"/>
          </w:tcPr>
          <w:p w14:paraId="79FA1066" w14:textId="36951169" w:rsidR="0037663C" w:rsidRDefault="00D5725A">
            <w:pPr>
              <w:rPr>
                <w:rFonts w:ascii="Times New Roman" w:eastAsia="仿宋" w:hAnsi="Times New Roman" w:cs="Times New Roman"/>
                <w:szCs w:val="21"/>
              </w:rPr>
            </w:pPr>
            <w:r>
              <w:rPr>
                <w:rFonts w:ascii="Times New Roman" w:eastAsia="仿宋" w:hAnsi="Times New Roman" w:cs="Times New Roman" w:hint="eastAsia"/>
                <w:szCs w:val="21"/>
              </w:rPr>
              <w:lastRenderedPageBreak/>
              <w:t>1</w:t>
            </w:r>
          </w:p>
        </w:tc>
        <w:tc>
          <w:tcPr>
            <w:tcW w:w="1434" w:type="dxa"/>
            <w:vAlign w:val="center"/>
          </w:tcPr>
          <w:p w14:paraId="09541D02"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understand</w:t>
            </w:r>
          </w:p>
          <w:p w14:paraId="7AE98441"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remember</w:t>
            </w:r>
          </w:p>
          <w:p w14:paraId="6B83AA18" w14:textId="77777777" w:rsidR="0037663C" w:rsidRDefault="0037663C">
            <w:pPr>
              <w:rPr>
                <w:rFonts w:ascii="Times New Roman" w:eastAsia="仿宋" w:hAnsi="Times New Roman" w:cs="Times New Roman"/>
                <w:szCs w:val="21"/>
                <w:lang w:val="zh-CN"/>
              </w:rPr>
            </w:pPr>
          </w:p>
        </w:tc>
      </w:tr>
      <w:tr w:rsidR="0037663C" w14:paraId="2AEC7870" w14:textId="77777777">
        <w:trPr>
          <w:trHeight w:val="20"/>
          <w:jc w:val="center"/>
        </w:trPr>
        <w:tc>
          <w:tcPr>
            <w:tcW w:w="1091" w:type="dxa"/>
            <w:vAlign w:val="center"/>
          </w:tcPr>
          <w:p w14:paraId="5C1CDC4F"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 xml:space="preserve">Chapter 8 </w:t>
            </w:r>
          </w:p>
          <w:p w14:paraId="5A3C97AB"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Application of enterprise green management in production enterprises</w:t>
            </w:r>
          </w:p>
        </w:tc>
        <w:tc>
          <w:tcPr>
            <w:tcW w:w="2737" w:type="dxa"/>
            <w:vAlign w:val="center"/>
          </w:tcPr>
          <w:p w14:paraId="61935436" w14:textId="77777777" w:rsidR="0037663C" w:rsidRDefault="00000000">
            <w:pPr>
              <w:numPr>
                <w:ilvl w:val="0"/>
                <w:numId w:val="10"/>
              </w:numPr>
              <w:rPr>
                <w:rFonts w:ascii="Times New Roman" w:eastAsia="仿宋" w:hAnsi="Times New Roman" w:cs="Times New Roman"/>
                <w:szCs w:val="21"/>
              </w:rPr>
            </w:pPr>
            <w:r>
              <w:rPr>
                <w:rFonts w:ascii="Times New Roman" w:eastAsia="仿宋" w:hAnsi="Times New Roman" w:cs="Times New Roman"/>
                <w:szCs w:val="21"/>
              </w:rPr>
              <w:t xml:space="preserve">Significance of the implementation of green metallurgy </w:t>
            </w:r>
          </w:p>
          <w:p w14:paraId="6C127454" w14:textId="77777777" w:rsidR="0037663C" w:rsidRDefault="00000000">
            <w:pPr>
              <w:numPr>
                <w:ilvl w:val="0"/>
                <w:numId w:val="10"/>
              </w:numPr>
              <w:rPr>
                <w:rFonts w:ascii="Times New Roman" w:eastAsia="仿宋" w:hAnsi="Times New Roman" w:cs="Times New Roman"/>
                <w:szCs w:val="21"/>
              </w:rPr>
            </w:pPr>
            <w:r>
              <w:rPr>
                <w:rFonts w:ascii="Times New Roman" w:eastAsia="仿宋" w:hAnsi="Times New Roman" w:cs="Times New Roman"/>
                <w:szCs w:val="21"/>
              </w:rPr>
              <w:t xml:space="preserve">Youku Video-Baosteel: Green management and innovation practice of Baosteel in the future </w:t>
            </w:r>
          </w:p>
          <w:p w14:paraId="1B05BD1E" w14:textId="77777777" w:rsidR="0037663C" w:rsidRDefault="00000000">
            <w:pPr>
              <w:numPr>
                <w:ilvl w:val="0"/>
                <w:numId w:val="10"/>
              </w:numPr>
              <w:rPr>
                <w:rFonts w:ascii="Times New Roman" w:eastAsia="仿宋" w:hAnsi="Times New Roman" w:cs="Times New Roman"/>
                <w:szCs w:val="21"/>
              </w:rPr>
            </w:pPr>
            <w:r>
              <w:rPr>
                <w:rFonts w:ascii="Times New Roman" w:eastAsia="仿宋" w:hAnsi="Times New Roman" w:cs="Times New Roman"/>
                <w:szCs w:val="21"/>
              </w:rPr>
              <w:t xml:space="preserve">Corporate civic responsibility </w:t>
            </w:r>
          </w:p>
          <w:p w14:paraId="4634F274" w14:textId="77777777" w:rsidR="0037663C" w:rsidRDefault="00000000">
            <w:pPr>
              <w:numPr>
                <w:ilvl w:val="0"/>
                <w:numId w:val="10"/>
              </w:numPr>
              <w:rPr>
                <w:rFonts w:ascii="Times New Roman" w:eastAsia="仿宋" w:hAnsi="Times New Roman" w:cs="Times New Roman"/>
                <w:szCs w:val="21"/>
              </w:rPr>
            </w:pPr>
            <w:r>
              <w:rPr>
                <w:rFonts w:ascii="Times New Roman" w:eastAsia="仿宋" w:hAnsi="Times New Roman" w:cs="Times New Roman"/>
                <w:szCs w:val="21"/>
              </w:rPr>
              <w:t xml:space="preserve">Social responsibility of oil enterprises for environmental protection </w:t>
            </w:r>
          </w:p>
          <w:p w14:paraId="78461BB6" w14:textId="77777777" w:rsidR="0037663C" w:rsidRDefault="00000000">
            <w:pPr>
              <w:numPr>
                <w:ilvl w:val="0"/>
                <w:numId w:val="10"/>
              </w:numPr>
              <w:rPr>
                <w:rFonts w:ascii="Times New Roman" w:eastAsia="仿宋" w:hAnsi="Times New Roman" w:cs="Times New Roman"/>
                <w:szCs w:val="21"/>
              </w:rPr>
            </w:pPr>
            <w:r>
              <w:rPr>
                <w:rFonts w:ascii="Times New Roman" w:eastAsia="仿宋" w:hAnsi="Times New Roman" w:cs="Times New Roman"/>
                <w:szCs w:val="21"/>
              </w:rPr>
              <w:t xml:space="preserve">Petroleum enterprises fulfill their social responsibilities: Take Sinopec as an example </w:t>
            </w:r>
          </w:p>
          <w:p w14:paraId="34A21193" w14:textId="77777777" w:rsidR="0037663C" w:rsidRPr="00904728" w:rsidRDefault="00000000">
            <w:pPr>
              <w:rPr>
                <w:rFonts w:ascii="Times New Roman" w:eastAsia="仿宋" w:hAnsi="Times New Roman" w:cs="Times New Roman"/>
                <w:szCs w:val="21"/>
              </w:rPr>
            </w:pPr>
            <w:r>
              <w:rPr>
                <w:rFonts w:ascii="Times New Roman" w:eastAsia="仿宋" w:hAnsi="Times New Roman" w:cs="Times New Roman"/>
                <w:szCs w:val="21"/>
              </w:rPr>
              <w:t>6. Significance of green engineering project management in construction enterprises</w:t>
            </w:r>
          </w:p>
        </w:tc>
        <w:tc>
          <w:tcPr>
            <w:tcW w:w="2748" w:type="dxa"/>
            <w:vAlign w:val="center"/>
          </w:tcPr>
          <w:p w14:paraId="48890300" w14:textId="77777777" w:rsidR="0037663C" w:rsidRDefault="00000000">
            <w:pPr>
              <w:rPr>
                <w:rFonts w:ascii="Times New Roman" w:eastAsia="仿宋" w:hAnsi="Times New Roman" w:cs="Times New Roman"/>
                <w:szCs w:val="21"/>
              </w:rPr>
            </w:pPr>
            <w:r>
              <w:rPr>
                <w:rFonts w:ascii="Times New Roman" w:eastAsia="仿宋" w:hAnsi="Times New Roman" w:cs="Times New Roman"/>
                <w:color w:val="2A2A2A"/>
                <w:szCs w:val="21"/>
                <w:shd w:val="clear" w:color="auto" w:fill="FFFFFF"/>
              </w:rPr>
              <w:t>Through the introduction of green management practice cases in metallurgy, petroleum and construction industries, strengthen the enterprise green management knowledge.</w:t>
            </w:r>
          </w:p>
        </w:tc>
        <w:tc>
          <w:tcPr>
            <w:tcW w:w="664" w:type="dxa"/>
            <w:vAlign w:val="center"/>
          </w:tcPr>
          <w:p w14:paraId="4B450598" w14:textId="4FDD3A67" w:rsidR="0037663C" w:rsidRDefault="00FE01E4">
            <w:pPr>
              <w:rPr>
                <w:rFonts w:ascii="Times New Roman" w:eastAsia="仿宋" w:hAnsi="Times New Roman" w:cs="Times New Roman"/>
                <w:szCs w:val="21"/>
              </w:rPr>
            </w:pPr>
            <w:r>
              <w:rPr>
                <w:rFonts w:ascii="Times New Roman" w:eastAsia="仿宋" w:hAnsi="Times New Roman" w:cs="Times New Roman" w:hint="eastAsia"/>
                <w:szCs w:val="21"/>
              </w:rPr>
              <w:t>2</w:t>
            </w:r>
          </w:p>
        </w:tc>
        <w:tc>
          <w:tcPr>
            <w:tcW w:w="1434" w:type="dxa"/>
            <w:vAlign w:val="center"/>
          </w:tcPr>
          <w:p w14:paraId="31F475F5"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understand</w:t>
            </w:r>
          </w:p>
          <w:p w14:paraId="0A5DF466"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remember</w:t>
            </w:r>
          </w:p>
          <w:p w14:paraId="5175AFF7"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aggregate analysis</w:t>
            </w:r>
          </w:p>
        </w:tc>
      </w:tr>
    </w:tbl>
    <w:p w14:paraId="2A642807" w14:textId="77777777" w:rsidR="0037663C" w:rsidRDefault="0037663C">
      <w:pPr>
        <w:rPr>
          <w:rFonts w:ascii="Times New Roman" w:eastAsia="黑体" w:hAnsi="Times New Roman" w:cs="Times New Roman"/>
          <w:b/>
          <w:szCs w:val="21"/>
          <w:lang w:val="en-GB"/>
        </w:rPr>
      </w:pPr>
    </w:p>
    <w:p w14:paraId="5F6063BE" w14:textId="77777777"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V. Teaching Method</w:t>
      </w:r>
    </w:p>
    <w:p w14:paraId="0FDF49A4" w14:textId="77777777" w:rsidR="0037663C"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This course advocates students to read reference books and references extensively, and implements the teaching method of combining classroom teaching, self-study and classroom discussion, so as to achieve the learning purpose of teachers 'intensive and students' wide learning and more practice.</w:t>
      </w:r>
    </w:p>
    <w:p w14:paraId="0418D559" w14:textId="77777777" w:rsidR="0037663C" w:rsidRDefault="0037663C">
      <w:pPr>
        <w:rPr>
          <w:rFonts w:ascii="Times New Roman" w:eastAsia="仿宋" w:hAnsi="Times New Roman" w:cs="Times New Roman"/>
          <w:szCs w:val="21"/>
          <w:lang w:val="en-GB"/>
        </w:rPr>
      </w:pPr>
    </w:p>
    <w:p w14:paraId="4A80644F" w14:textId="6B2B4C7B"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VI. Evaluation</w:t>
      </w:r>
    </w:p>
    <w:p w14:paraId="7019B76F" w14:textId="6B371DE7" w:rsidR="005C0E2F" w:rsidRDefault="005C0E2F" w:rsidP="005C0E2F">
      <w:pPr>
        <w:ind w:firstLineChars="200" w:firstLine="420"/>
        <w:rPr>
          <w:rFonts w:ascii="Times New Roman" w:eastAsia="黑体" w:hAnsi="Times New Roman" w:cs="Times New Roman"/>
          <w:bCs/>
          <w:szCs w:val="21"/>
          <w:lang w:val="en-GB"/>
        </w:rPr>
      </w:pPr>
      <w:r w:rsidRPr="005C0E2F">
        <w:rPr>
          <w:rFonts w:ascii="Times New Roman" w:eastAsia="黑体" w:hAnsi="Times New Roman" w:cs="Times New Roman"/>
          <w:bCs/>
          <w:szCs w:val="21"/>
          <w:lang w:val="en-GB"/>
        </w:rPr>
        <w:t xml:space="preserve">Process Grade 60%: </w:t>
      </w:r>
      <w:r w:rsidR="00C60C45" w:rsidRPr="00C60C45">
        <w:rPr>
          <w:rFonts w:ascii="Times New Roman" w:eastAsia="黑体" w:hAnsi="Times New Roman" w:cs="Times New Roman"/>
          <w:bCs/>
          <w:szCs w:val="21"/>
          <w:lang w:val="en-GB"/>
        </w:rPr>
        <w:t>Regular Grades: 30%</w:t>
      </w:r>
    </w:p>
    <w:p w14:paraId="6184F516" w14:textId="2ABD8A63" w:rsidR="005C0E2F" w:rsidRDefault="005C0E2F" w:rsidP="005C0E2F">
      <w:pPr>
        <w:ind w:firstLineChars="1000" w:firstLine="2100"/>
        <w:rPr>
          <w:rFonts w:ascii="Times New Roman" w:eastAsia="黑体" w:hAnsi="Times New Roman" w:cs="Times New Roman"/>
          <w:bCs/>
          <w:szCs w:val="21"/>
          <w:lang w:val="en-GB"/>
        </w:rPr>
      </w:pPr>
      <w:r w:rsidRPr="005C0E2F">
        <w:rPr>
          <w:rFonts w:ascii="Times New Roman" w:eastAsia="黑体" w:hAnsi="Times New Roman" w:cs="Times New Roman"/>
          <w:bCs/>
          <w:szCs w:val="21"/>
          <w:lang w:val="en-GB"/>
        </w:rPr>
        <w:t xml:space="preserve"> </w:t>
      </w:r>
      <w:r w:rsidR="00C60C45" w:rsidRPr="00C60C45">
        <w:rPr>
          <w:rFonts w:ascii="Times New Roman" w:eastAsia="黑体" w:hAnsi="Times New Roman" w:cs="Times New Roman"/>
          <w:bCs/>
          <w:szCs w:val="21"/>
          <w:lang w:val="en-GB"/>
        </w:rPr>
        <w:t>Chapter Tests: 10%</w:t>
      </w:r>
    </w:p>
    <w:p w14:paraId="1F185818" w14:textId="747E0CB6" w:rsidR="005C0E2F" w:rsidRPr="005C0E2F" w:rsidRDefault="005C0E2F" w:rsidP="005C0E2F">
      <w:pPr>
        <w:ind w:firstLineChars="200" w:firstLine="420"/>
        <w:rPr>
          <w:rFonts w:ascii="Times New Roman" w:eastAsia="黑体" w:hAnsi="Times New Roman" w:cs="Times New Roman"/>
          <w:bCs/>
          <w:szCs w:val="21"/>
          <w:lang w:val="en-GB"/>
        </w:rPr>
      </w:pPr>
      <w:r w:rsidRPr="005C0E2F">
        <w:rPr>
          <w:rFonts w:ascii="Times New Roman" w:eastAsia="黑体" w:hAnsi="Times New Roman" w:cs="Times New Roman"/>
          <w:bCs/>
          <w:szCs w:val="21"/>
          <w:lang w:val="en-GB"/>
        </w:rPr>
        <w:t xml:space="preserve"> </w:t>
      </w:r>
      <w:r>
        <w:rPr>
          <w:rFonts w:ascii="Times New Roman" w:eastAsia="黑体" w:hAnsi="Times New Roman" w:cs="Times New Roman"/>
          <w:bCs/>
          <w:szCs w:val="21"/>
          <w:lang w:val="en-GB"/>
        </w:rPr>
        <w:t xml:space="preserve">                </w:t>
      </w:r>
      <w:r w:rsidR="00C60C45" w:rsidRPr="00C60C45">
        <w:rPr>
          <w:rFonts w:ascii="Times New Roman" w:eastAsia="黑体" w:hAnsi="Times New Roman" w:cs="Times New Roman"/>
          <w:bCs/>
          <w:szCs w:val="21"/>
          <w:lang w:val="en-GB"/>
        </w:rPr>
        <w:t>Meet the Classes Grades: 20%</w:t>
      </w:r>
      <w:r w:rsidRPr="005C0E2F">
        <w:rPr>
          <w:rFonts w:ascii="Times New Roman" w:eastAsia="黑体" w:hAnsi="Times New Roman" w:cs="Times New Roman"/>
          <w:bCs/>
          <w:szCs w:val="21"/>
          <w:lang w:val="en-GB"/>
        </w:rPr>
        <w:t xml:space="preserve"> </w:t>
      </w:r>
    </w:p>
    <w:p w14:paraId="243387B0" w14:textId="22BAAA7D" w:rsidR="0037663C" w:rsidRDefault="005C0E2F" w:rsidP="005C0E2F">
      <w:pPr>
        <w:ind w:firstLineChars="200" w:firstLine="420"/>
        <w:rPr>
          <w:rFonts w:ascii="Times New Roman" w:eastAsia="黑体" w:hAnsi="Times New Roman" w:cs="Times New Roman"/>
          <w:bCs/>
          <w:szCs w:val="21"/>
          <w:lang w:val="en-GB"/>
        </w:rPr>
      </w:pPr>
      <w:r w:rsidRPr="005C0E2F">
        <w:rPr>
          <w:rFonts w:ascii="Times New Roman" w:eastAsia="黑体" w:hAnsi="Times New Roman" w:cs="Times New Roman"/>
          <w:bCs/>
          <w:szCs w:val="21"/>
          <w:lang w:val="en-GB"/>
        </w:rPr>
        <w:t>End-of-Course Assessment 40%.</w:t>
      </w:r>
    </w:p>
    <w:p w14:paraId="4AF68775" w14:textId="77777777" w:rsidR="00D5725A" w:rsidRDefault="00D5725A">
      <w:pPr>
        <w:rPr>
          <w:rFonts w:ascii="Times New Roman" w:eastAsia="黑体" w:hAnsi="Times New Roman" w:cs="Times New Roman"/>
          <w:b/>
          <w:szCs w:val="21"/>
          <w:lang w:val="en-GB"/>
        </w:rPr>
      </w:pPr>
    </w:p>
    <w:p w14:paraId="67E93903" w14:textId="0FC9C77C"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VII. Textbook and Reference</w:t>
      </w:r>
    </w:p>
    <w:p w14:paraId="793D0C44" w14:textId="77777777" w:rsidR="0037663C" w:rsidRDefault="00000000">
      <w:pPr>
        <w:ind w:firstLineChars="200" w:firstLine="422"/>
        <w:rPr>
          <w:rFonts w:ascii="Times New Roman" w:eastAsia="仿宋" w:hAnsi="Times New Roman" w:cs="Times New Roman"/>
          <w:szCs w:val="21"/>
          <w:lang w:val="en-GB"/>
        </w:rPr>
      </w:pPr>
      <w:r>
        <w:rPr>
          <w:rFonts w:ascii="Times New Roman" w:eastAsia="仿宋" w:hAnsi="Times New Roman" w:cs="Times New Roman" w:hint="eastAsia"/>
          <w:b/>
          <w:szCs w:val="21"/>
          <w:lang w:val="en-GB"/>
        </w:rPr>
        <w:t>reference book:</w:t>
      </w:r>
    </w:p>
    <w:p w14:paraId="360C8749" w14:textId="77777777" w:rsidR="0037663C" w:rsidRDefault="00000000">
      <w:pPr>
        <w:numPr>
          <w:ilvl w:val="0"/>
          <w:numId w:val="11"/>
        </w:num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Wang Qi. The rise of green management in the West. The China Environment News. 1993-5-15. </w:t>
      </w:r>
    </w:p>
    <w:p w14:paraId="19AEDBA8" w14:textId="77777777" w:rsidR="0037663C" w:rsidRDefault="00000000">
      <w:pPr>
        <w:numPr>
          <w:ilvl w:val="0"/>
          <w:numId w:val="11"/>
        </w:num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lastRenderedPageBreak/>
        <w:t xml:space="preserve">Mei Xueqin. The downfall and rebirth of Father Thames. 2007. Environmental protection, (14): 68-70. </w:t>
      </w:r>
    </w:p>
    <w:p w14:paraId="642D713A" w14:textId="77777777" w:rsidR="0037663C" w:rsidRDefault="00000000">
      <w:pPr>
        <w:numPr>
          <w:ilvl w:val="0"/>
          <w:numId w:val="11"/>
        </w:num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Wu Jianzu, Zeng Xianju. 2010. The power of green management: Social responsibility or economic benefits?. Management scientist: Academic edition, (4). 75-78. </w:t>
      </w:r>
    </w:p>
    <w:p w14:paraId="3E5DBCED" w14:textId="77777777" w:rsidR="0037663C" w:rsidRDefault="00000000">
      <w:pPr>
        <w:numPr>
          <w:ilvl w:val="0"/>
          <w:numId w:val="11"/>
        </w:num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Mahua, Lin Yong. Supply Chain Management (fifth edition). Machinery Press, 2016. </w:t>
      </w:r>
    </w:p>
    <w:p w14:paraId="2D25976E" w14:textId="77777777" w:rsidR="0037663C" w:rsidRDefault="00000000">
      <w:pPr>
        <w:numPr>
          <w:ilvl w:val="0"/>
          <w:numId w:val="11"/>
        </w:num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(US) Balsox. Supply chain logistics management. Tsinghua University Press, 2009. </w:t>
      </w:r>
    </w:p>
    <w:p w14:paraId="162F2DCE" w14:textId="77777777" w:rsidR="0037663C" w:rsidRDefault="00000000">
      <w:pPr>
        <w:numPr>
          <w:ilvl w:val="0"/>
          <w:numId w:val="11"/>
        </w:num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Zhu Qinghua, Yan Hong. Green supply chain management: Theory and practice. science press. 2014. </w:t>
      </w:r>
    </w:p>
    <w:p w14:paraId="2AFCFF52" w14:textId="77777777" w:rsidR="0037663C" w:rsidRDefault="00000000">
      <w:pPr>
        <w:numPr>
          <w:ilvl w:val="0"/>
          <w:numId w:val="11"/>
        </w:num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Su Yi. Investment project evaluation. The 2nd edition. Beijing: Tsinghua University Press. 2011. </w:t>
      </w:r>
    </w:p>
    <w:p w14:paraId="46DBAB34" w14:textId="77777777" w:rsidR="0037663C" w:rsidRDefault="00000000">
      <w:pPr>
        <w:numPr>
          <w:ilvl w:val="0"/>
          <w:numId w:val="11"/>
        </w:num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Zeng Pinghua. What to see in the financial statements? Shanghai: Lixin Accounting Publishing House. 2009. </w:t>
      </w:r>
    </w:p>
    <w:p w14:paraId="7443CF7E" w14:textId="77777777" w:rsidR="0037663C" w:rsidRDefault="00000000">
      <w:pPr>
        <w:numPr>
          <w:ilvl w:val="0"/>
          <w:numId w:val="11"/>
        </w:num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Lu Xiangjun, Shi Jun. Green accounting. Beijing: China Environment Publishing House. 2016. </w:t>
      </w:r>
    </w:p>
    <w:p w14:paraId="687BFA4D" w14:textId="77777777" w:rsidR="0037663C" w:rsidRDefault="00000000">
      <w:pPr>
        <w:ind w:leftChars="200" w:left="420"/>
        <w:rPr>
          <w:rFonts w:ascii="Times New Roman" w:eastAsia="仿宋" w:hAnsi="Times New Roman" w:cs="Times New Roman"/>
          <w:szCs w:val="21"/>
          <w:lang w:val="en-GB"/>
        </w:rPr>
      </w:pPr>
      <w:r>
        <w:rPr>
          <w:rFonts w:ascii="Times New Roman" w:eastAsia="仿宋" w:hAnsi="Times New Roman" w:cs="Times New Roman" w:hint="eastAsia"/>
          <w:szCs w:val="21"/>
          <w:lang w:val="en-GB"/>
        </w:rPr>
        <w:t>10. Sun Heng, Wang Yanzhuo. Research on the theory and practical application of enterprise green accounting. Beijing: Economic and science publishing organized body. 2014.</w:t>
      </w:r>
    </w:p>
    <w:sectPr w:rsidR="003766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37792" w14:textId="77777777" w:rsidR="002433D5" w:rsidRDefault="002433D5" w:rsidP="005C0E2F">
      <w:r>
        <w:separator/>
      </w:r>
    </w:p>
  </w:endnote>
  <w:endnote w:type="continuationSeparator" w:id="0">
    <w:p w14:paraId="2F65A10F" w14:textId="77777777" w:rsidR="002433D5" w:rsidRDefault="002433D5" w:rsidP="005C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5E5140B5-4313-44E1-8F0D-9993191857BA}"/>
    <w:embedBold r:id="rId2" w:subsetted="1" w:fontKey="{88D2D8F4-E62C-4AE6-A7BA-9E997B1B7E5B}"/>
  </w:font>
  <w:font w:name="方正小标宋简体">
    <w:altName w:val="微软雅黑"/>
    <w:charset w:val="86"/>
    <w:family w:val="script"/>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embedRegular r:id="rId3" w:subsetted="1" w:fontKey="{D1FE802B-D764-48AE-807C-BE69D6E3F89B}"/>
    <w:embedBold r:id="rId4" w:subsetted="1" w:fontKey="{1676C8C6-47C4-4F99-9753-A116CB7C85A1}"/>
  </w:font>
  <w:font w:name="Wingdings 2">
    <w:panose1 w:val="05020102010507070707"/>
    <w:charset w:val="02"/>
    <w:family w:val="roman"/>
    <w:pitch w:val="variable"/>
    <w:sig w:usb0="00000000" w:usb1="10000000" w:usb2="00000000" w:usb3="00000000" w:csb0="80000000" w:csb1="00000000"/>
    <w:embedRegular r:id="rId5" w:fontKey="{00EAD6C6-C55A-41C4-9CBF-C7470BA8CA8A}"/>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CBD46" w14:textId="77777777" w:rsidR="002433D5" w:rsidRDefault="002433D5" w:rsidP="005C0E2F">
      <w:r>
        <w:separator/>
      </w:r>
    </w:p>
  </w:footnote>
  <w:footnote w:type="continuationSeparator" w:id="0">
    <w:p w14:paraId="1F477147" w14:textId="77777777" w:rsidR="002433D5" w:rsidRDefault="002433D5" w:rsidP="005C0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C68622"/>
    <w:multiLevelType w:val="singleLevel"/>
    <w:tmpl w:val="8AC68622"/>
    <w:lvl w:ilvl="0">
      <w:start w:val="1"/>
      <w:numFmt w:val="decimal"/>
      <w:suff w:val="space"/>
      <w:lvlText w:val="%1."/>
      <w:lvlJc w:val="left"/>
    </w:lvl>
  </w:abstractNum>
  <w:abstractNum w:abstractNumId="1" w15:restartNumberingAfterBreak="0">
    <w:nsid w:val="AAE19F99"/>
    <w:multiLevelType w:val="singleLevel"/>
    <w:tmpl w:val="AAE19F99"/>
    <w:lvl w:ilvl="0">
      <w:start w:val="1"/>
      <w:numFmt w:val="decimal"/>
      <w:suff w:val="space"/>
      <w:lvlText w:val="%1."/>
      <w:lvlJc w:val="left"/>
    </w:lvl>
  </w:abstractNum>
  <w:abstractNum w:abstractNumId="2" w15:restartNumberingAfterBreak="0">
    <w:nsid w:val="C5BF406B"/>
    <w:multiLevelType w:val="singleLevel"/>
    <w:tmpl w:val="C5BF406B"/>
    <w:lvl w:ilvl="0">
      <w:start w:val="1"/>
      <w:numFmt w:val="decimal"/>
      <w:suff w:val="space"/>
      <w:lvlText w:val="%1."/>
      <w:lvlJc w:val="left"/>
    </w:lvl>
  </w:abstractNum>
  <w:abstractNum w:abstractNumId="3" w15:restartNumberingAfterBreak="0">
    <w:nsid w:val="F6887A50"/>
    <w:multiLevelType w:val="singleLevel"/>
    <w:tmpl w:val="F6887A50"/>
    <w:lvl w:ilvl="0">
      <w:start w:val="1"/>
      <w:numFmt w:val="decimal"/>
      <w:suff w:val="space"/>
      <w:lvlText w:val="%1."/>
      <w:lvlJc w:val="left"/>
    </w:lvl>
  </w:abstractNum>
  <w:abstractNum w:abstractNumId="4" w15:restartNumberingAfterBreak="0">
    <w:nsid w:val="076F34CF"/>
    <w:multiLevelType w:val="singleLevel"/>
    <w:tmpl w:val="076F34CF"/>
    <w:lvl w:ilvl="0">
      <w:start w:val="1"/>
      <w:numFmt w:val="decimal"/>
      <w:suff w:val="space"/>
      <w:lvlText w:val="%1."/>
      <w:lvlJc w:val="left"/>
    </w:lvl>
  </w:abstractNum>
  <w:abstractNum w:abstractNumId="5" w15:restartNumberingAfterBreak="0">
    <w:nsid w:val="0AFEB2EA"/>
    <w:multiLevelType w:val="singleLevel"/>
    <w:tmpl w:val="0AFEB2EA"/>
    <w:lvl w:ilvl="0">
      <w:start w:val="1"/>
      <w:numFmt w:val="decimal"/>
      <w:suff w:val="space"/>
      <w:lvlText w:val="%1."/>
      <w:lvlJc w:val="left"/>
    </w:lvl>
  </w:abstractNum>
  <w:abstractNum w:abstractNumId="6" w15:restartNumberingAfterBreak="0">
    <w:nsid w:val="180EF7E4"/>
    <w:multiLevelType w:val="singleLevel"/>
    <w:tmpl w:val="180EF7E4"/>
    <w:lvl w:ilvl="0">
      <w:start w:val="4"/>
      <w:numFmt w:val="chineseCounting"/>
      <w:suff w:val="nothing"/>
      <w:lvlText w:val="%1、"/>
      <w:lvlJc w:val="left"/>
      <w:rPr>
        <w:rFonts w:hint="eastAsia"/>
      </w:rPr>
    </w:lvl>
  </w:abstractNum>
  <w:abstractNum w:abstractNumId="7" w15:restartNumberingAfterBreak="0">
    <w:nsid w:val="1D8B50FF"/>
    <w:multiLevelType w:val="singleLevel"/>
    <w:tmpl w:val="1D8B50FF"/>
    <w:lvl w:ilvl="0">
      <w:start w:val="6"/>
      <w:numFmt w:val="chineseCounting"/>
      <w:suff w:val="nothing"/>
      <w:lvlText w:val="%1、"/>
      <w:lvlJc w:val="left"/>
      <w:rPr>
        <w:rFonts w:hint="eastAsia"/>
      </w:rPr>
    </w:lvl>
  </w:abstractNum>
  <w:abstractNum w:abstractNumId="8" w15:restartNumberingAfterBreak="0">
    <w:nsid w:val="3A335B93"/>
    <w:multiLevelType w:val="singleLevel"/>
    <w:tmpl w:val="3A335B93"/>
    <w:lvl w:ilvl="0">
      <w:start w:val="1"/>
      <w:numFmt w:val="decimal"/>
      <w:suff w:val="space"/>
      <w:lvlText w:val="%1."/>
      <w:lvlJc w:val="left"/>
    </w:lvl>
  </w:abstractNum>
  <w:abstractNum w:abstractNumId="9" w15:restartNumberingAfterBreak="0">
    <w:nsid w:val="436C53BE"/>
    <w:multiLevelType w:val="singleLevel"/>
    <w:tmpl w:val="436C53BE"/>
    <w:lvl w:ilvl="0">
      <w:start w:val="1"/>
      <w:numFmt w:val="decimal"/>
      <w:suff w:val="space"/>
      <w:lvlText w:val="%1."/>
      <w:lvlJc w:val="left"/>
    </w:lvl>
  </w:abstractNum>
  <w:abstractNum w:abstractNumId="10" w15:restartNumberingAfterBreak="0">
    <w:nsid w:val="68A96E33"/>
    <w:multiLevelType w:val="singleLevel"/>
    <w:tmpl w:val="68A96E33"/>
    <w:lvl w:ilvl="0">
      <w:start w:val="1"/>
      <w:numFmt w:val="decimal"/>
      <w:suff w:val="space"/>
      <w:lvlText w:val="%1."/>
      <w:lvlJc w:val="left"/>
    </w:lvl>
  </w:abstractNum>
  <w:num w:numId="1" w16cid:durableId="950822445">
    <w:abstractNumId w:val="6"/>
  </w:num>
  <w:num w:numId="2" w16cid:durableId="908804011">
    <w:abstractNumId w:val="7"/>
  </w:num>
  <w:num w:numId="3" w16cid:durableId="955058679">
    <w:abstractNumId w:val="3"/>
  </w:num>
  <w:num w:numId="4" w16cid:durableId="1161655778">
    <w:abstractNumId w:val="5"/>
  </w:num>
  <w:num w:numId="5" w16cid:durableId="1779063187">
    <w:abstractNumId w:val="1"/>
  </w:num>
  <w:num w:numId="6" w16cid:durableId="371228195">
    <w:abstractNumId w:val="4"/>
  </w:num>
  <w:num w:numId="7" w16cid:durableId="447549920">
    <w:abstractNumId w:val="9"/>
  </w:num>
  <w:num w:numId="8" w16cid:durableId="819808482">
    <w:abstractNumId w:val="2"/>
  </w:num>
  <w:num w:numId="9" w16cid:durableId="1847862023">
    <w:abstractNumId w:val="0"/>
  </w:num>
  <w:num w:numId="10" w16cid:durableId="1409689029">
    <w:abstractNumId w:val="8"/>
  </w:num>
  <w:num w:numId="11" w16cid:durableId="11379941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TrueTypeFonts/>
  <w:saveSubset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QwMTU1ZTg2M2M2Zjg1MTU3YzNiYTFlNjhlMTI0ZTUifQ=="/>
  </w:docVars>
  <w:rsids>
    <w:rsidRoot w:val="00BC67B7"/>
    <w:rsid w:val="000012F6"/>
    <w:rsid w:val="0002163E"/>
    <w:rsid w:val="000225C6"/>
    <w:rsid w:val="00024024"/>
    <w:rsid w:val="00063270"/>
    <w:rsid w:val="00086B91"/>
    <w:rsid w:val="00097821"/>
    <w:rsid w:val="000979DB"/>
    <w:rsid w:val="000A206D"/>
    <w:rsid w:val="000A6985"/>
    <w:rsid w:val="000B586C"/>
    <w:rsid w:val="000C58D6"/>
    <w:rsid w:val="000F1964"/>
    <w:rsid w:val="000F3B78"/>
    <w:rsid w:val="00120828"/>
    <w:rsid w:val="0012261C"/>
    <w:rsid w:val="00135B87"/>
    <w:rsid w:val="00152FF0"/>
    <w:rsid w:val="001538A8"/>
    <w:rsid w:val="00157375"/>
    <w:rsid w:val="00164A0A"/>
    <w:rsid w:val="001753DB"/>
    <w:rsid w:val="001804D3"/>
    <w:rsid w:val="00191AC2"/>
    <w:rsid w:val="001C7304"/>
    <w:rsid w:val="001E1D14"/>
    <w:rsid w:val="001E7080"/>
    <w:rsid w:val="00213E0A"/>
    <w:rsid w:val="00224CDE"/>
    <w:rsid w:val="00232D6E"/>
    <w:rsid w:val="002342D8"/>
    <w:rsid w:val="002376A3"/>
    <w:rsid w:val="0024262F"/>
    <w:rsid w:val="002433D5"/>
    <w:rsid w:val="002626E5"/>
    <w:rsid w:val="0028273B"/>
    <w:rsid w:val="002A408B"/>
    <w:rsid w:val="002F257A"/>
    <w:rsid w:val="002F7478"/>
    <w:rsid w:val="00301FA0"/>
    <w:rsid w:val="003066C2"/>
    <w:rsid w:val="00312ED9"/>
    <w:rsid w:val="00323C78"/>
    <w:rsid w:val="00342073"/>
    <w:rsid w:val="00347821"/>
    <w:rsid w:val="00367F49"/>
    <w:rsid w:val="0037663C"/>
    <w:rsid w:val="00397C67"/>
    <w:rsid w:val="003A41E0"/>
    <w:rsid w:val="003B15CF"/>
    <w:rsid w:val="003B38A8"/>
    <w:rsid w:val="003E4762"/>
    <w:rsid w:val="003F0613"/>
    <w:rsid w:val="0043026A"/>
    <w:rsid w:val="004570C3"/>
    <w:rsid w:val="00464C96"/>
    <w:rsid w:val="004904BB"/>
    <w:rsid w:val="004A0FBE"/>
    <w:rsid w:val="004A4A83"/>
    <w:rsid w:val="004A514A"/>
    <w:rsid w:val="004C3A3A"/>
    <w:rsid w:val="004C3B0E"/>
    <w:rsid w:val="004C4F8B"/>
    <w:rsid w:val="004C62F2"/>
    <w:rsid w:val="004E09C9"/>
    <w:rsid w:val="004E2539"/>
    <w:rsid w:val="00503321"/>
    <w:rsid w:val="00505B36"/>
    <w:rsid w:val="00511CE9"/>
    <w:rsid w:val="005411CA"/>
    <w:rsid w:val="00571584"/>
    <w:rsid w:val="00577F32"/>
    <w:rsid w:val="00584464"/>
    <w:rsid w:val="00585432"/>
    <w:rsid w:val="005A2D7B"/>
    <w:rsid w:val="005C0AEB"/>
    <w:rsid w:val="005C0E2F"/>
    <w:rsid w:val="005C2583"/>
    <w:rsid w:val="005C2F97"/>
    <w:rsid w:val="005D0EB7"/>
    <w:rsid w:val="005D55D3"/>
    <w:rsid w:val="005E2877"/>
    <w:rsid w:val="0060338A"/>
    <w:rsid w:val="00613316"/>
    <w:rsid w:val="00613396"/>
    <w:rsid w:val="006177D4"/>
    <w:rsid w:val="00620320"/>
    <w:rsid w:val="006230CE"/>
    <w:rsid w:val="00646053"/>
    <w:rsid w:val="00661093"/>
    <w:rsid w:val="00695B84"/>
    <w:rsid w:val="006A5CB0"/>
    <w:rsid w:val="006E3C90"/>
    <w:rsid w:val="006E6047"/>
    <w:rsid w:val="006E61EC"/>
    <w:rsid w:val="006E6A46"/>
    <w:rsid w:val="006F22B1"/>
    <w:rsid w:val="00725486"/>
    <w:rsid w:val="007430B6"/>
    <w:rsid w:val="007512F6"/>
    <w:rsid w:val="00753477"/>
    <w:rsid w:val="00784BB5"/>
    <w:rsid w:val="007937E3"/>
    <w:rsid w:val="007A25CB"/>
    <w:rsid w:val="007D1E51"/>
    <w:rsid w:val="007E37D9"/>
    <w:rsid w:val="007E7088"/>
    <w:rsid w:val="00807D2F"/>
    <w:rsid w:val="00817338"/>
    <w:rsid w:val="008430D1"/>
    <w:rsid w:val="00846B4E"/>
    <w:rsid w:val="00850D73"/>
    <w:rsid w:val="008A41F6"/>
    <w:rsid w:val="008B5CCB"/>
    <w:rsid w:val="008C3341"/>
    <w:rsid w:val="008C407B"/>
    <w:rsid w:val="008F46EA"/>
    <w:rsid w:val="00904728"/>
    <w:rsid w:val="0094495D"/>
    <w:rsid w:val="00946A20"/>
    <w:rsid w:val="009631F6"/>
    <w:rsid w:val="00970FC4"/>
    <w:rsid w:val="009823A0"/>
    <w:rsid w:val="00992EA1"/>
    <w:rsid w:val="009C135F"/>
    <w:rsid w:val="00A5411F"/>
    <w:rsid w:val="00A639D1"/>
    <w:rsid w:val="00A65CD2"/>
    <w:rsid w:val="00A863E0"/>
    <w:rsid w:val="00A869CB"/>
    <w:rsid w:val="00A93E4B"/>
    <w:rsid w:val="00A95C06"/>
    <w:rsid w:val="00AB7E60"/>
    <w:rsid w:val="00AC5BFF"/>
    <w:rsid w:val="00AD3D23"/>
    <w:rsid w:val="00B03799"/>
    <w:rsid w:val="00B041B7"/>
    <w:rsid w:val="00B10112"/>
    <w:rsid w:val="00B32DE3"/>
    <w:rsid w:val="00B3682A"/>
    <w:rsid w:val="00B36916"/>
    <w:rsid w:val="00B420F2"/>
    <w:rsid w:val="00B87A3F"/>
    <w:rsid w:val="00BC1B6C"/>
    <w:rsid w:val="00BC67B7"/>
    <w:rsid w:val="00BD7624"/>
    <w:rsid w:val="00C15464"/>
    <w:rsid w:val="00C25C32"/>
    <w:rsid w:val="00C42886"/>
    <w:rsid w:val="00C450FB"/>
    <w:rsid w:val="00C60C45"/>
    <w:rsid w:val="00C84427"/>
    <w:rsid w:val="00CE1C18"/>
    <w:rsid w:val="00D1344C"/>
    <w:rsid w:val="00D173E5"/>
    <w:rsid w:val="00D2634B"/>
    <w:rsid w:val="00D5725A"/>
    <w:rsid w:val="00D769CC"/>
    <w:rsid w:val="00D816BB"/>
    <w:rsid w:val="00D81961"/>
    <w:rsid w:val="00D8667E"/>
    <w:rsid w:val="00DA6167"/>
    <w:rsid w:val="00DD2C3F"/>
    <w:rsid w:val="00DD7B94"/>
    <w:rsid w:val="00DF0653"/>
    <w:rsid w:val="00E10ABD"/>
    <w:rsid w:val="00E23736"/>
    <w:rsid w:val="00E53C11"/>
    <w:rsid w:val="00E6041B"/>
    <w:rsid w:val="00E65C0B"/>
    <w:rsid w:val="00E816B4"/>
    <w:rsid w:val="00E97447"/>
    <w:rsid w:val="00EA1986"/>
    <w:rsid w:val="00EA66BF"/>
    <w:rsid w:val="00EB7E26"/>
    <w:rsid w:val="00F1749D"/>
    <w:rsid w:val="00F52F38"/>
    <w:rsid w:val="00FA1543"/>
    <w:rsid w:val="00FA70BB"/>
    <w:rsid w:val="00FB5BD6"/>
    <w:rsid w:val="00FE01E4"/>
    <w:rsid w:val="00FE6015"/>
    <w:rsid w:val="26167D0C"/>
    <w:rsid w:val="38FA16B4"/>
    <w:rsid w:val="3B113F40"/>
    <w:rsid w:val="3D661F40"/>
    <w:rsid w:val="408445EC"/>
    <w:rsid w:val="4B5D2E16"/>
    <w:rsid w:val="4EF83A4B"/>
    <w:rsid w:val="56464A92"/>
    <w:rsid w:val="5BC75120"/>
    <w:rsid w:val="60A3686F"/>
    <w:rsid w:val="6A762A14"/>
    <w:rsid w:val="6E337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1D657"/>
  <w15:docId w15:val="{FA7F5B7A-2705-47E5-A9EE-946A0F3C6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hAnsi="Courier New"/>
      <w:szCs w:val="21"/>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a">
    <w:name w:val="Normal (Web)"/>
    <w:basedOn w:val="a"/>
    <w:qFormat/>
    <w:pPr>
      <w:spacing w:beforeAutospacing="1" w:afterAutospacing="1"/>
      <w:jc w:val="left"/>
    </w:pPr>
    <w:rPr>
      <w:rFonts w:cs="Times New Roman"/>
      <w:kern w:val="0"/>
      <w:sz w:val="24"/>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a5">
    <w:name w:val="批注框文本 字符"/>
    <w:basedOn w:val="a0"/>
    <w:link w:val="a4"/>
    <w:uiPriority w:val="99"/>
    <w:semiHidden/>
    <w:qFormat/>
    <w:rPr>
      <w:sz w:val="18"/>
      <w:szCs w:val="18"/>
    </w:rPr>
  </w:style>
  <w:style w:type="paragraph" w:styleId="ac">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2003</Words>
  <Characters>11423</Characters>
  <Application>Microsoft Office Word</Application>
  <DocSecurity>0</DocSecurity>
  <Lines>95</Lines>
  <Paragraphs>26</Paragraphs>
  <ScaleCrop>false</ScaleCrop>
  <Company>Microsoft</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小玉 鞠</cp:lastModifiedBy>
  <cp:revision>4</cp:revision>
  <dcterms:created xsi:type="dcterms:W3CDTF">2024-08-30T02:25:00Z</dcterms:created>
  <dcterms:modified xsi:type="dcterms:W3CDTF">2024-08-30T10:37:00Z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6C63421CDD2F42E098EE429922376E95_13</vt:lpwstr>
  </property>
</Properties>
</file>