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B6D">
      <w:pPr>
        <w:pStyle w:val="2"/>
        <w:spacing w:before="156" w:beforeLines="50" w:after="156" w:afterLines="50" w:line="360" w:lineRule="auto"/>
        <w:ind w:left="0" w:leftChars="0" w:firstLine="643" w:firstLineChars="200"/>
        <w:jc w:val="center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中国石油大学</w:t>
      </w:r>
      <w:r>
        <w:rPr>
          <w:rFonts w:ascii="黑体" w:hAnsi="黑体" w:eastAsia="黑体"/>
          <w:b/>
          <w:bCs/>
          <w:sz w:val="32"/>
          <w:szCs w:val="32"/>
        </w:rPr>
        <w:t>（</w:t>
      </w:r>
      <w:r>
        <w:rPr>
          <w:rFonts w:hint="eastAsia" w:ascii="黑体" w:hAnsi="黑体" w:eastAsia="黑体"/>
          <w:b/>
          <w:bCs/>
          <w:sz w:val="32"/>
          <w:szCs w:val="32"/>
        </w:rPr>
        <w:t>北京</w:t>
      </w:r>
      <w:r>
        <w:rPr>
          <w:rFonts w:ascii="黑体" w:hAnsi="黑体" w:eastAsia="黑体"/>
          <w:b/>
          <w:bCs/>
          <w:sz w:val="32"/>
          <w:szCs w:val="32"/>
        </w:rPr>
        <w:t>）</w:t>
      </w:r>
      <w:r>
        <w:rPr>
          <w:rFonts w:hint="eastAsia" w:ascii="黑体" w:hAnsi="黑体" w:eastAsia="黑体"/>
          <w:b/>
          <w:bCs/>
          <w:sz w:val="32"/>
          <w:szCs w:val="32"/>
        </w:rPr>
        <w:t>克拉玛依校区</w:t>
      </w:r>
      <w:r>
        <w:rPr>
          <w:rFonts w:ascii="黑体" w:hAnsi="黑体" w:eastAsia="黑体"/>
          <w:b/>
          <w:bCs/>
          <w:sz w:val="32"/>
          <w:szCs w:val="32"/>
        </w:rPr>
        <w:t>监考职责</w:t>
      </w:r>
    </w:p>
    <w:p w14:paraId="2D4CEE96">
      <w:pPr>
        <w:spacing w:line="560" w:lineRule="exact"/>
        <w:ind w:firstLine="640" w:firstLineChars="200"/>
        <w:rPr>
          <w:rFonts w:ascii="仿宋" w:hAnsi="仿宋" w:eastAsia="仿宋" w:cs="仿宋_GB2312"/>
          <w:bCs/>
          <w:sz w:val="32"/>
          <w:szCs w:val="32"/>
        </w:rPr>
      </w:pPr>
      <w:r>
        <w:rPr>
          <w:rFonts w:hint="eastAsia" w:ascii="仿宋" w:hAnsi="仿宋" w:eastAsia="仿宋" w:cs="仿宋_GB2312"/>
          <w:bCs/>
          <w:sz w:val="32"/>
          <w:szCs w:val="32"/>
        </w:rPr>
        <w:t>（一）任课教师作为主考教师，主持本考场的考试，负责考场全面工作；主持多个考场考试的，应在各考场巡查主持考试。监考员应熟悉监考业务，执行考场规则和监考工作程序，如实记录考试情况，严格履行监考职责，维护考场秩序，保证考试正常进行。</w:t>
      </w:r>
    </w:p>
    <w:p w14:paraId="40D492D5">
      <w:pPr>
        <w:spacing w:line="560" w:lineRule="exact"/>
        <w:ind w:firstLine="640" w:firstLineChars="200"/>
        <w:rPr>
          <w:rFonts w:ascii="仿宋" w:hAnsi="仿宋" w:eastAsia="仿宋" w:cs="仿宋_GB2312"/>
          <w:bCs/>
          <w:sz w:val="32"/>
          <w:szCs w:val="32"/>
        </w:rPr>
      </w:pPr>
      <w:r>
        <w:rPr>
          <w:rFonts w:hint="eastAsia" w:ascii="仿宋" w:hAnsi="仿宋" w:eastAsia="仿宋" w:cs="仿宋_GB2312"/>
          <w:bCs/>
          <w:sz w:val="32"/>
          <w:szCs w:val="32"/>
        </w:rPr>
        <w:t>（二）监考员应在开考前15分钟到达考场，主考教师应在开考前15分钟将试卷送达考场。</w:t>
      </w:r>
    </w:p>
    <w:p w14:paraId="0210AFC7">
      <w:pPr>
        <w:spacing w:line="560" w:lineRule="exact"/>
        <w:ind w:firstLine="640" w:firstLineChars="200"/>
        <w:rPr>
          <w:rFonts w:ascii="仿宋" w:hAnsi="仿宋" w:eastAsia="仿宋" w:cs="仿宋_GB2312"/>
          <w:bCs/>
          <w:sz w:val="32"/>
          <w:szCs w:val="32"/>
        </w:rPr>
      </w:pPr>
      <w:r>
        <w:rPr>
          <w:rFonts w:hint="eastAsia" w:ascii="仿宋" w:hAnsi="仿宋" w:eastAsia="仿宋" w:cs="仿宋_GB2312"/>
          <w:bCs/>
          <w:sz w:val="32"/>
          <w:szCs w:val="32"/>
        </w:rPr>
        <w:t>（三）指挥考生将与考试无关的物品（如书本、稿纸、资料、手机等）集中放在讲台等指定位置；清理桌面及桌斗，保证考生桌面、桌斗和座位附近没有与考试相关的物品和文字印记；检查考场的清场情况。根据考场座位分布安排考生入座，指挥考生将学生证或学生卡放在桌面左上角以便核验。</w:t>
      </w:r>
    </w:p>
    <w:p w14:paraId="08C7C7AB">
      <w:pPr>
        <w:spacing w:line="560" w:lineRule="exact"/>
        <w:ind w:firstLine="640" w:firstLineChars="200"/>
        <w:rPr>
          <w:rFonts w:ascii="仿宋" w:hAnsi="仿宋" w:eastAsia="仿宋" w:cs="仿宋_GB2312"/>
          <w:bCs/>
          <w:sz w:val="32"/>
          <w:szCs w:val="32"/>
        </w:rPr>
      </w:pPr>
      <w:r>
        <w:rPr>
          <w:rFonts w:hint="eastAsia" w:ascii="仿宋" w:hAnsi="仿宋" w:eastAsia="仿宋" w:cs="仿宋_GB2312"/>
          <w:bCs/>
          <w:sz w:val="32"/>
          <w:szCs w:val="32"/>
        </w:rPr>
        <w:t>（四）开考前5分钟，对考生进行考风考纪教育，宣读考场规则，宣布考试注意事项。到规定的开考时间，方可发放试卷（发放试卷的时间包含在考试时间内）。开考15分钟后，迟到的考生不得允许进入考场参加考试，按旷考处理；开考30分钟后方可允许考生交卷离开考场。</w:t>
      </w:r>
    </w:p>
    <w:p w14:paraId="5F116766">
      <w:pPr>
        <w:spacing w:line="560" w:lineRule="exact"/>
        <w:ind w:firstLine="640" w:firstLineChars="200"/>
        <w:rPr>
          <w:rFonts w:ascii="仿宋" w:hAnsi="仿宋" w:eastAsia="仿宋" w:cs="仿宋_GB2312"/>
          <w:bCs/>
          <w:sz w:val="32"/>
          <w:szCs w:val="32"/>
        </w:rPr>
      </w:pPr>
      <w:r>
        <w:rPr>
          <w:rFonts w:hint="eastAsia" w:ascii="仿宋" w:hAnsi="仿宋" w:eastAsia="仿宋" w:cs="仿宋_GB2312"/>
          <w:bCs/>
          <w:sz w:val="32"/>
          <w:szCs w:val="32"/>
        </w:rPr>
        <w:t>（五）监考员应在开考后30分钟内逐一核验考生证件，保证人、证相符，核对考生填写的身份信息与证件一致；逐一核对考生名单，登记缺考考生。</w:t>
      </w:r>
    </w:p>
    <w:p w14:paraId="21AA1B07">
      <w:pPr>
        <w:spacing w:line="560" w:lineRule="exact"/>
        <w:ind w:firstLine="640" w:firstLineChars="200"/>
        <w:rPr>
          <w:rFonts w:ascii="仿宋" w:hAnsi="仿宋" w:eastAsia="仿宋" w:cs="仿宋_GB2312"/>
          <w:bCs/>
          <w:sz w:val="32"/>
          <w:szCs w:val="32"/>
        </w:rPr>
      </w:pPr>
      <w:r>
        <w:rPr>
          <w:rFonts w:hint="eastAsia" w:ascii="仿宋" w:hAnsi="仿宋" w:eastAsia="仿宋" w:cs="仿宋_GB2312"/>
          <w:bCs/>
          <w:sz w:val="32"/>
          <w:szCs w:val="32"/>
        </w:rPr>
        <w:t>（六）监督考生按规定答卷，制止违纪和作弊行为。发现考生有违纪行为的，应及时制止。有作弊行为的，应立即没收其试卷及作弊材料，终止其考试，令其退出考场。在考场记录表中如实填写违纪和作弊事件经过，要求考生签字。如考场有违纪、作弊等行为，主考教师须于考试结束后第一时间报开课单位和教务部。</w:t>
      </w:r>
    </w:p>
    <w:p w14:paraId="0947069A">
      <w:pPr>
        <w:spacing w:line="560" w:lineRule="exact"/>
        <w:ind w:firstLine="640" w:firstLineChars="200"/>
        <w:rPr>
          <w:rFonts w:ascii="仿宋" w:hAnsi="仿宋" w:eastAsia="仿宋" w:cs="仿宋_GB2312"/>
          <w:bCs/>
          <w:sz w:val="32"/>
          <w:szCs w:val="32"/>
        </w:rPr>
      </w:pPr>
      <w:r>
        <w:rPr>
          <w:rFonts w:hint="eastAsia" w:ascii="仿宋" w:hAnsi="仿宋" w:eastAsia="仿宋" w:cs="仿宋_GB2312"/>
          <w:bCs/>
          <w:sz w:val="32"/>
          <w:szCs w:val="32"/>
        </w:rPr>
        <w:t>（七）不擅离职守，不做与监考无关和影响考生答卷的事情（如吸烟、打瞌睡、阅读书报、聊天、抄题、做题、念题、查看和拨打手机、查看电子产品等，不能无故就座）。不检查、不暗示考生答题，不得擅自提前或拖延考试时间。</w:t>
      </w:r>
    </w:p>
    <w:p w14:paraId="346AE1DB">
      <w:pPr>
        <w:spacing w:line="560" w:lineRule="exact"/>
        <w:ind w:firstLine="640" w:firstLineChars="200"/>
        <w:rPr>
          <w:rFonts w:ascii="仿宋" w:hAnsi="仿宋" w:eastAsia="仿宋" w:cs="仿宋_GB2312"/>
          <w:bCs/>
          <w:sz w:val="32"/>
          <w:szCs w:val="32"/>
        </w:rPr>
      </w:pPr>
      <w:r>
        <w:rPr>
          <w:rFonts w:hint="eastAsia" w:ascii="仿宋" w:hAnsi="仿宋" w:eastAsia="仿宋" w:cs="仿宋_GB2312"/>
          <w:bCs/>
          <w:sz w:val="32"/>
          <w:szCs w:val="32"/>
        </w:rPr>
        <w:t>（八）考试时间结束后，立即令考生停止答题，要求考生将试卷整理好后扣放在桌面上，收取试卷或要求考生将试卷交到指定位置，核查无误后方可允许考生离开考场。对于不听劝阻继续答卷的考生，应立即没收其试卷，按考试违纪处理。收完试卷后应当场清点，保证实收试卷份数和实际考试人数相符，防止考生不交试卷或将试卷带出考场。</w:t>
      </w:r>
    </w:p>
    <w:p w14:paraId="3F216A4A">
      <w:pPr>
        <w:spacing w:line="560" w:lineRule="exact"/>
        <w:ind w:firstLine="640" w:firstLineChars="200"/>
        <w:rPr>
          <w:rFonts w:ascii="仿宋" w:hAnsi="仿宋" w:eastAsia="仿宋" w:cs="仿宋_GB2312"/>
          <w:bCs/>
          <w:sz w:val="32"/>
          <w:szCs w:val="32"/>
        </w:rPr>
      </w:pPr>
      <w:r>
        <w:rPr>
          <w:rFonts w:hint="eastAsia" w:ascii="仿宋" w:hAnsi="仿宋" w:eastAsia="仿宋" w:cs="仿宋_GB2312"/>
          <w:bCs/>
          <w:sz w:val="32"/>
          <w:szCs w:val="32"/>
        </w:rPr>
        <w:t>（九）如实填写考场记录表，考试结束后连同考生试卷等材料交主考教师。</w:t>
      </w:r>
    </w:p>
    <w:p w14:paraId="1014E9A7">
      <w:pPr>
        <w:widowControl/>
        <w:ind w:firstLine="640" w:firstLineChars="200"/>
        <w:jc w:val="left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_GB2312"/>
          <w:bCs/>
          <w:sz w:val="32"/>
          <w:szCs w:val="32"/>
        </w:rPr>
        <w:t>（十）对于考生的违纪和作弊行为，监考员履行监考职责不当未发现的，或发现后未制止或未处理甚至纵容的，如通过其他途径发现后，对监考员按教学事故处理（监考员认真履行监考职责的，不作为教学事故）。</w:t>
      </w:r>
      <w:r>
        <w:rPr>
          <w:rFonts w:ascii="仿宋" w:hAnsi="仿宋" w:eastAsia="仿宋" w:cs="仿宋"/>
          <w:bCs/>
          <w:sz w:val="32"/>
          <w:szCs w:val="32"/>
        </w:rPr>
        <w:br w:type="page"/>
      </w:r>
    </w:p>
    <w:p w14:paraId="0D546DC2">
      <w:pPr>
        <w:widowControl/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中国石油大学</w:t>
      </w:r>
      <w:r>
        <w:rPr>
          <w:rFonts w:ascii="黑体" w:hAnsi="黑体" w:eastAsia="黑体"/>
          <w:b/>
          <w:bCs/>
          <w:sz w:val="32"/>
          <w:szCs w:val="32"/>
        </w:rPr>
        <w:t>（</w:t>
      </w:r>
      <w:r>
        <w:rPr>
          <w:rFonts w:hint="eastAsia" w:ascii="黑体" w:hAnsi="黑体" w:eastAsia="黑体"/>
          <w:b/>
          <w:bCs/>
          <w:sz w:val="32"/>
          <w:szCs w:val="32"/>
        </w:rPr>
        <w:t>北京</w:t>
      </w:r>
      <w:r>
        <w:rPr>
          <w:rFonts w:ascii="黑体" w:hAnsi="黑体" w:eastAsia="黑体"/>
          <w:b/>
          <w:bCs/>
          <w:sz w:val="32"/>
          <w:szCs w:val="32"/>
        </w:rPr>
        <w:t>）</w:t>
      </w:r>
      <w:r>
        <w:rPr>
          <w:rFonts w:hint="eastAsia" w:ascii="黑体" w:hAnsi="黑体" w:eastAsia="黑体"/>
          <w:b/>
          <w:bCs/>
          <w:sz w:val="32"/>
          <w:szCs w:val="32"/>
        </w:rPr>
        <w:t>克拉玛依校区</w:t>
      </w:r>
      <w:r>
        <w:rPr>
          <w:rFonts w:ascii="黑体" w:hAnsi="黑体" w:eastAsia="黑体"/>
          <w:b/>
          <w:bCs/>
          <w:sz w:val="32"/>
          <w:szCs w:val="32"/>
        </w:rPr>
        <w:t>本科监考工作程序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2"/>
        <w:gridCol w:w="3648"/>
        <w:gridCol w:w="3799"/>
      </w:tblGrid>
      <w:tr w14:paraId="7021E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15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366E4">
            <w:pPr>
              <w:adjustRightInd w:val="0"/>
              <w:snapToGrid w:val="0"/>
              <w:spacing w:line="300" w:lineRule="auto"/>
              <w:ind w:right="-76" w:rightChars="-36"/>
              <w:jc w:val="center"/>
              <w:rPr>
                <w:rFonts w:ascii="仿宋" w:hAnsi="仿宋" w:eastAsia="仿宋" w:cs="宋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sz w:val="28"/>
                <w:szCs w:val="28"/>
              </w:rPr>
              <w:t>时间</w:t>
            </w:r>
          </w:p>
        </w:tc>
        <w:tc>
          <w:tcPr>
            <w:tcW w:w="36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F3A9A">
            <w:pPr>
              <w:adjustRightInd w:val="0"/>
              <w:snapToGrid w:val="0"/>
              <w:spacing w:line="300" w:lineRule="auto"/>
              <w:ind w:right="-76" w:rightChars="-36"/>
              <w:jc w:val="center"/>
              <w:rPr>
                <w:rFonts w:ascii="仿宋" w:hAnsi="仿宋" w:eastAsia="仿宋" w:cs="宋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sz w:val="28"/>
                <w:szCs w:val="28"/>
              </w:rPr>
              <w:t>主考教师</w:t>
            </w:r>
          </w:p>
        </w:tc>
        <w:tc>
          <w:tcPr>
            <w:tcW w:w="37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816DD">
            <w:pPr>
              <w:adjustRightInd w:val="0"/>
              <w:snapToGrid w:val="0"/>
              <w:spacing w:line="300" w:lineRule="auto"/>
              <w:ind w:right="-76" w:rightChars="-36"/>
              <w:jc w:val="center"/>
              <w:rPr>
                <w:rFonts w:ascii="仿宋" w:hAnsi="仿宋" w:eastAsia="仿宋" w:cs="宋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sz w:val="28"/>
                <w:szCs w:val="28"/>
              </w:rPr>
              <w:t>监考教师</w:t>
            </w:r>
          </w:p>
        </w:tc>
      </w:tr>
      <w:tr w14:paraId="27ABF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  <w:jc w:val="center"/>
        </w:trPr>
        <w:tc>
          <w:tcPr>
            <w:tcW w:w="15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22D03">
            <w:pPr>
              <w:adjustRightInd w:val="0"/>
              <w:snapToGrid w:val="0"/>
              <w:spacing w:line="300" w:lineRule="auto"/>
              <w:ind w:right="-76" w:rightChars="-36"/>
              <w:jc w:val="center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进考场前</w:t>
            </w:r>
          </w:p>
        </w:tc>
        <w:tc>
          <w:tcPr>
            <w:tcW w:w="74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5C10E">
            <w:pPr>
              <w:adjustRightInd w:val="0"/>
              <w:snapToGrid w:val="0"/>
              <w:spacing w:line="300" w:lineRule="auto"/>
              <w:ind w:right="-76" w:rightChars="-36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熟悉主考、监考职责、考场规则，掌握考试时间、地点、班级、人数</w:t>
            </w:r>
          </w:p>
        </w:tc>
      </w:tr>
      <w:tr w14:paraId="54AF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  <w:jc w:val="center"/>
        </w:trPr>
        <w:tc>
          <w:tcPr>
            <w:tcW w:w="15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8472A">
            <w:pPr>
              <w:adjustRightInd w:val="0"/>
              <w:snapToGrid w:val="0"/>
              <w:spacing w:line="300" w:lineRule="auto"/>
              <w:ind w:right="-76" w:rightChars="-36"/>
              <w:jc w:val="center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开考前</w:t>
            </w:r>
          </w:p>
          <w:p w14:paraId="4BDED2A6">
            <w:pPr>
              <w:adjustRightInd w:val="0"/>
              <w:snapToGrid w:val="0"/>
              <w:spacing w:line="300" w:lineRule="auto"/>
              <w:ind w:right="-76" w:rightChars="-36" w:firstLine="280" w:firstLineChars="100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15分钟</w:t>
            </w:r>
          </w:p>
        </w:tc>
        <w:tc>
          <w:tcPr>
            <w:tcW w:w="74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41394">
            <w:pPr>
              <w:adjustRightInd w:val="0"/>
              <w:snapToGrid w:val="0"/>
              <w:spacing w:line="300" w:lineRule="auto"/>
              <w:ind w:right="-76" w:rightChars="-36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进考场，主考教师将试卷送达各考场</w:t>
            </w:r>
          </w:p>
        </w:tc>
      </w:tr>
      <w:tr w14:paraId="11824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1" w:hRule="atLeast"/>
          <w:jc w:val="center"/>
        </w:trPr>
        <w:tc>
          <w:tcPr>
            <w:tcW w:w="15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F5466">
            <w:pPr>
              <w:adjustRightInd w:val="0"/>
              <w:snapToGrid w:val="0"/>
              <w:spacing w:line="300" w:lineRule="auto"/>
              <w:ind w:right="-76" w:rightChars="-36"/>
              <w:jc w:val="center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开考前</w:t>
            </w:r>
          </w:p>
          <w:p w14:paraId="7EA5C217">
            <w:pPr>
              <w:adjustRightInd w:val="0"/>
              <w:snapToGrid w:val="0"/>
              <w:spacing w:line="300" w:lineRule="auto"/>
              <w:ind w:right="-76" w:rightChars="-36"/>
              <w:jc w:val="center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15～5分钟</w:t>
            </w:r>
          </w:p>
        </w:tc>
        <w:tc>
          <w:tcPr>
            <w:tcW w:w="36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3E212">
            <w:pPr>
              <w:adjustRightInd w:val="0"/>
              <w:snapToGrid w:val="0"/>
              <w:spacing w:line="300" w:lineRule="auto"/>
              <w:ind w:right="-76" w:rightChars="-36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协助监考教师安排学生入座、清场、分试卷等</w:t>
            </w:r>
          </w:p>
        </w:tc>
        <w:tc>
          <w:tcPr>
            <w:tcW w:w="37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48DCD">
            <w:pPr>
              <w:adjustRightInd w:val="0"/>
              <w:snapToGrid w:val="0"/>
              <w:spacing w:line="300" w:lineRule="auto"/>
              <w:ind w:right="-76" w:rightChars="-36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1.清场：指挥考生将与考试无关的物品（如书本、稿纸、资料、手机等）集中放在讲台等指定位置，保证考生座位附近没有与考试相关的物品</w:t>
            </w:r>
          </w:p>
          <w:p w14:paraId="0E50D355">
            <w:pPr>
              <w:adjustRightInd w:val="0"/>
              <w:snapToGrid w:val="0"/>
              <w:spacing w:line="300" w:lineRule="auto"/>
              <w:ind w:right="-76" w:rightChars="-36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2.根据考场座位分布安排考生入座，指挥考生将学生证或学生卡放在桌面左上角</w:t>
            </w:r>
          </w:p>
          <w:p w14:paraId="4DC8200C">
            <w:pPr>
              <w:adjustRightInd w:val="0"/>
              <w:snapToGrid w:val="0"/>
              <w:spacing w:line="300" w:lineRule="auto"/>
              <w:ind w:right="-76" w:rightChars="-36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3.根据每列人数按A、B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  <w:lang w:val="en-US" w:eastAsia="zh-CN"/>
              </w:rPr>
              <w:t>或C、D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卷顺序分好试卷</w:t>
            </w:r>
          </w:p>
        </w:tc>
      </w:tr>
      <w:tr w14:paraId="43055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  <w:jc w:val="center"/>
        </w:trPr>
        <w:tc>
          <w:tcPr>
            <w:tcW w:w="15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A0DA4">
            <w:pPr>
              <w:adjustRightInd w:val="0"/>
              <w:snapToGrid w:val="0"/>
              <w:spacing w:line="300" w:lineRule="auto"/>
              <w:ind w:right="-76" w:rightChars="-36"/>
              <w:jc w:val="center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开考前</w:t>
            </w:r>
          </w:p>
          <w:p w14:paraId="2FEA1FE6">
            <w:pPr>
              <w:adjustRightInd w:val="0"/>
              <w:snapToGrid w:val="0"/>
              <w:spacing w:line="300" w:lineRule="auto"/>
              <w:ind w:right="-76" w:rightChars="-36"/>
              <w:jc w:val="center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5分钟</w:t>
            </w:r>
          </w:p>
        </w:tc>
        <w:tc>
          <w:tcPr>
            <w:tcW w:w="36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693CB">
            <w:pPr>
              <w:adjustRightInd w:val="0"/>
              <w:snapToGrid w:val="0"/>
              <w:spacing w:line="300" w:lineRule="auto"/>
              <w:ind w:right="-76" w:rightChars="-36"/>
              <w:rPr>
                <w:rFonts w:ascii="仿宋" w:hAnsi="仿宋" w:eastAsia="仿宋" w:cs="宋体"/>
                <w:bCs/>
                <w:sz w:val="28"/>
                <w:szCs w:val="28"/>
              </w:rPr>
            </w:pPr>
          </w:p>
        </w:tc>
        <w:tc>
          <w:tcPr>
            <w:tcW w:w="37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0B967">
            <w:pPr>
              <w:adjustRightInd w:val="0"/>
              <w:snapToGrid w:val="0"/>
              <w:spacing w:line="300" w:lineRule="auto"/>
              <w:ind w:right="-76" w:rightChars="-36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宣读考场规则</w:t>
            </w:r>
          </w:p>
        </w:tc>
      </w:tr>
      <w:tr w14:paraId="7E716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3" w:hRule="atLeast"/>
          <w:jc w:val="center"/>
        </w:trPr>
        <w:tc>
          <w:tcPr>
            <w:tcW w:w="15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987F3">
            <w:pPr>
              <w:adjustRightInd w:val="0"/>
              <w:snapToGrid w:val="0"/>
              <w:spacing w:line="300" w:lineRule="auto"/>
              <w:ind w:right="-76" w:rightChars="-36"/>
              <w:jc w:val="center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考试开始</w:t>
            </w:r>
          </w:p>
        </w:tc>
        <w:tc>
          <w:tcPr>
            <w:tcW w:w="74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15D34">
            <w:pPr>
              <w:adjustRightInd w:val="0"/>
              <w:snapToGrid w:val="0"/>
              <w:spacing w:line="300" w:lineRule="auto"/>
              <w:ind w:right="-76" w:rightChars="-36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按Z字型发放A、B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  <w:lang w:val="en-US" w:eastAsia="zh-CN"/>
              </w:rPr>
              <w:t>或C、D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试卷：第1列按A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  <w:lang w:val="en-US" w:eastAsia="zh-CN"/>
              </w:rPr>
              <w:t>C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、B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  <w:lang w:val="en-US" w:eastAsia="zh-CN"/>
              </w:rPr>
              <w:t>D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、A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  <w:lang w:val="en-US" w:eastAsia="zh-CN"/>
              </w:rPr>
              <w:t>C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、B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  <w:lang w:val="en-US" w:eastAsia="zh-CN"/>
              </w:rPr>
              <w:t>D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……顺序发放，相邻列按B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  <w:lang w:val="en-US" w:eastAsia="zh-CN"/>
              </w:rPr>
              <w:t>D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、A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  <w:lang w:val="en-US" w:eastAsia="zh-CN"/>
              </w:rPr>
              <w:t>C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、B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  <w:lang w:val="en-US" w:eastAsia="zh-CN"/>
              </w:rPr>
              <w:t>D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、A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  <w:lang w:val="en-US" w:eastAsia="zh-CN"/>
              </w:rPr>
              <w:t>C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……顺序发放</w:t>
            </w:r>
            <w:bookmarkStart w:id="0" w:name="_GoBack"/>
            <w:bookmarkEnd w:id="0"/>
          </w:p>
        </w:tc>
      </w:tr>
      <w:tr w14:paraId="2E7FC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  <w:jc w:val="center"/>
        </w:trPr>
        <w:tc>
          <w:tcPr>
            <w:tcW w:w="15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C94DF">
            <w:pPr>
              <w:adjustRightInd w:val="0"/>
              <w:snapToGrid w:val="0"/>
              <w:spacing w:line="300" w:lineRule="auto"/>
              <w:ind w:right="-76" w:rightChars="-36"/>
              <w:jc w:val="center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开考后</w:t>
            </w:r>
          </w:p>
          <w:p w14:paraId="29581D62">
            <w:pPr>
              <w:adjustRightInd w:val="0"/>
              <w:snapToGrid w:val="0"/>
              <w:spacing w:line="300" w:lineRule="auto"/>
              <w:ind w:right="-76" w:rightChars="-36"/>
              <w:jc w:val="center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15分钟</w:t>
            </w:r>
          </w:p>
        </w:tc>
        <w:tc>
          <w:tcPr>
            <w:tcW w:w="74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C016F">
            <w:pPr>
              <w:adjustRightInd w:val="0"/>
              <w:snapToGrid w:val="0"/>
              <w:spacing w:line="300" w:lineRule="auto"/>
              <w:ind w:right="-76" w:rightChars="-36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不允许迟到考生入场</w:t>
            </w:r>
          </w:p>
        </w:tc>
      </w:tr>
      <w:tr w14:paraId="4A178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4" w:hRule="exact"/>
          <w:jc w:val="center"/>
        </w:trPr>
        <w:tc>
          <w:tcPr>
            <w:tcW w:w="15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B8F6A">
            <w:pPr>
              <w:adjustRightInd w:val="0"/>
              <w:snapToGrid w:val="0"/>
              <w:spacing w:line="300" w:lineRule="auto"/>
              <w:ind w:right="-76" w:rightChars="-36"/>
              <w:jc w:val="center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开考后</w:t>
            </w:r>
          </w:p>
          <w:p w14:paraId="5D29C1C7">
            <w:pPr>
              <w:adjustRightInd w:val="0"/>
              <w:snapToGrid w:val="0"/>
              <w:spacing w:line="300" w:lineRule="auto"/>
              <w:ind w:right="-76" w:rightChars="-36"/>
              <w:jc w:val="center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30分钟内</w:t>
            </w:r>
          </w:p>
        </w:tc>
        <w:tc>
          <w:tcPr>
            <w:tcW w:w="74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BDB44">
            <w:pPr>
              <w:adjustRightInd w:val="0"/>
              <w:snapToGrid w:val="0"/>
              <w:spacing w:line="300" w:lineRule="auto"/>
              <w:ind w:right="-76" w:rightChars="-36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督促考生填写姓名、学号等信息，逐一核验考生证件，确保人、证相符；逐一核对考生名单，在考场记录表上登记缺考考生</w:t>
            </w:r>
          </w:p>
        </w:tc>
      </w:tr>
      <w:tr w14:paraId="4EF9B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9" w:hRule="atLeast"/>
          <w:jc w:val="center"/>
        </w:trPr>
        <w:tc>
          <w:tcPr>
            <w:tcW w:w="15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1AC1D">
            <w:pPr>
              <w:adjustRightInd w:val="0"/>
              <w:snapToGrid w:val="0"/>
              <w:spacing w:line="300" w:lineRule="auto"/>
              <w:ind w:right="-76" w:rightChars="-36"/>
              <w:jc w:val="center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考试</w:t>
            </w:r>
          </w:p>
          <w:p w14:paraId="46648A55">
            <w:pPr>
              <w:adjustRightInd w:val="0"/>
              <w:snapToGrid w:val="0"/>
              <w:spacing w:line="300" w:lineRule="auto"/>
              <w:ind w:right="-76" w:rightChars="-36"/>
              <w:jc w:val="center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期间</w:t>
            </w:r>
          </w:p>
        </w:tc>
        <w:tc>
          <w:tcPr>
            <w:tcW w:w="36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BC8C1">
            <w:pPr>
              <w:adjustRightInd w:val="0"/>
              <w:snapToGrid w:val="0"/>
              <w:spacing w:line="300" w:lineRule="auto"/>
              <w:ind w:right="-76" w:rightChars="-36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1.巡视和监考主持考试的考场</w:t>
            </w:r>
          </w:p>
          <w:p w14:paraId="36F160D7">
            <w:pPr>
              <w:adjustRightInd w:val="0"/>
              <w:snapToGrid w:val="0"/>
              <w:spacing w:line="300" w:lineRule="auto"/>
              <w:ind w:right="-76" w:rightChars="-36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2.复核实际考试人数</w:t>
            </w:r>
          </w:p>
          <w:p w14:paraId="651CF1F1">
            <w:pPr>
              <w:adjustRightInd w:val="0"/>
              <w:snapToGrid w:val="0"/>
              <w:spacing w:line="300" w:lineRule="auto"/>
              <w:ind w:right="-76" w:rightChars="-36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3.复核实际发放试卷份数</w:t>
            </w:r>
          </w:p>
          <w:p w14:paraId="227AA297">
            <w:pPr>
              <w:adjustRightInd w:val="0"/>
              <w:snapToGrid w:val="0"/>
              <w:spacing w:line="300" w:lineRule="auto"/>
              <w:ind w:right="-76" w:rightChars="-36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4.解答试卷有关问题</w:t>
            </w:r>
          </w:p>
          <w:p w14:paraId="55BC2DE1">
            <w:pPr>
              <w:adjustRightInd w:val="0"/>
              <w:snapToGrid w:val="0"/>
              <w:spacing w:line="300" w:lineRule="auto"/>
              <w:ind w:right="-76" w:rightChars="-36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5.监督考生按规定答卷，制止违纪和作弊行为。发现考生有违纪行为的，应及时制止。有作弊行为的，应立即没收其试卷及作弊材料，终止其考试，令其退出考场。在考场记录表中如实填写违纪和作弊事件经过，要求考生签字</w:t>
            </w:r>
          </w:p>
          <w:p w14:paraId="2F390554">
            <w:pPr>
              <w:adjustRightInd w:val="0"/>
              <w:snapToGrid w:val="0"/>
              <w:spacing w:line="300" w:lineRule="auto"/>
              <w:ind w:right="-76" w:rightChars="-36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6.巡视考场</w:t>
            </w:r>
          </w:p>
        </w:tc>
        <w:tc>
          <w:tcPr>
            <w:tcW w:w="37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E3345">
            <w:pPr>
              <w:adjustRightInd w:val="0"/>
              <w:snapToGrid w:val="0"/>
              <w:spacing w:line="300" w:lineRule="auto"/>
              <w:ind w:right="-76" w:rightChars="-36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1.在考场记录表上如实填写有关信息</w:t>
            </w:r>
          </w:p>
          <w:p w14:paraId="1F51AA0C">
            <w:pPr>
              <w:adjustRightInd w:val="0"/>
              <w:snapToGrid w:val="0"/>
              <w:spacing w:line="300" w:lineRule="auto"/>
              <w:ind w:right="-76" w:rightChars="-36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2.发现违纪和作弊行为，及时制止，向主考汇报，协助主考如实填写违纪和作弊事件经过</w:t>
            </w:r>
          </w:p>
          <w:p w14:paraId="1AF548E2">
            <w:pPr>
              <w:adjustRightInd w:val="0"/>
              <w:snapToGrid w:val="0"/>
              <w:spacing w:line="300" w:lineRule="auto"/>
              <w:ind w:right="-76" w:rightChars="-36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3.巡视考场</w:t>
            </w:r>
          </w:p>
        </w:tc>
      </w:tr>
      <w:tr w14:paraId="02EAD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2" w:hRule="atLeast"/>
          <w:jc w:val="center"/>
        </w:trPr>
        <w:tc>
          <w:tcPr>
            <w:tcW w:w="15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51D9E">
            <w:pPr>
              <w:adjustRightInd w:val="0"/>
              <w:snapToGrid w:val="0"/>
              <w:spacing w:line="300" w:lineRule="auto"/>
              <w:ind w:right="-76" w:rightChars="-36"/>
              <w:jc w:val="center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考试</w:t>
            </w:r>
          </w:p>
          <w:p w14:paraId="79CE27D6">
            <w:pPr>
              <w:adjustRightInd w:val="0"/>
              <w:snapToGrid w:val="0"/>
              <w:spacing w:line="300" w:lineRule="auto"/>
              <w:ind w:right="-76" w:rightChars="-36"/>
              <w:jc w:val="center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结束</w:t>
            </w:r>
          </w:p>
        </w:tc>
        <w:tc>
          <w:tcPr>
            <w:tcW w:w="36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B3D17">
            <w:pPr>
              <w:adjustRightInd w:val="0"/>
              <w:snapToGrid w:val="0"/>
              <w:spacing w:line="300" w:lineRule="auto"/>
              <w:ind w:right="-76" w:rightChars="-36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1.复核监考教师实收的试卷份数，并与实际考试人数核对</w:t>
            </w:r>
          </w:p>
          <w:p w14:paraId="19C3A168">
            <w:pPr>
              <w:adjustRightInd w:val="0"/>
              <w:snapToGrid w:val="0"/>
              <w:spacing w:line="300" w:lineRule="auto"/>
              <w:ind w:right="-76" w:rightChars="-36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2.如考场有违纪、作弊等行为，考试结束后第一时间报开课学院教学秘书和教务部</w:t>
            </w:r>
          </w:p>
        </w:tc>
        <w:tc>
          <w:tcPr>
            <w:tcW w:w="37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3C49D">
            <w:pPr>
              <w:adjustRightInd w:val="0"/>
              <w:snapToGrid w:val="0"/>
              <w:spacing w:line="300" w:lineRule="auto"/>
              <w:ind w:right="-76" w:rightChars="-36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1.令考生停止答卷，要求考生将试卷整理好后扣放在桌面上</w:t>
            </w:r>
          </w:p>
          <w:p w14:paraId="6E6A667E">
            <w:pPr>
              <w:adjustRightInd w:val="0"/>
              <w:snapToGrid w:val="0"/>
              <w:spacing w:line="300" w:lineRule="auto"/>
              <w:ind w:right="-76" w:rightChars="-36"/>
              <w:rPr>
                <w:rFonts w:ascii="仿宋" w:hAnsi="仿宋" w:eastAsia="仿宋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2.收取试卷，清点实收试卷份数，并与实际考试人数核对，将试卷和考场记录表交主考教师</w:t>
            </w:r>
          </w:p>
        </w:tc>
      </w:tr>
    </w:tbl>
    <w:p w14:paraId="064AD20C">
      <w:pPr>
        <w:spacing w:line="360" w:lineRule="auto"/>
        <w:ind w:right="34"/>
        <w:jc w:val="center"/>
        <w:textAlignment w:val="baseline"/>
        <w:rPr>
          <w:rFonts w:ascii="黑体" w:hAnsi="黑体" w:eastAsia="黑体"/>
          <w:bCs/>
          <w:sz w:val="32"/>
          <w:szCs w:val="32"/>
        </w:rPr>
      </w:pPr>
      <w:r>
        <w:rPr>
          <w:rFonts w:ascii="华文楷体" w:hAnsi="华文楷体" w:eastAsia="华文楷体"/>
          <w:sz w:val="70"/>
          <w:szCs w:val="30"/>
        </w:rPr>
        <w:br w:type="page"/>
      </w:r>
      <w:r>
        <w:rPr>
          <w:rFonts w:hint="eastAsia" w:ascii="黑体" w:hAnsi="黑体" w:eastAsia="黑体"/>
          <w:sz w:val="32"/>
          <w:szCs w:val="32"/>
        </w:rPr>
        <w:t>采用A、B卷的考场安排示意图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38"/>
        <w:gridCol w:w="1238"/>
        <w:gridCol w:w="1238"/>
        <w:gridCol w:w="1239"/>
        <w:gridCol w:w="1239"/>
        <w:gridCol w:w="1239"/>
      </w:tblGrid>
      <w:tr w14:paraId="11159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38" w:type="dxa"/>
            <w:vAlign w:val="center"/>
          </w:tcPr>
          <w:p w14:paraId="7F68C26A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A</w:t>
            </w:r>
          </w:p>
        </w:tc>
        <w:tc>
          <w:tcPr>
            <w:tcW w:w="1238" w:type="dxa"/>
            <w:vAlign w:val="center"/>
          </w:tcPr>
          <w:p w14:paraId="70F76C35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8" w:type="dxa"/>
            <w:vAlign w:val="center"/>
          </w:tcPr>
          <w:p w14:paraId="5EFF2D28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B</w:t>
            </w:r>
          </w:p>
        </w:tc>
        <w:tc>
          <w:tcPr>
            <w:tcW w:w="1238" w:type="dxa"/>
            <w:vAlign w:val="center"/>
          </w:tcPr>
          <w:p w14:paraId="7E7433C4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4AF2D70B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A</w:t>
            </w:r>
          </w:p>
        </w:tc>
        <w:tc>
          <w:tcPr>
            <w:tcW w:w="1239" w:type="dxa"/>
            <w:vAlign w:val="center"/>
          </w:tcPr>
          <w:p w14:paraId="6130B01D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23E130B0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B</w:t>
            </w:r>
          </w:p>
        </w:tc>
      </w:tr>
      <w:tr w14:paraId="45DEF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38" w:type="dxa"/>
            <w:vAlign w:val="center"/>
          </w:tcPr>
          <w:p w14:paraId="04226B5F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B</w:t>
            </w:r>
          </w:p>
        </w:tc>
        <w:tc>
          <w:tcPr>
            <w:tcW w:w="1238" w:type="dxa"/>
            <w:vAlign w:val="center"/>
          </w:tcPr>
          <w:p w14:paraId="377DBE34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8" w:type="dxa"/>
            <w:vAlign w:val="center"/>
          </w:tcPr>
          <w:p w14:paraId="6DF6AE8C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A</w:t>
            </w:r>
          </w:p>
        </w:tc>
        <w:tc>
          <w:tcPr>
            <w:tcW w:w="1238" w:type="dxa"/>
            <w:vAlign w:val="center"/>
          </w:tcPr>
          <w:p w14:paraId="2B933303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4918C132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B</w:t>
            </w:r>
          </w:p>
        </w:tc>
        <w:tc>
          <w:tcPr>
            <w:tcW w:w="1239" w:type="dxa"/>
            <w:vAlign w:val="center"/>
          </w:tcPr>
          <w:p w14:paraId="55B88377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22984014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A</w:t>
            </w:r>
          </w:p>
        </w:tc>
      </w:tr>
      <w:tr w14:paraId="59A95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38" w:type="dxa"/>
            <w:vAlign w:val="center"/>
          </w:tcPr>
          <w:p w14:paraId="168BC3C2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A</w:t>
            </w:r>
          </w:p>
        </w:tc>
        <w:tc>
          <w:tcPr>
            <w:tcW w:w="1238" w:type="dxa"/>
            <w:vAlign w:val="center"/>
          </w:tcPr>
          <w:p w14:paraId="0AE199BC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8" w:type="dxa"/>
            <w:vAlign w:val="center"/>
          </w:tcPr>
          <w:p w14:paraId="0BD373E1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B</w:t>
            </w:r>
          </w:p>
        </w:tc>
        <w:tc>
          <w:tcPr>
            <w:tcW w:w="1238" w:type="dxa"/>
            <w:vAlign w:val="center"/>
          </w:tcPr>
          <w:p w14:paraId="4A112327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0E7E73A6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A</w:t>
            </w:r>
          </w:p>
        </w:tc>
        <w:tc>
          <w:tcPr>
            <w:tcW w:w="1239" w:type="dxa"/>
            <w:vAlign w:val="center"/>
          </w:tcPr>
          <w:p w14:paraId="24277109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182835EC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B</w:t>
            </w:r>
          </w:p>
        </w:tc>
      </w:tr>
      <w:tr w14:paraId="68BAF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38" w:type="dxa"/>
            <w:vAlign w:val="center"/>
          </w:tcPr>
          <w:p w14:paraId="503F4DBA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B</w:t>
            </w:r>
          </w:p>
        </w:tc>
        <w:tc>
          <w:tcPr>
            <w:tcW w:w="1238" w:type="dxa"/>
            <w:vAlign w:val="center"/>
          </w:tcPr>
          <w:p w14:paraId="2795C093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8" w:type="dxa"/>
            <w:vAlign w:val="center"/>
          </w:tcPr>
          <w:p w14:paraId="37097F60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A</w:t>
            </w:r>
          </w:p>
        </w:tc>
        <w:tc>
          <w:tcPr>
            <w:tcW w:w="1238" w:type="dxa"/>
            <w:vAlign w:val="center"/>
          </w:tcPr>
          <w:p w14:paraId="026853A8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775DF5F9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B</w:t>
            </w:r>
          </w:p>
        </w:tc>
        <w:tc>
          <w:tcPr>
            <w:tcW w:w="1239" w:type="dxa"/>
            <w:vAlign w:val="center"/>
          </w:tcPr>
          <w:p w14:paraId="6AB23629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51D4B89B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A</w:t>
            </w:r>
          </w:p>
        </w:tc>
      </w:tr>
      <w:tr w14:paraId="2077A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38" w:type="dxa"/>
            <w:vAlign w:val="center"/>
          </w:tcPr>
          <w:p w14:paraId="681047CF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A</w:t>
            </w:r>
          </w:p>
        </w:tc>
        <w:tc>
          <w:tcPr>
            <w:tcW w:w="1238" w:type="dxa"/>
            <w:vAlign w:val="center"/>
          </w:tcPr>
          <w:p w14:paraId="539FB6B3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8" w:type="dxa"/>
            <w:vAlign w:val="center"/>
          </w:tcPr>
          <w:p w14:paraId="3130DD73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B</w:t>
            </w:r>
          </w:p>
        </w:tc>
        <w:tc>
          <w:tcPr>
            <w:tcW w:w="1238" w:type="dxa"/>
            <w:vAlign w:val="center"/>
          </w:tcPr>
          <w:p w14:paraId="3AAC5840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00C25011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A</w:t>
            </w:r>
          </w:p>
        </w:tc>
        <w:tc>
          <w:tcPr>
            <w:tcW w:w="1239" w:type="dxa"/>
            <w:vAlign w:val="center"/>
          </w:tcPr>
          <w:p w14:paraId="39865439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7159E373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B</w:t>
            </w:r>
          </w:p>
        </w:tc>
      </w:tr>
      <w:tr w14:paraId="504EB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38" w:type="dxa"/>
            <w:vAlign w:val="center"/>
          </w:tcPr>
          <w:p w14:paraId="29932A85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B</w:t>
            </w:r>
          </w:p>
        </w:tc>
        <w:tc>
          <w:tcPr>
            <w:tcW w:w="1238" w:type="dxa"/>
            <w:vAlign w:val="center"/>
          </w:tcPr>
          <w:p w14:paraId="0DD301B1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8" w:type="dxa"/>
            <w:vAlign w:val="center"/>
          </w:tcPr>
          <w:p w14:paraId="72F4A0D0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A</w:t>
            </w:r>
          </w:p>
        </w:tc>
        <w:tc>
          <w:tcPr>
            <w:tcW w:w="1238" w:type="dxa"/>
            <w:vAlign w:val="center"/>
          </w:tcPr>
          <w:p w14:paraId="2DCA50A3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45844778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B</w:t>
            </w:r>
          </w:p>
        </w:tc>
        <w:tc>
          <w:tcPr>
            <w:tcW w:w="1239" w:type="dxa"/>
            <w:vAlign w:val="center"/>
          </w:tcPr>
          <w:p w14:paraId="7EB6A0A7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3F3E339C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A</w:t>
            </w:r>
          </w:p>
        </w:tc>
      </w:tr>
      <w:tr w14:paraId="2119A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38" w:type="dxa"/>
            <w:vAlign w:val="center"/>
          </w:tcPr>
          <w:p w14:paraId="7679E63E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---</w:t>
            </w:r>
          </w:p>
        </w:tc>
        <w:tc>
          <w:tcPr>
            <w:tcW w:w="1238" w:type="dxa"/>
            <w:vAlign w:val="center"/>
          </w:tcPr>
          <w:p w14:paraId="3D82E251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8" w:type="dxa"/>
            <w:vAlign w:val="center"/>
          </w:tcPr>
          <w:p w14:paraId="613118C3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---</w:t>
            </w:r>
          </w:p>
        </w:tc>
        <w:tc>
          <w:tcPr>
            <w:tcW w:w="1238" w:type="dxa"/>
            <w:vAlign w:val="center"/>
          </w:tcPr>
          <w:p w14:paraId="338FDACA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30C94B14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---</w:t>
            </w:r>
          </w:p>
        </w:tc>
        <w:tc>
          <w:tcPr>
            <w:tcW w:w="1239" w:type="dxa"/>
            <w:vAlign w:val="center"/>
          </w:tcPr>
          <w:p w14:paraId="355213FC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28D57C98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---</w:t>
            </w:r>
          </w:p>
        </w:tc>
      </w:tr>
      <w:tr w14:paraId="5930A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38" w:type="dxa"/>
            <w:vAlign w:val="center"/>
          </w:tcPr>
          <w:p w14:paraId="707890F9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---</w:t>
            </w:r>
          </w:p>
        </w:tc>
        <w:tc>
          <w:tcPr>
            <w:tcW w:w="1238" w:type="dxa"/>
            <w:vAlign w:val="center"/>
          </w:tcPr>
          <w:p w14:paraId="5C5E9472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8" w:type="dxa"/>
            <w:vAlign w:val="center"/>
          </w:tcPr>
          <w:p w14:paraId="3371BA26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---</w:t>
            </w:r>
          </w:p>
        </w:tc>
        <w:tc>
          <w:tcPr>
            <w:tcW w:w="1238" w:type="dxa"/>
            <w:vAlign w:val="center"/>
          </w:tcPr>
          <w:p w14:paraId="2CFF0A63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4F3E55D9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---</w:t>
            </w:r>
          </w:p>
        </w:tc>
        <w:tc>
          <w:tcPr>
            <w:tcW w:w="1239" w:type="dxa"/>
            <w:vAlign w:val="center"/>
          </w:tcPr>
          <w:p w14:paraId="25705687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61B433B6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---</w:t>
            </w:r>
          </w:p>
        </w:tc>
      </w:tr>
      <w:tr w14:paraId="3A6AB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38" w:type="dxa"/>
            <w:vAlign w:val="center"/>
          </w:tcPr>
          <w:p w14:paraId="3BCC67CE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---</w:t>
            </w:r>
          </w:p>
        </w:tc>
        <w:tc>
          <w:tcPr>
            <w:tcW w:w="1238" w:type="dxa"/>
            <w:vAlign w:val="center"/>
          </w:tcPr>
          <w:p w14:paraId="2BB715AA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8" w:type="dxa"/>
            <w:vAlign w:val="center"/>
          </w:tcPr>
          <w:p w14:paraId="29C6EDB5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---</w:t>
            </w:r>
          </w:p>
        </w:tc>
        <w:tc>
          <w:tcPr>
            <w:tcW w:w="1238" w:type="dxa"/>
            <w:vAlign w:val="center"/>
          </w:tcPr>
          <w:p w14:paraId="4F99EF27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5F78800F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---</w:t>
            </w:r>
          </w:p>
        </w:tc>
        <w:tc>
          <w:tcPr>
            <w:tcW w:w="1239" w:type="dxa"/>
            <w:vAlign w:val="center"/>
          </w:tcPr>
          <w:p w14:paraId="2CD5B7EF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1DFE28AA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---</w:t>
            </w:r>
          </w:p>
        </w:tc>
      </w:tr>
    </w:tbl>
    <w:p w14:paraId="2B052CFB">
      <w:pPr>
        <w:widowControl/>
        <w:spacing w:after="156" w:afterLines="50"/>
        <w:jc w:val="left"/>
        <w:rPr>
          <w:rFonts w:ascii="宋体" w:hAnsi="宋体"/>
          <w:b/>
          <w:sz w:val="24"/>
          <w:szCs w:val="21"/>
        </w:rPr>
      </w:pPr>
    </w:p>
    <w:p w14:paraId="6A8D6D09">
      <w:pPr>
        <w:spacing w:line="360" w:lineRule="auto"/>
        <w:ind w:right="34"/>
        <w:jc w:val="both"/>
        <w:textAlignment w:val="baseline"/>
        <w:rPr>
          <w:rFonts w:hint="eastAsia" w:ascii="黑体" w:hAnsi="黑体" w:eastAsia="黑体"/>
          <w:sz w:val="32"/>
          <w:szCs w:val="32"/>
        </w:rPr>
      </w:pPr>
    </w:p>
    <w:p w14:paraId="470E6DED">
      <w:pPr>
        <w:spacing w:line="360" w:lineRule="auto"/>
        <w:ind w:right="34"/>
        <w:jc w:val="center"/>
        <w:textAlignment w:val="baseline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采用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C</w:t>
      </w:r>
      <w:r>
        <w:rPr>
          <w:rFonts w:hint="eastAsia"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D</w:t>
      </w:r>
      <w:r>
        <w:rPr>
          <w:rFonts w:hint="eastAsia" w:ascii="黑体" w:hAnsi="黑体" w:eastAsia="黑体"/>
          <w:sz w:val="32"/>
          <w:szCs w:val="32"/>
        </w:rPr>
        <w:t>卷的考场安排示意图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38"/>
        <w:gridCol w:w="1238"/>
        <w:gridCol w:w="1238"/>
        <w:gridCol w:w="1239"/>
        <w:gridCol w:w="1239"/>
        <w:gridCol w:w="1239"/>
      </w:tblGrid>
      <w:tr w14:paraId="6FFE2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38" w:type="dxa"/>
            <w:vAlign w:val="center"/>
          </w:tcPr>
          <w:p w14:paraId="510C7068">
            <w:pPr>
              <w:spacing w:line="360" w:lineRule="auto"/>
              <w:jc w:val="center"/>
              <w:rPr>
                <w:rFonts w:hint="default" w:ascii="仿宋" w:hAnsi="仿宋" w:eastAsia="仿宋"/>
                <w:b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C</w:t>
            </w:r>
          </w:p>
        </w:tc>
        <w:tc>
          <w:tcPr>
            <w:tcW w:w="1238" w:type="dxa"/>
            <w:vAlign w:val="center"/>
          </w:tcPr>
          <w:p w14:paraId="7CB6DB5E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8" w:type="dxa"/>
            <w:vAlign w:val="center"/>
          </w:tcPr>
          <w:p w14:paraId="4F89BBCD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D</w:t>
            </w:r>
          </w:p>
        </w:tc>
        <w:tc>
          <w:tcPr>
            <w:tcW w:w="1238" w:type="dxa"/>
            <w:vAlign w:val="center"/>
          </w:tcPr>
          <w:p w14:paraId="2FEB0431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5C2F0C3E">
            <w:pPr>
              <w:spacing w:line="360" w:lineRule="auto"/>
              <w:jc w:val="center"/>
              <w:rPr>
                <w:rFonts w:hint="default" w:ascii="仿宋" w:hAnsi="仿宋" w:eastAsia="仿宋"/>
                <w:b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C</w:t>
            </w:r>
          </w:p>
        </w:tc>
        <w:tc>
          <w:tcPr>
            <w:tcW w:w="1239" w:type="dxa"/>
            <w:vAlign w:val="center"/>
          </w:tcPr>
          <w:p w14:paraId="0B595331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30B0D1E2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D</w:t>
            </w:r>
          </w:p>
        </w:tc>
      </w:tr>
      <w:tr w14:paraId="3ACC0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38" w:type="dxa"/>
            <w:vAlign w:val="center"/>
          </w:tcPr>
          <w:p w14:paraId="0A0C91BA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D</w:t>
            </w:r>
          </w:p>
        </w:tc>
        <w:tc>
          <w:tcPr>
            <w:tcW w:w="1238" w:type="dxa"/>
            <w:vAlign w:val="center"/>
          </w:tcPr>
          <w:p w14:paraId="384A0C04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8" w:type="dxa"/>
            <w:vAlign w:val="center"/>
          </w:tcPr>
          <w:p w14:paraId="2CB057AB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C</w:t>
            </w:r>
          </w:p>
        </w:tc>
        <w:tc>
          <w:tcPr>
            <w:tcW w:w="1238" w:type="dxa"/>
            <w:vAlign w:val="center"/>
          </w:tcPr>
          <w:p w14:paraId="31D639B7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1DC091BF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D</w:t>
            </w:r>
          </w:p>
        </w:tc>
        <w:tc>
          <w:tcPr>
            <w:tcW w:w="1239" w:type="dxa"/>
            <w:vAlign w:val="center"/>
          </w:tcPr>
          <w:p w14:paraId="3C4A406D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0D8F85D2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C</w:t>
            </w:r>
          </w:p>
        </w:tc>
      </w:tr>
      <w:tr w14:paraId="3E0A8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38" w:type="dxa"/>
            <w:vAlign w:val="center"/>
          </w:tcPr>
          <w:p w14:paraId="3A4759A1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C</w:t>
            </w:r>
          </w:p>
        </w:tc>
        <w:tc>
          <w:tcPr>
            <w:tcW w:w="1238" w:type="dxa"/>
            <w:vAlign w:val="center"/>
          </w:tcPr>
          <w:p w14:paraId="0DB66F5A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8" w:type="dxa"/>
            <w:vAlign w:val="center"/>
          </w:tcPr>
          <w:p w14:paraId="0CF4697F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D</w:t>
            </w:r>
          </w:p>
        </w:tc>
        <w:tc>
          <w:tcPr>
            <w:tcW w:w="1238" w:type="dxa"/>
            <w:vAlign w:val="center"/>
          </w:tcPr>
          <w:p w14:paraId="28895B78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46907D36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C</w:t>
            </w:r>
          </w:p>
        </w:tc>
        <w:tc>
          <w:tcPr>
            <w:tcW w:w="1239" w:type="dxa"/>
            <w:vAlign w:val="center"/>
          </w:tcPr>
          <w:p w14:paraId="20FAD36D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5A461FBC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D</w:t>
            </w:r>
          </w:p>
        </w:tc>
      </w:tr>
      <w:tr w14:paraId="77094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38" w:type="dxa"/>
            <w:vAlign w:val="center"/>
          </w:tcPr>
          <w:p w14:paraId="77D206C5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D</w:t>
            </w:r>
          </w:p>
        </w:tc>
        <w:tc>
          <w:tcPr>
            <w:tcW w:w="1238" w:type="dxa"/>
            <w:vAlign w:val="center"/>
          </w:tcPr>
          <w:p w14:paraId="4F96BDC2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8" w:type="dxa"/>
            <w:vAlign w:val="center"/>
          </w:tcPr>
          <w:p w14:paraId="0226731A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C</w:t>
            </w:r>
          </w:p>
        </w:tc>
        <w:tc>
          <w:tcPr>
            <w:tcW w:w="1238" w:type="dxa"/>
            <w:vAlign w:val="center"/>
          </w:tcPr>
          <w:p w14:paraId="24A6C0B5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21D223B9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D</w:t>
            </w:r>
          </w:p>
        </w:tc>
        <w:tc>
          <w:tcPr>
            <w:tcW w:w="1239" w:type="dxa"/>
            <w:vAlign w:val="center"/>
          </w:tcPr>
          <w:p w14:paraId="142ADE6E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5D0351B7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C</w:t>
            </w:r>
          </w:p>
        </w:tc>
      </w:tr>
      <w:tr w14:paraId="4EBC5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38" w:type="dxa"/>
            <w:vAlign w:val="center"/>
          </w:tcPr>
          <w:p w14:paraId="1D9F3331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C</w:t>
            </w:r>
          </w:p>
        </w:tc>
        <w:tc>
          <w:tcPr>
            <w:tcW w:w="1238" w:type="dxa"/>
            <w:vAlign w:val="center"/>
          </w:tcPr>
          <w:p w14:paraId="684FF90C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8" w:type="dxa"/>
            <w:vAlign w:val="center"/>
          </w:tcPr>
          <w:p w14:paraId="1A4ACE54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D</w:t>
            </w:r>
          </w:p>
        </w:tc>
        <w:tc>
          <w:tcPr>
            <w:tcW w:w="1238" w:type="dxa"/>
            <w:vAlign w:val="center"/>
          </w:tcPr>
          <w:p w14:paraId="03C88C33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276F3D2E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C</w:t>
            </w:r>
          </w:p>
        </w:tc>
        <w:tc>
          <w:tcPr>
            <w:tcW w:w="1239" w:type="dxa"/>
            <w:vAlign w:val="center"/>
          </w:tcPr>
          <w:p w14:paraId="109201F7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4E172622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D</w:t>
            </w:r>
          </w:p>
        </w:tc>
      </w:tr>
      <w:tr w14:paraId="76039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38" w:type="dxa"/>
            <w:vAlign w:val="center"/>
          </w:tcPr>
          <w:p w14:paraId="5660B32B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D</w:t>
            </w:r>
          </w:p>
        </w:tc>
        <w:tc>
          <w:tcPr>
            <w:tcW w:w="1238" w:type="dxa"/>
            <w:vAlign w:val="center"/>
          </w:tcPr>
          <w:p w14:paraId="1B2FD5BE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8" w:type="dxa"/>
            <w:vAlign w:val="center"/>
          </w:tcPr>
          <w:p w14:paraId="59A3DA1E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C</w:t>
            </w:r>
          </w:p>
        </w:tc>
        <w:tc>
          <w:tcPr>
            <w:tcW w:w="1238" w:type="dxa"/>
            <w:vAlign w:val="center"/>
          </w:tcPr>
          <w:p w14:paraId="218114B4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098884A5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D</w:t>
            </w:r>
          </w:p>
        </w:tc>
        <w:tc>
          <w:tcPr>
            <w:tcW w:w="1239" w:type="dxa"/>
            <w:vAlign w:val="center"/>
          </w:tcPr>
          <w:p w14:paraId="19784E8F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1E08E1F1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C</w:t>
            </w:r>
          </w:p>
        </w:tc>
      </w:tr>
      <w:tr w14:paraId="0C5E0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38" w:type="dxa"/>
            <w:vAlign w:val="center"/>
          </w:tcPr>
          <w:p w14:paraId="4B027C46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---</w:t>
            </w:r>
          </w:p>
        </w:tc>
        <w:tc>
          <w:tcPr>
            <w:tcW w:w="1238" w:type="dxa"/>
            <w:vAlign w:val="center"/>
          </w:tcPr>
          <w:p w14:paraId="60262FD7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8" w:type="dxa"/>
            <w:vAlign w:val="center"/>
          </w:tcPr>
          <w:p w14:paraId="6203D00E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---</w:t>
            </w:r>
          </w:p>
        </w:tc>
        <w:tc>
          <w:tcPr>
            <w:tcW w:w="1238" w:type="dxa"/>
            <w:vAlign w:val="center"/>
          </w:tcPr>
          <w:p w14:paraId="10B5C85D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21DEF554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---</w:t>
            </w:r>
          </w:p>
        </w:tc>
        <w:tc>
          <w:tcPr>
            <w:tcW w:w="1239" w:type="dxa"/>
            <w:vAlign w:val="center"/>
          </w:tcPr>
          <w:p w14:paraId="3611276D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6B1CD9C5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---</w:t>
            </w:r>
          </w:p>
        </w:tc>
      </w:tr>
      <w:tr w14:paraId="1B9F5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38" w:type="dxa"/>
            <w:vAlign w:val="center"/>
          </w:tcPr>
          <w:p w14:paraId="0C8B59DF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---</w:t>
            </w:r>
          </w:p>
        </w:tc>
        <w:tc>
          <w:tcPr>
            <w:tcW w:w="1238" w:type="dxa"/>
            <w:vAlign w:val="center"/>
          </w:tcPr>
          <w:p w14:paraId="1888A119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8" w:type="dxa"/>
            <w:vAlign w:val="center"/>
          </w:tcPr>
          <w:p w14:paraId="6EC38234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---</w:t>
            </w:r>
          </w:p>
        </w:tc>
        <w:tc>
          <w:tcPr>
            <w:tcW w:w="1238" w:type="dxa"/>
            <w:vAlign w:val="center"/>
          </w:tcPr>
          <w:p w14:paraId="0DF7D6CD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7F4283AF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---</w:t>
            </w:r>
          </w:p>
        </w:tc>
        <w:tc>
          <w:tcPr>
            <w:tcW w:w="1239" w:type="dxa"/>
            <w:vAlign w:val="center"/>
          </w:tcPr>
          <w:p w14:paraId="0B6BE1A3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2E170C07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---</w:t>
            </w:r>
          </w:p>
        </w:tc>
      </w:tr>
      <w:tr w14:paraId="3B5E2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38" w:type="dxa"/>
            <w:vAlign w:val="center"/>
          </w:tcPr>
          <w:p w14:paraId="737769C7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---</w:t>
            </w:r>
          </w:p>
        </w:tc>
        <w:tc>
          <w:tcPr>
            <w:tcW w:w="1238" w:type="dxa"/>
            <w:vAlign w:val="center"/>
          </w:tcPr>
          <w:p w14:paraId="6B8F52A1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8" w:type="dxa"/>
            <w:vAlign w:val="center"/>
          </w:tcPr>
          <w:p w14:paraId="5C400B8C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---</w:t>
            </w:r>
          </w:p>
        </w:tc>
        <w:tc>
          <w:tcPr>
            <w:tcW w:w="1238" w:type="dxa"/>
            <w:vAlign w:val="center"/>
          </w:tcPr>
          <w:p w14:paraId="2DC1EBF8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547A0FED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---</w:t>
            </w:r>
          </w:p>
        </w:tc>
        <w:tc>
          <w:tcPr>
            <w:tcW w:w="1239" w:type="dxa"/>
            <w:vAlign w:val="center"/>
          </w:tcPr>
          <w:p w14:paraId="5D79152B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7D07897B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---</w:t>
            </w:r>
          </w:p>
        </w:tc>
      </w:tr>
    </w:tbl>
    <w:p w14:paraId="36FFDC37">
      <w:pPr>
        <w:adjustRightInd w:val="0"/>
        <w:snapToGrid w:val="0"/>
        <w:spacing w:after="156" w:afterLines="50" w:line="560" w:lineRule="exact"/>
        <w:jc w:val="center"/>
        <w:rPr>
          <w:rFonts w:ascii="华文楷体" w:hAnsi="华文楷体" w:eastAsia="华文楷体"/>
          <w:sz w:val="70"/>
          <w:szCs w:val="30"/>
        </w:rPr>
      </w:pPr>
    </w:p>
    <w:p w14:paraId="615A1B3F">
      <w:pPr>
        <w:pStyle w:val="2"/>
        <w:spacing w:before="156" w:beforeLines="50" w:after="156" w:afterLines="50" w:line="20" w:lineRule="exact"/>
        <w:ind w:left="0" w:leftChars="0"/>
        <w:rPr>
          <w:rFonts w:ascii="华文楷体" w:hAnsi="华文楷体" w:eastAsia="华文楷体"/>
          <w:sz w:val="70"/>
          <w:szCs w:val="30"/>
        </w:rPr>
      </w:pPr>
    </w:p>
    <w:sectPr>
      <w:pgSz w:w="11906" w:h="16838"/>
      <w:pgMar w:top="1134" w:right="1304" w:bottom="113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64D"/>
    <w:rsid w:val="00003409"/>
    <w:rsid w:val="00004C95"/>
    <w:rsid w:val="0001140E"/>
    <w:rsid w:val="00032539"/>
    <w:rsid w:val="00032AFB"/>
    <w:rsid w:val="000614BB"/>
    <w:rsid w:val="00075874"/>
    <w:rsid w:val="00075D36"/>
    <w:rsid w:val="00083FA2"/>
    <w:rsid w:val="000A2B9D"/>
    <w:rsid w:val="000B7C0C"/>
    <w:rsid w:val="000D28F5"/>
    <w:rsid w:val="000F2993"/>
    <w:rsid w:val="00117E2C"/>
    <w:rsid w:val="001329BE"/>
    <w:rsid w:val="00146078"/>
    <w:rsid w:val="0016437B"/>
    <w:rsid w:val="00170DFD"/>
    <w:rsid w:val="001B0786"/>
    <w:rsid w:val="001B0F2D"/>
    <w:rsid w:val="001C05AA"/>
    <w:rsid w:val="001C06CE"/>
    <w:rsid w:val="001E51E1"/>
    <w:rsid w:val="00245403"/>
    <w:rsid w:val="00260CD9"/>
    <w:rsid w:val="002712A4"/>
    <w:rsid w:val="0028093F"/>
    <w:rsid w:val="00286207"/>
    <w:rsid w:val="0029333F"/>
    <w:rsid w:val="002C0034"/>
    <w:rsid w:val="002E4EAE"/>
    <w:rsid w:val="002F0CC3"/>
    <w:rsid w:val="003229CF"/>
    <w:rsid w:val="00327BEF"/>
    <w:rsid w:val="0034483A"/>
    <w:rsid w:val="0035477D"/>
    <w:rsid w:val="003731E6"/>
    <w:rsid w:val="00380C51"/>
    <w:rsid w:val="003B2BCC"/>
    <w:rsid w:val="003D5351"/>
    <w:rsid w:val="004217D4"/>
    <w:rsid w:val="00421C35"/>
    <w:rsid w:val="00431F7D"/>
    <w:rsid w:val="00463301"/>
    <w:rsid w:val="00465EF8"/>
    <w:rsid w:val="00466F6C"/>
    <w:rsid w:val="00481AFC"/>
    <w:rsid w:val="00483F81"/>
    <w:rsid w:val="00490929"/>
    <w:rsid w:val="004957C5"/>
    <w:rsid w:val="0050528B"/>
    <w:rsid w:val="00511101"/>
    <w:rsid w:val="00526009"/>
    <w:rsid w:val="00531DEF"/>
    <w:rsid w:val="00532F3F"/>
    <w:rsid w:val="005405C3"/>
    <w:rsid w:val="005425D7"/>
    <w:rsid w:val="00560394"/>
    <w:rsid w:val="00560A8C"/>
    <w:rsid w:val="005635EC"/>
    <w:rsid w:val="00565497"/>
    <w:rsid w:val="005723E1"/>
    <w:rsid w:val="00585FD7"/>
    <w:rsid w:val="00586A7E"/>
    <w:rsid w:val="00593F3B"/>
    <w:rsid w:val="005B2E0F"/>
    <w:rsid w:val="005D23AF"/>
    <w:rsid w:val="005F0F80"/>
    <w:rsid w:val="00613802"/>
    <w:rsid w:val="00614726"/>
    <w:rsid w:val="006601D2"/>
    <w:rsid w:val="00665EF8"/>
    <w:rsid w:val="00674F93"/>
    <w:rsid w:val="0067651C"/>
    <w:rsid w:val="00676E40"/>
    <w:rsid w:val="006A2DEE"/>
    <w:rsid w:val="006B132B"/>
    <w:rsid w:val="006B1A1A"/>
    <w:rsid w:val="007007A0"/>
    <w:rsid w:val="00703DC4"/>
    <w:rsid w:val="007277A0"/>
    <w:rsid w:val="00732421"/>
    <w:rsid w:val="00735955"/>
    <w:rsid w:val="00744CAE"/>
    <w:rsid w:val="00755A80"/>
    <w:rsid w:val="00762C31"/>
    <w:rsid w:val="0076620D"/>
    <w:rsid w:val="007C4AD9"/>
    <w:rsid w:val="007D05AA"/>
    <w:rsid w:val="007D2598"/>
    <w:rsid w:val="007E1D8F"/>
    <w:rsid w:val="00813677"/>
    <w:rsid w:val="008137C0"/>
    <w:rsid w:val="008245E7"/>
    <w:rsid w:val="00825110"/>
    <w:rsid w:val="00837DF3"/>
    <w:rsid w:val="0084135D"/>
    <w:rsid w:val="008472BE"/>
    <w:rsid w:val="0084764D"/>
    <w:rsid w:val="00856CCB"/>
    <w:rsid w:val="008A1A17"/>
    <w:rsid w:val="00957124"/>
    <w:rsid w:val="00970BC4"/>
    <w:rsid w:val="00971813"/>
    <w:rsid w:val="0098099F"/>
    <w:rsid w:val="00985003"/>
    <w:rsid w:val="00991611"/>
    <w:rsid w:val="009A62D6"/>
    <w:rsid w:val="009B1234"/>
    <w:rsid w:val="009C3CC4"/>
    <w:rsid w:val="00A20FD6"/>
    <w:rsid w:val="00A21759"/>
    <w:rsid w:val="00A24368"/>
    <w:rsid w:val="00A27410"/>
    <w:rsid w:val="00A404B6"/>
    <w:rsid w:val="00A40B8F"/>
    <w:rsid w:val="00A45418"/>
    <w:rsid w:val="00A518B7"/>
    <w:rsid w:val="00A54750"/>
    <w:rsid w:val="00A845D4"/>
    <w:rsid w:val="00A92D22"/>
    <w:rsid w:val="00AE027A"/>
    <w:rsid w:val="00AF496B"/>
    <w:rsid w:val="00AF7A89"/>
    <w:rsid w:val="00B15CB7"/>
    <w:rsid w:val="00B2269D"/>
    <w:rsid w:val="00B27645"/>
    <w:rsid w:val="00B33639"/>
    <w:rsid w:val="00B44039"/>
    <w:rsid w:val="00B44330"/>
    <w:rsid w:val="00B468AA"/>
    <w:rsid w:val="00B520F5"/>
    <w:rsid w:val="00B728C6"/>
    <w:rsid w:val="00B72D03"/>
    <w:rsid w:val="00B84405"/>
    <w:rsid w:val="00B874CA"/>
    <w:rsid w:val="00B9144F"/>
    <w:rsid w:val="00BA7EC8"/>
    <w:rsid w:val="00BB5FF0"/>
    <w:rsid w:val="00BD7394"/>
    <w:rsid w:val="00BE063C"/>
    <w:rsid w:val="00C02F3B"/>
    <w:rsid w:val="00C05686"/>
    <w:rsid w:val="00C1105A"/>
    <w:rsid w:val="00C13008"/>
    <w:rsid w:val="00C27F54"/>
    <w:rsid w:val="00C63675"/>
    <w:rsid w:val="00C95E0C"/>
    <w:rsid w:val="00CE66DE"/>
    <w:rsid w:val="00D11B2B"/>
    <w:rsid w:val="00D17F30"/>
    <w:rsid w:val="00D50F8A"/>
    <w:rsid w:val="00D7378A"/>
    <w:rsid w:val="00D745FF"/>
    <w:rsid w:val="00D8744C"/>
    <w:rsid w:val="00D9044D"/>
    <w:rsid w:val="00DB74D3"/>
    <w:rsid w:val="00DC2158"/>
    <w:rsid w:val="00DE63C2"/>
    <w:rsid w:val="00DE794E"/>
    <w:rsid w:val="00E05CC5"/>
    <w:rsid w:val="00E178CF"/>
    <w:rsid w:val="00E266A1"/>
    <w:rsid w:val="00E355C6"/>
    <w:rsid w:val="00E5726A"/>
    <w:rsid w:val="00E84EF3"/>
    <w:rsid w:val="00EB4C80"/>
    <w:rsid w:val="00ED6082"/>
    <w:rsid w:val="00F00966"/>
    <w:rsid w:val="00F30809"/>
    <w:rsid w:val="00F471A0"/>
    <w:rsid w:val="00F7239A"/>
    <w:rsid w:val="00FA5B52"/>
    <w:rsid w:val="00FC574A"/>
    <w:rsid w:val="00FD6BC0"/>
    <w:rsid w:val="00FE659C"/>
    <w:rsid w:val="2963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1"/>
    <w:qFormat/>
    <w:uiPriority w:val="0"/>
    <w:pPr>
      <w:spacing w:after="120"/>
      <w:ind w:left="420" w:leftChars="200"/>
      <w:jc w:val="left"/>
    </w:pPr>
    <w:rPr>
      <w:rFonts w:eastAsia="宋体"/>
      <w:szCs w:val="24"/>
    </w:r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uiPriority w:val="99"/>
    <w:rPr>
      <w:sz w:val="18"/>
      <w:szCs w:val="18"/>
    </w:rPr>
  </w:style>
  <w:style w:type="character" w:customStyle="1" w:styleId="11">
    <w:name w:val="正文文本缩进 字符"/>
    <w:link w:val="2"/>
    <w:uiPriority w:val="0"/>
    <w:rPr>
      <w:rFonts w:eastAsia="宋体"/>
      <w:szCs w:val="24"/>
    </w:rPr>
  </w:style>
  <w:style w:type="character" w:customStyle="1" w:styleId="12">
    <w:name w:val="正文文本缩进 Char1"/>
    <w:basedOn w:val="8"/>
    <w:semiHidden/>
    <w:qFormat/>
    <w:uiPriority w:val="99"/>
  </w:style>
  <w:style w:type="character" w:customStyle="1" w:styleId="13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86578-ED0D-4565-A8A8-CB5B05F152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1713</Words>
  <Characters>1761</Characters>
  <Lines>13</Lines>
  <Paragraphs>3</Paragraphs>
  <TotalTime>4</TotalTime>
  <ScaleCrop>false</ScaleCrop>
  <LinksUpToDate>false</LinksUpToDate>
  <CharactersWithSpaces>1761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2022-09-20T08:52:00Z</dcterms:created>
  <dc:creator>Admin</dc:creator>
  <cp:lastModifiedBy>左丽娜·巴合提别克</cp:lastModifiedBy>
  <cp:lastPrinted>2016-12-13T09:55:00Z</cp:lastPrinted>
  <dcterms:modified xsi:type="dcterms:W3CDTF">2026-09-08T03:11:48Z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eyJoZGlkIjoiMTBiOTVkM2EyNzA0NWQ3MjllYjIwYmI3MjNiZDliZDUiLCJ1c2VySWQiOiIxNzYyOTcwMDg4In0=</vt:lpwstr>
  </property>
  <property fmtid="{D5CDD505-2E9C-101B-9397-08002B2CF9AE}" pid="3" name="KSOProductBuildVer">
    <vt:lpwstr>2052-12.1.0.28043</vt:lpwstr>
  </property>
  <property fmtid="{D5CDD505-2E9C-101B-9397-08002B2CF9AE}" pid="4" name="ICV">
    <vt:lpwstr>D5A79388A1A74481A7376BAE960323D0_12</vt:lpwstr>
  </property>
</Properties>
</file>