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33D5C">
      <w:pPr>
        <w:pStyle w:val="2"/>
        <w:spacing w:before="156" w:beforeLines="50" w:after="0" w:line="360" w:lineRule="auto"/>
        <w:ind w:left="0" w:leftChars="0"/>
        <w:jc w:val="center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中国石油大学</w:t>
      </w:r>
      <w:r>
        <w:rPr>
          <w:rFonts w:ascii="黑体" w:hAnsi="黑体" w:eastAsia="黑体"/>
          <w:b/>
          <w:bCs/>
          <w:sz w:val="32"/>
          <w:szCs w:val="32"/>
        </w:rPr>
        <w:t>（</w:t>
      </w:r>
      <w:r>
        <w:rPr>
          <w:rFonts w:hint="eastAsia" w:ascii="黑体" w:hAnsi="黑体" w:eastAsia="黑体"/>
          <w:b/>
          <w:bCs/>
          <w:sz w:val="32"/>
          <w:szCs w:val="32"/>
        </w:rPr>
        <w:t>北京</w:t>
      </w:r>
      <w:r>
        <w:rPr>
          <w:rFonts w:ascii="黑体" w:hAnsi="黑体" w:eastAsia="黑体"/>
          <w:b/>
          <w:bCs/>
          <w:sz w:val="32"/>
          <w:szCs w:val="32"/>
        </w:rPr>
        <w:t>）</w:t>
      </w:r>
      <w:r>
        <w:rPr>
          <w:rFonts w:hint="eastAsia" w:ascii="黑体" w:hAnsi="黑体" w:eastAsia="黑体"/>
          <w:b/>
          <w:bCs/>
          <w:sz w:val="32"/>
          <w:szCs w:val="32"/>
        </w:rPr>
        <w:t>克拉玛依校区</w:t>
      </w:r>
      <w:r>
        <w:rPr>
          <w:rFonts w:ascii="黑体" w:hAnsi="黑体" w:eastAsia="黑体"/>
          <w:b/>
          <w:bCs/>
          <w:sz w:val="32"/>
          <w:szCs w:val="32"/>
        </w:rPr>
        <w:t>监考职责</w:t>
      </w:r>
    </w:p>
    <w:p w14:paraId="10F0E394">
      <w:pPr>
        <w:spacing w:line="38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一）任课教师作为主考教师，主持本考场的考试，负责考场全面工作；主持多个考场考试的，应在各考场巡查主持考试。监考员应熟悉监考业务，执行考场规则和监考工作程序，如实记录考试情况，履行监考职责，维护考场秩序，保证考试正常进行。</w:t>
      </w:r>
    </w:p>
    <w:p w14:paraId="526DC70E">
      <w:pPr>
        <w:spacing w:line="38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（二）监考员应在开考前15分钟到达考场，主考教师应在开考前15分钟将试卷送达考场。</w:t>
      </w:r>
    </w:p>
    <w:p w14:paraId="4948A28A">
      <w:pPr>
        <w:spacing w:line="38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三）指挥考生将与考试无关的物品（如书本、稿纸、资料、手机等）集中放在讲台等指定位置；督促学生清理桌面及桌斗，保证考生桌面、桌斗和座位附近没有与考试相关的物品和文字印记；检查清场情况。根据考场座位分布安排考生入座，指挥考生将学生证或学生卡放在桌面左上（右上）角以便核验。</w:t>
      </w:r>
    </w:p>
    <w:p w14:paraId="786AD538">
      <w:pPr>
        <w:spacing w:line="38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四）开考前5分钟，对考生进行考风考纪教育，宣读考场规则，宣布考试注意事项。到规定的开考时间，方可发放试卷（发放试卷的时间包含在考试时间内）。开考15分钟后，迟到的考生不得允许进入考场参加考试，按旷考处理；开考30分钟后方可允许考生交卷离开考场。</w:t>
      </w:r>
    </w:p>
    <w:p w14:paraId="6E960705">
      <w:pPr>
        <w:spacing w:line="38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（五）监考员应在开考后30分钟内逐一核验考生证件，保证人、证相符，核对考生填写的身份信息与证件一致；逐一核对考生名单，登记缺考考生。</w:t>
      </w:r>
    </w:p>
    <w:p w14:paraId="0621783B">
      <w:pPr>
        <w:spacing w:line="38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六）监督考生按规定答卷，制止违纪和作弊行为。发现考生有违纪行为的，应及时制止。有作弊行为的，应立即没收其试卷及作弊材料，终止其考试，令其退出考场；在考场记录表中如实填写违纪和作弊事件经过，要求考生签字。如考场有违纪、作弊等行为，主考教师须于考试结束后第一时间报开课学院教学秘书和教务部。</w:t>
      </w:r>
    </w:p>
    <w:p w14:paraId="0763D5A9">
      <w:pPr>
        <w:spacing w:line="38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七）不擅离职守，不做与监考无关和影响考生答卷的事情（如吸烟、打瞌睡、阅读书报、聊天、抄题、做题、念题、查看和拨打手机、查看电子产品等，不能无故就座）。不检查、不暗示考生答题，不得擅自提前或拖延考试时间。</w:t>
      </w:r>
    </w:p>
    <w:p w14:paraId="201BBEB7">
      <w:pPr>
        <w:spacing w:line="38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八）考试时间结束后，立即令考生停止答题，要求考生将试卷整理好后扣放在桌面上，收取试卷或要求考生将试卷交到指定位置，核查无误后方可允许考生离开考场。对于不听劝阻继续答卷的考生，应立即没收其试卷，按考试违纪处理。收完试卷后应当场清点，保证实收试卷份数和实际考试人数相符，防止考生不交试卷或将试卷带出考场。</w:t>
      </w:r>
    </w:p>
    <w:p w14:paraId="2F628420">
      <w:pPr>
        <w:spacing w:line="380" w:lineRule="exact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（九）如实填写考场记录表，考试结束后连同考生试卷等材料交主考教师。</w:t>
      </w:r>
    </w:p>
    <w:p w14:paraId="38EE06B9">
      <w:pPr>
        <w:spacing w:line="380" w:lineRule="exact"/>
        <w:ind w:firstLine="560" w:firstLineChars="200"/>
        <w:rPr>
          <w:rFonts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十）对于考生的违纪和作弊行为，监考员因履行监考职责不当未发现的，或发现后未制止或未处理甚至纵容的，如通过其他途径发现后，对监考员按教学事故处理（监考员认真履行监考职责的，不作为教学事故）。</w:t>
      </w:r>
      <w:r>
        <w:rPr>
          <w:rFonts w:ascii="仿宋" w:hAnsi="仿宋" w:eastAsia="仿宋" w:cs="仿宋"/>
          <w:bCs/>
          <w:sz w:val="24"/>
          <w:szCs w:val="24"/>
        </w:rPr>
        <w:br w:type="page"/>
      </w:r>
    </w:p>
    <w:p w14:paraId="393167BC">
      <w:pPr>
        <w:widowControl/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中国石油大学</w:t>
      </w:r>
      <w:r>
        <w:rPr>
          <w:rFonts w:ascii="黑体" w:hAnsi="黑体" w:eastAsia="黑体"/>
          <w:b/>
          <w:bCs/>
          <w:sz w:val="32"/>
          <w:szCs w:val="32"/>
        </w:rPr>
        <w:t>（</w:t>
      </w:r>
      <w:r>
        <w:rPr>
          <w:rFonts w:hint="eastAsia" w:ascii="黑体" w:hAnsi="黑体" w:eastAsia="黑体"/>
          <w:b/>
          <w:bCs/>
          <w:sz w:val="32"/>
          <w:szCs w:val="32"/>
        </w:rPr>
        <w:t>北京</w:t>
      </w:r>
      <w:r>
        <w:rPr>
          <w:rFonts w:ascii="黑体" w:hAnsi="黑体" w:eastAsia="黑体"/>
          <w:b/>
          <w:bCs/>
          <w:sz w:val="32"/>
          <w:szCs w:val="32"/>
        </w:rPr>
        <w:t>）</w:t>
      </w:r>
      <w:r>
        <w:rPr>
          <w:rFonts w:hint="eastAsia" w:ascii="黑体" w:hAnsi="黑体" w:eastAsia="黑体"/>
          <w:b/>
          <w:bCs/>
          <w:sz w:val="32"/>
          <w:szCs w:val="32"/>
        </w:rPr>
        <w:t>克拉玛依校区</w:t>
      </w:r>
      <w:r>
        <w:rPr>
          <w:rFonts w:ascii="黑体" w:hAnsi="黑体" w:eastAsia="黑体"/>
          <w:b/>
          <w:bCs/>
          <w:sz w:val="32"/>
          <w:szCs w:val="32"/>
        </w:rPr>
        <w:t>本科监考工作程序</w:t>
      </w:r>
    </w:p>
    <w:tbl>
      <w:tblPr>
        <w:tblStyle w:val="5"/>
        <w:tblW w:w="10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7"/>
        <w:gridCol w:w="4157"/>
        <w:gridCol w:w="3879"/>
      </w:tblGrid>
      <w:tr w14:paraId="2345B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tblHeader/>
          <w:jc w:val="center"/>
        </w:trPr>
        <w:tc>
          <w:tcPr>
            <w:tcW w:w="20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33DDB">
            <w:pPr>
              <w:adjustRightInd w:val="0"/>
              <w:snapToGrid w:val="0"/>
              <w:spacing w:line="300" w:lineRule="auto"/>
              <w:ind w:right="-76" w:rightChars="-36"/>
              <w:jc w:val="center"/>
              <w:rPr>
                <w:rFonts w:ascii="仿宋" w:hAnsi="仿宋" w:eastAsia="仿宋" w:cs="宋体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时间</w:t>
            </w:r>
          </w:p>
        </w:tc>
        <w:tc>
          <w:tcPr>
            <w:tcW w:w="41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BD5A2">
            <w:pPr>
              <w:adjustRightInd w:val="0"/>
              <w:snapToGrid w:val="0"/>
              <w:spacing w:line="300" w:lineRule="auto"/>
              <w:ind w:right="-76" w:rightChars="-36"/>
              <w:jc w:val="center"/>
              <w:rPr>
                <w:rFonts w:ascii="仿宋" w:hAnsi="仿宋" w:eastAsia="仿宋" w:cs="宋体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主考教师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41C11">
            <w:pPr>
              <w:adjustRightInd w:val="0"/>
              <w:snapToGrid w:val="0"/>
              <w:spacing w:line="300" w:lineRule="auto"/>
              <w:ind w:right="-76" w:rightChars="-36"/>
              <w:jc w:val="center"/>
              <w:rPr>
                <w:rFonts w:ascii="仿宋" w:hAnsi="仿宋" w:eastAsia="仿宋" w:cs="宋体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sz w:val="24"/>
                <w:szCs w:val="24"/>
              </w:rPr>
              <w:t>监考教师</w:t>
            </w:r>
          </w:p>
        </w:tc>
      </w:tr>
      <w:tr w14:paraId="76771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  <w:jc w:val="center"/>
        </w:trPr>
        <w:tc>
          <w:tcPr>
            <w:tcW w:w="20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D36FC">
            <w:pPr>
              <w:adjustRightInd w:val="0"/>
              <w:snapToGrid w:val="0"/>
              <w:ind w:right="-76" w:rightChars="-36"/>
              <w:jc w:val="center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进考场前</w:t>
            </w:r>
          </w:p>
        </w:tc>
        <w:tc>
          <w:tcPr>
            <w:tcW w:w="80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C8B29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熟悉主考、监考职责、考场规则，掌握考试时间、地点、班级、人数</w:t>
            </w:r>
          </w:p>
        </w:tc>
      </w:tr>
      <w:tr w14:paraId="4E5E0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20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AEF18">
            <w:pPr>
              <w:adjustRightInd w:val="0"/>
              <w:snapToGrid w:val="0"/>
              <w:ind w:right="-76" w:rightChars="-36"/>
              <w:jc w:val="center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开考前15分钟</w:t>
            </w:r>
          </w:p>
        </w:tc>
        <w:tc>
          <w:tcPr>
            <w:tcW w:w="80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0575D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进考场，主考教师将试卷送达各考场</w:t>
            </w:r>
          </w:p>
        </w:tc>
      </w:tr>
      <w:tr w14:paraId="2D642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8" w:hRule="atLeast"/>
          <w:jc w:val="center"/>
        </w:trPr>
        <w:tc>
          <w:tcPr>
            <w:tcW w:w="20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5BD3F">
            <w:pPr>
              <w:adjustRightInd w:val="0"/>
              <w:snapToGrid w:val="0"/>
              <w:ind w:right="-76" w:rightChars="-36"/>
              <w:jc w:val="center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开考前</w:t>
            </w:r>
          </w:p>
          <w:p w14:paraId="2CB4EC6F">
            <w:pPr>
              <w:adjustRightInd w:val="0"/>
              <w:snapToGrid w:val="0"/>
              <w:ind w:right="-76" w:rightChars="-36"/>
              <w:jc w:val="center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15～5分钟</w:t>
            </w:r>
          </w:p>
        </w:tc>
        <w:tc>
          <w:tcPr>
            <w:tcW w:w="41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B38C6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协助监考教师安排学生入座、清场、分试卷等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5DE2E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1.清场：指挥考生将与考试无关的物品（如书本、稿纸、资料、手机等）集中放在讲台等指定位置，保证考生座位附近没有与考试相关的物品</w:t>
            </w:r>
          </w:p>
          <w:p w14:paraId="1D43116A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2.根据考场座位分布安排考生入座，指挥考生将学生证或学生卡放在桌面左上（右上）角</w:t>
            </w:r>
          </w:p>
          <w:p w14:paraId="23271A6C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3.根据每列人数按A、B（或C、D）卷顺序分好试卷</w:t>
            </w:r>
          </w:p>
        </w:tc>
      </w:tr>
      <w:tr w14:paraId="2EE46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20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207DD">
            <w:pPr>
              <w:adjustRightInd w:val="0"/>
              <w:snapToGrid w:val="0"/>
              <w:ind w:right="-76" w:rightChars="-36"/>
              <w:jc w:val="center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开考前5分钟</w:t>
            </w:r>
          </w:p>
        </w:tc>
        <w:tc>
          <w:tcPr>
            <w:tcW w:w="41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4E75A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7EB59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宣读考场规则</w:t>
            </w:r>
          </w:p>
        </w:tc>
      </w:tr>
      <w:tr w14:paraId="4DE45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  <w:jc w:val="center"/>
        </w:trPr>
        <w:tc>
          <w:tcPr>
            <w:tcW w:w="20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B22E0">
            <w:pPr>
              <w:adjustRightInd w:val="0"/>
              <w:snapToGrid w:val="0"/>
              <w:ind w:right="-76" w:rightChars="-36"/>
              <w:jc w:val="center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考试开始</w:t>
            </w:r>
          </w:p>
        </w:tc>
        <w:tc>
          <w:tcPr>
            <w:tcW w:w="80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716BF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按Z字型发放A、B（或C、D）试卷：第1列按A（C）、B（D）、A（C）、B（D）……顺序发放，相邻列按B（D）、A（C）、B（D）、A（C）……顺序发放</w:t>
            </w:r>
          </w:p>
        </w:tc>
      </w:tr>
      <w:tr w14:paraId="61D83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20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6DB63">
            <w:pPr>
              <w:adjustRightInd w:val="0"/>
              <w:snapToGrid w:val="0"/>
              <w:ind w:right="-76" w:rightChars="-36"/>
              <w:jc w:val="center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开考后15分钟</w:t>
            </w:r>
          </w:p>
        </w:tc>
        <w:tc>
          <w:tcPr>
            <w:tcW w:w="80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F5637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不允许迟到考生入场</w:t>
            </w:r>
          </w:p>
        </w:tc>
      </w:tr>
      <w:tr w14:paraId="0130C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exact"/>
          <w:jc w:val="center"/>
        </w:trPr>
        <w:tc>
          <w:tcPr>
            <w:tcW w:w="20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A65C6">
            <w:pPr>
              <w:adjustRightInd w:val="0"/>
              <w:snapToGrid w:val="0"/>
              <w:ind w:right="-76" w:rightChars="-36"/>
              <w:jc w:val="center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开考后30分钟内</w:t>
            </w:r>
          </w:p>
        </w:tc>
        <w:tc>
          <w:tcPr>
            <w:tcW w:w="80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68544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督促考生在试卷上填写姓名、学号等信息；逐一核验考生证件，确保人、证相符；逐一核对考生名单，在考场记录表上登记缺考考生</w:t>
            </w:r>
          </w:p>
        </w:tc>
      </w:tr>
      <w:tr w14:paraId="33256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6" w:hRule="atLeast"/>
          <w:jc w:val="center"/>
        </w:trPr>
        <w:tc>
          <w:tcPr>
            <w:tcW w:w="20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66691">
            <w:pPr>
              <w:adjustRightInd w:val="0"/>
              <w:snapToGrid w:val="0"/>
              <w:ind w:right="-76" w:rightChars="-36"/>
              <w:jc w:val="center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考试</w:t>
            </w:r>
          </w:p>
          <w:p w14:paraId="3EE46A92">
            <w:pPr>
              <w:adjustRightInd w:val="0"/>
              <w:snapToGrid w:val="0"/>
              <w:ind w:right="-76" w:rightChars="-36"/>
              <w:jc w:val="center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期间</w:t>
            </w:r>
          </w:p>
        </w:tc>
        <w:tc>
          <w:tcPr>
            <w:tcW w:w="41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EB98A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1.巡视和监考主持考试的考场</w:t>
            </w:r>
          </w:p>
          <w:p w14:paraId="3EF759EF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2.复核实际考试人数</w:t>
            </w:r>
          </w:p>
          <w:p w14:paraId="3F6D3C35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3.复核实际发放试卷份数</w:t>
            </w:r>
          </w:p>
          <w:p w14:paraId="3D0E39D4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4.解答试卷有关问题</w:t>
            </w:r>
          </w:p>
          <w:p w14:paraId="292E6672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5.监督考生按规定答卷，制止违纪和作弊行为。发现考生有违纪行为的，应及时制止。有作弊行为的，应立即没收其试卷及作弊材料，终止其考试，令其退出考场。在考场记录表中如实填写违纪和作弊事件经过，要求考生签字</w:t>
            </w:r>
          </w:p>
          <w:p w14:paraId="3E01BCAB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6.巡视考场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9CC48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1.在考场记录表上如实填写有关信息</w:t>
            </w:r>
          </w:p>
          <w:p w14:paraId="7FED445D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2.发现违纪和作弊行为，及时制止，向主考汇报，协助主考如实填写违纪和作弊事件经过</w:t>
            </w:r>
          </w:p>
          <w:p w14:paraId="232A33C6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3.巡视考场</w:t>
            </w:r>
          </w:p>
        </w:tc>
      </w:tr>
      <w:tr w14:paraId="2FC80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3" w:hRule="atLeast"/>
          <w:jc w:val="center"/>
        </w:trPr>
        <w:tc>
          <w:tcPr>
            <w:tcW w:w="20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A6E0C">
            <w:pPr>
              <w:adjustRightInd w:val="0"/>
              <w:snapToGrid w:val="0"/>
              <w:ind w:right="-76" w:rightChars="-36"/>
              <w:jc w:val="center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考试</w:t>
            </w:r>
          </w:p>
          <w:p w14:paraId="55B11217">
            <w:pPr>
              <w:adjustRightInd w:val="0"/>
              <w:snapToGrid w:val="0"/>
              <w:ind w:right="-76" w:rightChars="-36"/>
              <w:jc w:val="center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结束</w:t>
            </w:r>
          </w:p>
        </w:tc>
        <w:tc>
          <w:tcPr>
            <w:tcW w:w="415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72C7D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1.复核监考教师实收的试卷份数，并与实际考试人数核对</w:t>
            </w:r>
          </w:p>
          <w:p w14:paraId="4F31A802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2.如考场有违纪、作弊等行为，考试结束后第一时间报开课学院教学秘书和教务部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01DB7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1.令考生停止答卷，要求考生将试卷整理好后扣放在桌面上</w:t>
            </w:r>
          </w:p>
          <w:p w14:paraId="0810E5BA">
            <w:pPr>
              <w:adjustRightInd w:val="0"/>
              <w:snapToGrid w:val="0"/>
              <w:ind w:right="-76" w:rightChars="-36"/>
              <w:rPr>
                <w:rFonts w:ascii="仿宋" w:hAnsi="仿宋" w:eastAsia="仿宋" w:cs="宋体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  <w:szCs w:val="24"/>
              </w:rPr>
              <w:t>2.收取试卷，清点实收试卷份数，并与实际考试人数核对，将试卷和考场记录表交主考教师</w:t>
            </w:r>
          </w:p>
        </w:tc>
      </w:tr>
    </w:tbl>
    <w:p w14:paraId="5708BEC3">
      <w:pPr>
        <w:rPr>
          <w:rFonts w:hint="eastAsia" w:eastAsiaTheme="minorEastAsia"/>
          <w:lang w:val="en-US" w:eastAsia="zh-CN"/>
        </w:rPr>
        <w:sectPr>
          <w:pgSz w:w="11906" w:h="16838"/>
          <w:pgMar w:top="1043" w:right="1293" w:bottom="1043" w:left="1293" w:header="851" w:footer="992" w:gutter="0"/>
          <w:cols w:space="425" w:num="1"/>
          <w:docGrid w:type="lines" w:linePitch="312" w:charSpace="0"/>
        </w:sectPr>
      </w:pPr>
    </w:p>
    <w:p w14:paraId="28111780">
      <w:pPr>
        <w:spacing w:line="360" w:lineRule="auto"/>
        <w:ind w:right="34"/>
        <w:jc w:val="center"/>
        <w:textAlignment w:val="baseline"/>
        <w:rPr>
          <w:rFonts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sz w:val="32"/>
          <w:szCs w:val="32"/>
        </w:rPr>
        <w:t>考场安排示意图（采用A、B卷考试）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238"/>
        <w:gridCol w:w="1238"/>
        <w:gridCol w:w="1238"/>
        <w:gridCol w:w="1239"/>
        <w:gridCol w:w="1239"/>
        <w:gridCol w:w="1239"/>
      </w:tblGrid>
      <w:tr w14:paraId="36A5F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32BF4AB0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A</w:t>
            </w:r>
          </w:p>
        </w:tc>
        <w:tc>
          <w:tcPr>
            <w:tcW w:w="1238" w:type="dxa"/>
            <w:vAlign w:val="center"/>
          </w:tcPr>
          <w:p w14:paraId="6FA11CD3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12DBB128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B</w:t>
            </w:r>
          </w:p>
        </w:tc>
        <w:tc>
          <w:tcPr>
            <w:tcW w:w="1238" w:type="dxa"/>
            <w:vAlign w:val="center"/>
          </w:tcPr>
          <w:p w14:paraId="11281198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4937A153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A</w:t>
            </w:r>
          </w:p>
        </w:tc>
        <w:tc>
          <w:tcPr>
            <w:tcW w:w="1239" w:type="dxa"/>
            <w:vAlign w:val="center"/>
          </w:tcPr>
          <w:p w14:paraId="7634D453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63C278EC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B</w:t>
            </w:r>
          </w:p>
        </w:tc>
      </w:tr>
      <w:tr w14:paraId="483CB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171552A8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B</w:t>
            </w:r>
          </w:p>
        </w:tc>
        <w:tc>
          <w:tcPr>
            <w:tcW w:w="1238" w:type="dxa"/>
            <w:vAlign w:val="center"/>
          </w:tcPr>
          <w:p w14:paraId="2810B5BF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24193B80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A</w:t>
            </w:r>
          </w:p>
        </w:tc>
        <w:tc>
          <w:tcPr>
            <w:tcW w:w="1238" w:type="dxa"/>
            <w:vAlign w:val="center"/>
          </w:tcPr>
          <w:p w14:paraId="770C728A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33931E8E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B</w:t>
            </w:r>
          </w:p>
        </w:tc>
        <w:tc>
          <w:tcPr>
            <w:tcW w:w="1239" w:type="dxa"/>
            <w:vAlign w:val="center"/>
          </w:tcPr>
          <w:p w14:paraId="2E080255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044E3B11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A</w:t>
            </w:r>
          </w:p>
        </w:tc>
      </w:tr>
      <w:tr w14:paraId="470F2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5CB43AF1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A</w:t>
            </w:r>
          </w:p>
        </w:tc>
        <w:tc>
          <w:tcPr>
            <w:tcW w:w="1238" w:type="dxa"/>
            <w:vAlign w:val="center"/>
          </w:tcPr>
          <w:p w14:paraId="09460499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5E2B1B46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B</w:t>
            </w:r>
          </w:p>
        </w:tc>
        <w:tc>
          <w:tcPr>
            <w:tcW w:w="1238" w:type="dxa"/>
            <w:vAlign w:val="center"/>
          </w:tcPr>
          <w:p w14:paraId="36C24763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56397D93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A</w:t>
            </w:r>
          </w:p>
        </w:tc>
        <w:tc>
          <w:tcPr>
            <w:tcW w:w="1239" w:type="dxa"/>
            <w:vAlign w:val="center"/>
          </w:tcPr>
          <w:p w14:paraId="76935DB8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0E7F5C93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B</w:t>
            </w:r>
          </w:p>
        </w:tc>
      </w:tr>
      <w:tr w14:paraId="1876E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2BAF5346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B</w:t>
            </w:r>
          </w:p>
        </w:tc>
        <w:tc>
          <w:tcPr>
            <w:tcW w:w="1238" w:type="dxa"/>
            <w:vAlign w:val="center"/>
          </w:tcPr>
          <w:p w14:paraId="001A6D0A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10D5CC7D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A</w:t>
            </w:r>
          </w:p>
        </w:tc>
        <w:tc>
          <w:tcPr>
            <w:tcW w:w="1238" w:type="dxa"/>
            <w:vAlign w:val="center"/>
          </w:tcPr>
          <w:p w14:paraId="75127F32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61A69AAD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B</w:t>
            </w:r>
          </w:p>
        </w:tc>
        <w:tc>
          <w:tcPr>
            <w:tcW w:w="1239" w:type="dxa"/>
            <w:vAlign w:val="center"/>
          </w:tcPr>
          <w:p w14:paraId="4F88D875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4FE4D2C6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A</w:t>
            </w:r>
          </w:p>
        </w:tc>
      </w:tr>
      <w:tr w14:paraId="35D61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23972D03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A</w:t>
            </w:r>
          </w:p>
        </w:tc>
        <w:tc>
          <w:tcPr>
            <w:tcW w:w="1238" w:type="dxa"/>
            <w:vAlign w:val="center"/>
          </w:tcPr>
          <w:p w14:paraId="79A69AD6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078F0047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B</w:t>
            </w:r>
          </w:p>
        </w:tc>
        <w:tc>
          <w:tcPr>
            <w:tcW w:w="1238" w:type="dxa"/>
            <w:vAlign w:val="center"/>
          </w:tcPr>
          <w:p w14:paraId="140A5313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6B21CAFA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A</w:t>
            </w:r>
          </w:p>
        </w:tc>
        <w:tc>
          <w:tcPr>
            <w:tcW w:w="1239" w:type="dxa"/>
            <w:vAlign w:val="center"/>
          </w:tcPr>
          <w:p w14:paraId="0A74D92D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3FBC4CAB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B</w:t>
            </w:r>
          </w:p>
        </w:tc>
      </w:tr>
      <w:tr w14:paraId="431D2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70D33303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B</w:t>
            </w:r>
          </w:p>
        </w:tc>
        <w:tc>
          <w:tcPr>
            <w:tcW w:w="1238" w:type="dxa"/>
            <w:vAlign w:val="center"/>
          </w:tcPr>
          <w:p w14:paraId="7158E589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7A6AA4E3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A</w:t>
            </w:r>
          </w:p>
        </w:tc>
        <w:tc>
          <w:tcPr>
            <w:tcW w:w="1238" w:type="dxa"/>
            <w:vAlign w:val="center"/>
          </w:tcPr>
          <w:p w14:paraId="68449CDC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2B42A2A1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B</w:t>
            </w:r>
          </w:p>
        </w:tc>
        <w:tc>
          <w:tcPr>
            <w:tcW w:w="1239" w:type="dxa"/>
            <w:vAlign w:val="center"/>
          </w:tcPr>
          <w:p w14:paraId="3665B3E2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76B2C42F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A</w:t>
            </w:r>
          </w:p>
        </w:tc>
      </w:tr>
      <w:tr w14:paraId="24F9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51345971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8" w:type="dxa"/>
            <w:vAlign w:val="center"/>
          </w:tcPr>
          <w:p w14:paraId="60582C80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31B00C48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8" w:type="dxa"/>
            <w:vAlign w:val="center"/>
          </w:tcPr>
          <w:p w14:paraId="49D40192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654D0897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9" w:type="dxa"/>
            <w:vAlign w:val="center"/>
          </w:tcPr>
          <w:p w14:paraId="574F7ECB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1FC007D7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</w:tr>
      <w:tr w14:paraId="5169F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1554B51E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8" w:type="dxa"/>
            <w:vAlign w:val="center"/>
          </w:tcPr>
          <w:p w14:paraId="6DB4FB64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531D0DB5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8" w:type="dxa"/>
            <w:vAlign w:val="center"/>
          </w:tcPr>
          <w:p w14:paraId="1CA3C5A1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51E1620B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9" w:type="dxa"/>
            <w:vAlign w:val="center"/>
          </w:tcPr>
          <w:p w14:paraId="4E7B0E72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61E60C12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</w:tr>
      <w:tr w14:paraId="69D61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68D64DF5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8" w:type="dxa"/>
            <w:vAlign w:val="center"/>
          </w:tcPr>
          <w:p w14:paraId="0079A053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55084E58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8" w:type="dxa"/>
            <w:vAlign w:val="center"/>
          </w:tcPr>
          <w:p w14:paraId="3AB256AB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66B3B51C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9" w:type="dxa"/>
            <w:vAlign w:val="center"/>
          </w:tcPr>
          <w:p w14:paraId="1737EEF5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57D6E32D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</w:tr>
    </w:tbl>
    <w:p w14:paraId="2A2E25A7">
      <w:pPr>
        <w:rPr>
          <w:rFonts w:hint="eastAsia" w:eastAsiaTheme="minorEastAsia"/>
          <w:lang w:val="en-US" w:eastAsia="zh-CN"/>
        </w:rPr>
      </w:pPr>
    </w:p>
    <w:p w14:paraId="1F00E3D2">
      <w:pPr>
        <w:rPr>
          <w:rFonts w:hint="eastAsia" w:eastAsiaTheme="minorEastAsia"/>
          <w:lang w:val="en-US" w:eastAsia="zh-CN"/>
        </w:rPr>
      </w:pPr>
    </w:p>
    <w:p w14:paraId="57BB9800">
      <w:pPr>
        <w:rPr>
          <w:rFonts w:hint="eastAsia" w:eastAsiaTheme="minorEastAsia"/>
          <w:lang w:val="en-US" w:eastAsia="zh-CN"/>
        </w:rPr>
      </w:pPr>
    </w:p>
    <w:p w14:paraId="0A3B2EDF">
      <w:pPr>
        <w:spacing w:line="360" w:lineRule="auto"/>
        <w:ind w:right="34"/>
        <w:jc w:val="center"/>
        <w:textAlignment w:val="baseline"/>
        <w:rPr>
          <w:rFonts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sz w:val="32"/>
          <w:szCs w:val="32"/>
        </w:rPr>
        <w:t>考场安排示意图（采用</w:t>
      </w:r>
      <w:r>
        <w:rPr>
          <w:rFonts w:hint="eastAsia" w:ascii="黑体" w:hAnsi="黑体" w:eastAsia="黑体" w:cs="Times New Roman"/>
          <w:b/>
          <w:sz w:val="32"/>
          <w:szCs w:val="32"/>
          <w:lang w:val="en-US" w:eastAsia="zh-CN"/>
        </w:rPr>
        <w:t>C</w:t>
      </w:r>
      <w:r>
        <w:rPr>
          <w:rFonts w:hint="eastAsia" w:ascii="黑体" w:hAnsi="黑体" w:eastAsia="黑体" w:cs="Times New Roman"/>
          <w:b/>
          <w:sz w:val="32"/>
          <w:szCs w:val="32"/>
        </w:rPr>
        <w:t>、</w:t>
      </w:r>
      <w:r>
        <w:rPr>
          <w:rFonts w:hint="eastAsia" w:ascii="黑体" w:hAnsi="黑体" w:eastAsia="黑体" w:cs="Times New Roman"/>
          <w:b/>
          <w:sz w:val="32"/>
          <w:szCs w:val="32"/>
          <w:lang w:val="en-US" w:eastAsia="zh-CN"/>
        </w:rPr>
        <w:t>D</w:t>
      </w:r>
      <w:r>
        <w:rPr>
          <w:rFonts w:hint="eastAsia" w:ascii="黑体" w:hAnsi="黑体" w:eastAsia="黑体" w:cs="Times New Roman"/>
          <w:b/>
          <w:sz w:val="32"/>
          <w:szCs w:val="32"/>
        </w:rPr>
        <w:t>卷考试）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238"/>
        <w:gridCol w:w="1238"/>
        <w:gridCol w:w="1238"/>
        <w:gridCol w:w="1239"/>
        <w:gridCol w:w="1239"/>
        <w:gridCol w:w="1239"/>
      </w:tblGrid>
      <w:tr w14:paraId="1EF2F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0993E022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C</w:t>
            </w:r>
          </w:p>
        </w:tc>
        <w:tc>
          <w:tcPr>
            <w:tcW w:w="1238" w:type="dxa"/>
            <w:vAlign w:val="center"/>
          </w:tcPr>
          <w:p w14:paraId="3CBA8C89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099B9430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D</w:t>
            </w:r>
          </w:p>
        </w:tc>
        <w:tc>
          <w:tcPr>
            <w:tcW w:w="1238" w:type="dxa"/>
            <w:vAlign w:val="center"/>
          </w:tcPr>
          <w:p w14:paraId="7CB762D8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02A0F3DB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C</w:t>
            </w:r>
          </w:p>
        </w:tc>
        <w:tc>
          <w:tcPr>
            <w:tcW w:w="1239" w:type="dxa"/>
            <w:vAlign w:val="center"/>
          </w:tcPr>
          <w:p w14:paraId="57A43B71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0DAA80C4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D</w:t>
            </w:r>
          </w:p>
        </w:tc>
      </w:tr>
      <w:tr w14:paraId="0488D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33D5ECA4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D</w:t>
            </w:r>
          </w:p>
        </w:tc>
        <w:tc>
          <w:tcPr>
            <w:tcW w:w="1238" w:type="dxa"/>
            <w:vAlign w:val="center"/>
          </w:tcPr>
          <w:p w14:paraId="6E073D7C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58DAA94A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C</w:t>
            </w:r>
          </w:p>
        </w:tc>
        <w:tc>
          <w:tcPr>
            <w:tcW w:w="1238" w:type="dxa"/>
            <w:vAlign w:val="center"/>
          </w:tcPr>
          <w:p w14:paraId="67A3F4D9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668A166E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D</w:t>
            </w:r>
          </w:p>
        </w:tc>
        <w:tc>
          <w:tcPr>
            <w:tcW w:w="1239" w:type="dxa"/>
            <w:vAlign w:val="center"/>
          </w:tcPr>
          <w:p w14:paraId="43EDB55E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2144D3CE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C</w:t>
            </w:r>
          </w:p>
        </w:tc>
      </w:tr>
      <w:tr w14:paraId="756D3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7E0C94DD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C</w:t>
            </w:r>
          </w:p>
        </w:tc>
        <w:tc>
          <w:tcPr>
            <w:tcW w:w="1238" w:type="dxa"/>
            <w:vAlign w:val="center"/>
          </w:tcPr>
          <w:p w14:paraId="6ECECE4A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7022BDF9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D</w:t>
            </w:r>
          </w:p>
        </w:tc>
        <w:tc>
          <w:tcPr>
            <w:tcW w:w="1238" w:type="dxa"/>
            <w:vAlign w:val="center"/>
          </w:tcPr>
          <w:p w14:paraId="4C8E0FE9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0DA63145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C</w:t>
            </w:r>
          </w:p>
        </w:tc>
        <w:tc>
          <w:tcPr>
            <w:tcW w:w="1239" w:type="dxa"/>
            <w:vAlign w:val="center"/>
          </w:tcPr>
          <w:p w14:paraId="201E732E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4DFD8025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D</w:t>
            </w:r>
          </w:p>
        </w:tc>
      </w:tr>
      <w:tr w14:paraId="1D469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082E86C5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D</w:t>
            </w:r>
          </w:p>
        </w:tc>
        <w:tc>
          <w:tcPr>
            <w:tcW w:w="1238" w:type="dxa"/>
            <w:vAlign w:val="center"/>
          </w:tcPr>
          <w:p w14:paraId="479A272B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27F8F033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C</w:t>
            </w:r>
          </w:p>
        </w:tc>
        <w:tc>
          <w:tcPr>
            <w:tcW w:w="1238" w:type="dxa"/>
            <w:vAlign w:val="center"/>
          </w:tcPr>
          <w:p w14:paraId="5A7CC564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4814C747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D</w:t>
            </w:r>
          </w:p>
        </w:tc>
        <w:tc>
          <w:tcPr>
            <w:tcW w:w="1239" w:type="dxa"/>
            <w:vAlign w:val="center"/>
          </w:tcPr>
          <w:p w14:paraId="334D32CA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4E668886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C</w:t>
            </w:r>
          </w:p>
        </w:tc>
      </w:tr>
      <w:tr w14:paraId="12309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0461D6EB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C</w:t>
            </w:r>
          </w:p>
        </w:tc>
        <w:tc>
          <w:tcPr>
            <w:tcW w:w="1238" w:type="dxa"/>
            <w:vAlign w:val="center"/>
          </w:tcPr>
          <w:p w14:paraId="00695A4F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30BB8670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D</w:t>
            </w:r>
          </w:p>
        </w:tc>
        <w:tc>
          <w:tcPr>
            <w:tcW w:w="1238" w:type="dxa"/>
            <w:vAlign w:val="center"/>
          </w:tcPr>
          <w:p w14:paraId="7C925C62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6CF1F9D3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C</w:t>
            </w:r>
          </w:p>
        </w:tc>
        <w:tc>
          <w:tcPr>
            <w:tcW w:w="1239" w:type="dxa"/>
            <w:vAlign w:val="center"/>
          </w:tcPr>
          <w:p w14:paraId="3EEA3396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54A1FE33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D</w:t>
            </w:r>
          </w:p>
        </w:tc>
      </w:tr>
      <w:tr w14:paraId="52E1B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6B21FEA7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D</w:t>
            </w:r>
          </w:p>
        </w:tc>
        <w:tc>
          <w:tcPr>
            <w:tcW w:w="1238" w:type="dxa"/>
            <w:vAlign w:val="center"/>
          </w:tcPr>
          <w:p w14:paraId="7ED98461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2F09130C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C</w:t>
            </w:r>
          </w:p>
        </w:tc>
        <w:tc>
          <w:tcPr>
            <w:tcW w:w="1238" w:type="dxa"/>
            <w:vAlign w:val="center"/>
          </w:tcPr>
          <w:p w14:paraId="76D9B838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2FDED17D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D</w:t>
            </w:r>
            <w:bookmarkStart w:id="0" w:name="_GoBack"/>
            <w:bookmarkEnd w:id="0"/>
          </w:p>
        </w:tc>
        <w:tc>
          <w:tcPr>
            <w:tcW w:w="1239" w:type="dxa"/>
            <w:vAlign w:val="center"/>
          </w:tcPr>
          <w:p w14:paraId="51BD62D0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1F70C6C9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Cs w:val="21"/>
                <w:lang w:eastAsia="zh-CN"/>
              </w:rPr>
              <w:t>C</w:t>
            </w:r>
          </w:p>
        </w:tc>
      </w:tr>
      <w:tr w14:paraId="43727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172F7A9A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8" w:type="dxa"/>
            <w:vAlign w:val="center"/>
          </w:tcPr>
          <w:p w14:paraId="7A9F3A15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6D807D89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8" w:type="dxa"/>
            <w:vAlign w:val="center"/>
          </w:tcPr>
          <w:p w14:paraId="76703D19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22806B1A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9" w:type="dxa"/>
            <w:vAlign w:val="center"/>
          </w:tcPr>
          <w:p w14:paraId="330EA9EE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3E0718F1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</w:tr>
      <w:tr w14:paraId="40EF2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5241DF65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8" w:type="dxa"/>
            <w:vAlign w:val="center"/>
          </w:tcPr>
          <w:p w14:paraId="58E645C8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614874BB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8" w:type="dxa"/>
            <w:vAlign w:val="center"/>
          </w:tcPr>
          <w:p w14:paraId="69E3E708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61DA7677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9" w:type="dxa"/>
            <w:vAlign w:val="center"/>
          </w:tcPr>
          <w:p w14:paraId="32912230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7A9AE098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</w:tr>
      <w:tr w14:paraId="43077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38" w:type="dxa"/>
            <w:vAlign w:val="center"/>
          </w:tcPr>
          <w:p w14:paraId="198D907C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8" w:type="dxa"/>
            <w:vAlign w:val="center"/>
          </w:tcPr>
          <w:p w14:paraId="231F50E4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8" w:type="dxa"/>
            <w:vAlign w:val="center"/>
          </w:tcPr>
          <w:p w14:paraId="0241D546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8" w:type="dxa"/>
            <w:vAlign w:val="center"/>
          </w:tcPr>
          <w:p w14:paraId="2F676A02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62FB7085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  <w:tc>
          <w:tcPr>
            <w:tcW w:w="1239" w:type="dxa"/>
            <w:vAlign w:val="center"/>
          </w:tcPr>
          <w:p w14:paraId="338B3D35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</w:p>
        </w:tc>
        <w:tc>
          <w:tcPr>
            <w:tcW w:w="1239" w:type="dxa"/>
            <w:vAlign w:val="center"/>
          </w:tcPr>
          <w:p w14:paraId="0232C849">
            <w:pPr>
              <w:spacing w:line="360" w:lineRule="auto"/>
              <w:jc w:val="center"/>
              <w:rPr>
                <w:rFonts w:ascii="仿宋" w:hAnsi="仿宋" w:eastAsia="仿宋" w:cs="Times New Roman"/>
                <w:b/>
                <w:szCs w:val="21"/>
              </w:rPr>
            </w:pPr>
            <w:r>
              <w:rPr>
                <w:rFonts w:ascii="仿宋" w:hAnsi="仿宋" w:eastAsia="仿宋" w:cs="Times New Roman"/>
                <w:b/>
                <w:szCs w:val="21"/>
              </w:rPr>
              <w:t>---</w:t>
            </w:r>
          </w:p>
        </w:tc>
      </w:tr>
    </w:tbl>
    <w:p w14:paraId="3F205BA0">
      <w:pPr>
        <w:rPr>
          <w:rFonts w:hint="eastAsia" w:eastAsiaTheme="minorEastAsia"/>
          <w:lang w:val="en-US" w:eastAsia="zh-CN"/>
        </w:rPr>
      </w:pPr>
    </w:p>
    <w:sectPr>
      <w:pgSz w:w="11906" w:h="16838"/>
      <w:pgMar w:top="1043" w:right="1293" w:bottom="1043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A558D"/>
    <w:rsid w:val="2D2C716E"/>
    <w:rsid w:val="408A420F"/>
    <w:rsid w:val="7CAB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  <w:jc w:val="left"/>
    </w:pPr>
    <w:rPr>
      <w:rFonts w:eastAsia="宋体"/>
      <w:szCs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259</Words>
  <Characters>270</Characters>
  <Lines>0</Lines>
  <Paragraphs>0</Paragraphs>
  <TotalTime>2</TotalTime>
  <ScaleCrop>false</ScaleCrop>
  <LinksUpToDate>false</LinksUpToDate>
  <CharactersWithSpaces>337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2026-10-21T04:25:00Z</dcterms:created>
  <dc:creator>user</dc:creator>
  <cp:lastModifiedBy>左丽娜·巴合提别克</cp:lastModifiedBy>
  <dcterms:modified xsi:type="dcterms:W3CDTF">2026-10-21T08:33:32Z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eyJoZGlkIjoiMTBiOTVkM2EyNzA0NWQ3MjllYjIwYmI3MjNiZDliZDUiLCJ1c2VySWQiOiIxNzYyOTcwMDg4In0=</vt:lpwstr>
  </property>
  <property fmtid="{D5CDD505-2E9C-101B-9397-08002B2CF9AE}" pid="4" name="ICV">
    <vt:lpwstr>66027FB5C33E44D19B3845AA8521ACC2_12</vt:lpwstr>
  </property>
</Properties>
</file>