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74F" w:rsidRPr="003D574F" w:rsidRDefault="003D574F" w:rsidP="003D574F">
      <w:pPr>
        <w:rPr>
          <w:rFonts w:ascii="Times New Roman" w:eastAsia="仿宋" w:hAnsi="Times New Roman" w:cs="Times New Roman"/>
          <w:sz w:val="32"/>
          <w:szCs w:val="32"/>
        </w:rPr>
      </w:pPr>
      <w:r w:rsidRPr="003D574F">
        <w:rPr>
          <w:rFonts w:ascii="Times New Roman" w:eastAsia="仿宋" w:hAnsi="Times New Roman" w:cs="Times New Roman"/>
          <w:sz w:val="32"/>
          <w:szCs w:val="32"/>
        </w:rPr>
        <w:t>附件</w:t>
      </w:r>
      <w:r w:rsidRPr="003D574F">
        <w:rPr>
          <w:rFonts w:ascii="Times New Roman" w:eastAsia="仿宋" w:hAnsi="Times New Roman" w:cs="Times New Roman"/>
          <w:sz w:val="32"/>
          <w:szCs w:val="32"/>
        </w:rPr>
        <w:t>1</w:t>
      </w:r>
      <w:r w:rsidRPr="003D574F">
        <w:rPr>
          <w:rFonts w:ascii="Times New Roman" w:eastAsia="仿宋" w:hAnsi="Times New Roman" w:cs="Times New Roman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565"/>
        <w:gridCol w:w="1185"/>
        <w:gridCol w:w="2624"/>
        <w:gridCol w:w="1559"/>
      </w:tblGrid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b/>
                <w:sz w:val="24"/>
              </w:rPr>
              <w:t>序号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b/>
                <w:sz w:val="24"/>
              </w:rPr>
              <w:t>课题名称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b/>
                <w:sz w:val="24"/>
              </w:rPr>
              <w:t>申请人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b/>
                <w:sz w:val="24"/>
              </w:rPr>
              <w:t>依托单位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b/>
                <w:sz w:val="24"/>
              </w:rPr>
              <w:t>资助金额/</w:t>
            </w:r>
          </w:p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b/>
                <w:sz w:val="24"/>
              </w:rPr>
              <w:t>万元</w:t>
            </w:r>
          </w:p>
        </w:tc>
      </w:tr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1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深层-超深层地震相智能识别的地震属性自适应优选理论研究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董丹</w:t>
            </w:r>
            <w:proofErr w:type="gramStart"/>
            <w:r w:rsidRPr="003D574F">
              <w:rPr>
                <w:rFonts w:ascii="仿宋" w:eastAsia="仿宋" w:hAnsi="仿宋" w:cs="Times New Roman" w:hint="eastAsia"/>
                <w:color w:val="000000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中国石油大学（北京）</w:t>
            </w:r>
          </w:p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克拉玛依校区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2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油气勘探地层数据可视化与虚拟交互方法研究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刘洋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中国石油大学（北京）</w:t>
            </w:r>
          </w:p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克拉玛依校区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3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基于超深层先存构造的</w:t>
            </w:r>
            <w:proofErr w:type="gramStart"/>
            <w:r w:rsidRPr="003D574F">
              <w:rPr>
                <w:rFonts w:ascii="仿宋" w:eastAsia="仿宋" w:hAnsi="仿宋" w:cs="Times New Roman" w:hint="eastAsia"/>
                <w:sz w:val="24"/>
              </w:rPr>
              <w:t>准噶尔盆地走滑断裂</w:t>
            </w:r>
            <w:proofErr w:type="gramEnd"/>
            <w:r w:rsidRPr="003D574F">
              <w:rPr>
                <w:rFonts w:ascii="仿宋" w:eastAsia="仿宋" w:hAnsi="仿宋" w:cs="Times New Roman" w:hint="eastAsia"/>
                <w:sz w:val="24"/>
              </w:rPr>
              <w:t>三维数值模拟与可视化分析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崔立杰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中国石油大学（北京）</w:t>
            </w:r>
          </w:p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克拉玛依校区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4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水驱开发老油田全周期</w:t>
            </w:r>
            <w:proofErr w:type="gramStart"/>
            <w:r w:rsidRPr="003D574F">
              <w:rPr>
                <w:rFonts w:ascii="仿宋" w:eastAsia="仿宋" w:hAnsi="仿宋" w:cs="Times New Roman" w:hint="eastAsia"/>
                <w:sz w:val="24"/>
              </w:rPr>
              <w:t>渗流场</w:t>
            </w:r>
            <w:proofErr w:type="gramEnd"/>
            <w:r w:rsidRPr="003D574F">
              <w:rPr>
                <w:rFonts w:ascii="仿宋" w:eastAsia="仿宋" w:hAnsi="仿宋" w:cs="Times New Roman" w:hint="eastAsia"/>
                <w:sz w:val="24"/>
              </w:rPr>
              <w:t>智能表征方法研究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刘金菊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中国石油大学（北京）</w:t>
            </w:r>
          </w:p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克拉玛依校区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941247">
        <w:trPr>
          <w:trHeight w:val="586"/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5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proofErr w:type="gramStart"/>
            <w:r w:rsidRPr="003D574F">
              <w:rPr>
                <w:rFonts w:ascii="仿宋" w:eastAsia="仿宋" w:hAnsi="仿宋" w:cs="Times New Roman" w:hint="eastAsia"/>
                <w:sz w:val="24"/>
              </w:rPr>
              <w:t>压裂全流程数智</w:t>
            </w:r>
            <w:proofErr w:type="gramEnd"/>
            <w:r w:rsidRPr="003D574F">
              <w:rPr>
                <w:rFonts w:ascii="仿宋" w:eastAsia="仿宋" w:hAnsi="仿宋" w:cs="Times New Roman" w:hint="eastAsia"/>
                <w:sz w:val="24"/>
              </w:rPr>
              <w:t>化管理转型关键技术研究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李轶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新疆油田</w:t>
            </w:r>
            <w:proofErr w:type="gramStart"/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玛</w:t>
            </w:r>
            <w:proofErr w:type="gramEnd"/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湖项目部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  <w:bookmarkStart w:id="0" w:name="_GoBack"/>
            <w:bookmarkEnd w:id="0"/>
          </w:p>
        </w:tc>
      </w:tr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6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基于时移地震（4D）技术的二氧化碳地质封存动态监测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张</w:t>
            </w:r>
            <w:proofErr w:type="gramStart"/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宓</w:t>
            </w:r>
            <w:proofErr w:type="gramEnd"/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中国石油大学（北京）</w:t>
            </w:r>
          </w:p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克拉玛依校区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0663C2">
        <w:trPr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7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新疆油田压裂试验自动跟踪数据库建设方法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史海涛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中国石油大学（北京）</w:t>
            </w:r>
          </w:p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克拉玛依校区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0663C2">
        <w:trPr>
          <w:trHeight w:val="694"/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8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基于工程模型的钻井复杂智能预测方法研究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何淼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长江大学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  <w:tr w:rsidR="003D574F" w:rsidRPr="003D574F" w:rsidTr="000663C2">
        <w:trPr>
          <w:trHeight w:val="987"/>
          <w:jc w:val="center"/>
        </w:trPr>
        <w:tc>
          <w:tcPr>
            <w:tcW w:w="868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  <w:szCs w:val="28"/>
              </w:rPr>
              <w:t>9</w:t>
            </w:r>
          </w:p>
        </w:tc>
        <w:tc>
          <w:tcPr>
            <w:tcW w:w="556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人工</w:t>
            </w:r>
            <w:proofErr w:type="gramStart"/>
            <w:r w:rsidRPr="003D574F">
              <w:rPr>
                <w:rFonts w:ascii="仿宋" w:eastAsia="仿宋" w:hAnsi="仿宋" w:cs="Times New Roman" w:hint="eastAsia"/>
                <w:sz w:val="24"/>
              </w:rPr>
              <w:t>缝网条件</w:t>
            </w:r>
            <w:proofErr w:type="gramEnd"/>
            <w:r w:rsidRPr="003D574F">
              <w:rPr>
                <w:rFonts w:ascii="仿宋" w:eastAsia="仿宋" w:hAnsi="仿宋" w:cs="Times New Roman" w:hint="eastAsia"/>
                <w:sz w:val="24"/>
              </w:rPr>
              <w:t>下多</w:t>
            </w:r>
            <w:proofErr w:type="gramStart"/>
            <w:r w:rsidRPr="003D574F">
              <w:rPr>
                <w:rFonts w:ascii="仿宋" w:eastAsia="仿宋" w:hAnsi="仿宋" w:cs="Times New Roman" w:hint="eastAsia"/>
                <w:sz w:val="24"/>
              </w:rPr>
              <w:t>介质补能提高采收</w:t>
            </w:r>
            <w:proofErr w:type="gramEnd"/>
            <w:r w:rsidRPr="003D574F">
              <w:rPr>
                <w:rFonts w:ascii="仿宋" w:eastAsia="仿宋" w:hAnsi="仿宋" w:cs="Times New Roman" w:hint="eastAsia"/>
                <w:sz w:val="24"/>
              </w:rPr>
              <w:t>率实验研究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李虎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3D574F" w:rsidRPr="003D574F" w:rsidRDefault="003D574F" w:rsidP="003D574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3D574F">
              <w:rPr>
                <w:rFonts w:ascii="仿宋" w:eastAsia="仿宋" w:hAnsi="仿宋" w:cs="Times New Roman" w:hint="eastAsia"/>
                <w:color w:val="000000"/>
                <w:sz w:val="24"/>
              </w:rPr>
              <w:t>四川轻化工大学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574F" w:rsidRPr="003D574F" w:rsidRDefault="003D574F" w:rsidP="003D574F">
            <w:pPr>
              <w:jc w:val="center"/>
              <w:rPr>
                <w:rFonts w:ascii="等线" w:eastAsia="等线" w:hAnsi="等线" w:cs="Times New Roman"/>
              </w:rPr>
            </w:pPr>
            <w:r w:rsidRPr="003D574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</w:tr>
    </w:tbl>
    <w:p w:rsidR="003D574F" w:rsidRPr="003D574F" w:rsidRDefault="003D574F" w:rsidP="003D574F">
      <w:pPr>
        <w:rPr>
          <w:rFonts w:ascii="Times New Roman" w:eastAsia="等线" w:hAnsi="Times New Roman" w:cs="Times New Roman"/>
        </w:rPr>
      </w:pPr>
    </w:p>
    <w:p w:rsidR="003D574F" w:rsidRDefault="003D574F"/>
    <w:sectPr w:rsidR="003D57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4F"/>
    <w:rsid w:val="003D574F"/>
    <w:rsid w:val="0094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93176-9ABD-4388-B10A-A1E3A471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2025-07-28T03:07:00Z</dcterms:created>
  <dcterms:modified xsi:type="dcterms:W3CDTF">2025-07-28T03:13:00Z</dcterms:modified>
</cp:coreProperties>
</file>