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附件二：</w:t>
      </w:r>
      <w:bookmarkStart w:id="0" w:name="_GoBack"/>
      <w:bookmarkEnd w:id="0"/>
    </w:p>
    <w:p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kern w:val="0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工商管理学院/马克思主义学院综合评价和学术专长考核表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37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分值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参军入伍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A档：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参军并获得军功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1分；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B档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；参军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0.5分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上限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志愿服务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A档：（时长≥60小时）：2分；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B档（60小时＞时长≥30小时）：1分；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C档（30小时＞时长≥10小时）：0.5分；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上限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学科竞赛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A档（国家级学科竞赛获一等奖）：4分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B档（国家级学科竞赛获二等奖）：3分</w:t>
            </w:r>
          </w:p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C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档（国家级学科竞赛获三等奖）：2分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上限4分，竞赛为校区团委竞赛库中或教育部教指委主办的专业竞赛项目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科研成果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在国内核心学术期刊发表论文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1篇及以上或获国家软件著作权1项及以上：3分</w:t>
            </w:r>
          </w:p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上限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分，申请者必须为独立作者或第一作者，作者单位：中国石油大学（北京）克拉玛依校区，文章需见刊。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20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2021-09-08T08:43:54Z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FE3E8E8D025F482C9CA22744ECDEDCC6</vt:lpwstr>
  </property>
</Properties>
</file>