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135E4EA">
      <w:pPr>
        <w:spacing w:before="59" w:line="233" w:lineRule="auto"/>
        <w:ind w:left="47"/>
        <w:rPr>
          <w:rFonts w:ascii="宋体" w:hAnsi="宋体" w:eastAsia="宋体" w:cs="宋体"/>
          <w:sz w:val="28"/>
          <w:szCs w:val="28"/>
        </w:rPr>
      </w:pPr>
      <w:r>
        <w:rPr>
          <w:rFonts w:ascii="宋体" w:hAnsi="宋体" w:eastAsia="宋体" w:cs="宋体"/>
          <w:spacing w:val="-10"/>
          <w:sz w:val="28"/>
          <w:szCs w:val="28"/>
        </w:rPr>
        <w:t>附件</w:t>
      </w:r>
      <w:r>
        <w:rPr>
          <w:rFonts w:ascii="宋体" w:hAnsi="宋体" w:eastAsia="宋体" w:cs="宋体"/>
          <w:spacing w:val="-64"/>
          <w:sz w:val="28"/>
          <w:szCs w:val="28"/>
        </w:rPr>
        <w:t xml:space="preserve"> </w:t>
      </w:r>
      <w:r>
        <w:rPr>
          <w:rFonts w:ascii="Times New Roman" w:hAnsi="Times New Roman" w:eastAsia="Times New Roman" w:cs="Times New Roman"/>
          <w:spacing w:val="-10"/>
          <w:sz w:val="28"/>
          <w:szCs w:val="28"/>
        </w:rPr>
        <w:t>2</w:t>
      </w:r>
      <w:r>
        <w:rPr>
          <w:rFonts w:ascii="宋体" w:hAnsi="宋体" w:eastAsia="宋体" w:cs="宋体"/>
          <w:spacing w:val="-10"/>
          <w:sz w:val="28"/>
          <w:szCs w:val="28"/>
        </w:rPr>
        <w:t>：</w:t>
      </w:r>
    </w:p>
    <w:p w14:paraId="03BBBC85">
      <w:pPr>
        <w:spacing w:before="197" w:line="232" w:lineRule="auto"/>
        <w:jc w:val="center"/>
        <w:outlineLvl w:val="0"/>
        <w:rPr>
          <w:rFonts w:hint="eastAsia" w:ascii="宋体" w:hAnsi="宋体" w:eastAsia="宋体" w:cs="宋体"/>
          <w:b/>
          <w:bCs/>
          <w:spacing w:val="-3"/>
          <w:sz w:val="32"/>
          <w:szCs w:val="32"/>
          <w:lang w:val="en-US" w:eastAsia="zh-CN"/>
        </w:rPr>
      </w:pPr>
      <w:r>
        <w:rPr>
          <w:rFonts w:hint="eastAsia" w:ascii="宋体" w:hAnsi="宋体" w:eastAsia="宋体" w:cs="宋体"/>
          <w:b/>
          <w:bCs/>
          <w:spacing w:val="-3"/>
          <w:sz w:val="32"/>
          <w:szCs w:val="32"/>
          <w:lang w:val="en-US" w:eastAsia="zh-CN"/>
        </w:rPr>
        <w:t>工商管理学院/马克思主义学院</w:t>
      </w:r>
    </w:p>
    <w:p w14:paraId="6172FCD6">
      <w:pPr>
        <w:spacing w:before="197" w:line="232" w:lineRule="auto"/>
        <w:jc w:val="center"/>
        <w:outlineLvl w:val="0"/>
        <w:rPr>
          <w:rFonts w:ascii="宋体" w:hAnsi="宋体" w:eastAsia="宋体" w:cs="宋体"/>
          <w:sz w:val="32"/>
          <w:szCs w:val="32"/>
        </w:rPr>
      </w:pPr>
      <w:r>
        <w:rPr>
          <w:rFonts w:hint="eastAsia" w:ascii="Times New Roman" w:hAnsi="Times New Roman" w:eastAsia="宋体" w:cs="Times New Roman"/>
          <w:b/>
          <w:bCs/>
          <w:spacing w:val="-3"/>
          <w:sz w:val="32"/>
          <w:szCs w:val="32"/>
          <w:lang w:eastAsia="zh-CN"/>
        </w:rPr>
        <w:t>2026</w:t>
      </w:r>
      <w:r>
        <w:rPr>
          <w:rFonts w:ascii="Times New Roman" w:hAnsi="Times New Roman" w:eastAsia="Times New Roman" w:cs="Times New Roman"/>
          <w:b/>
          <w:bCs/>
          <w:spacing w:val="-3"/>
          <w:sz w:val="32"/>
          <w:szCs w:val="32"/>
        </w:rPr>
        <w:t xml:space="preserve"> </w:t>
      </w:r>
      <w:r>
        <w:rPr>
          <w:rFonts w:ascii="宋体" w:hAnsi="宋体" w:eastAsia="宋体" w:cs="宋体"/>
          <w:b/>
          <w:bCs/>
          <w:spacing w:val="-3"/>
          <w:sz w:val="32"/>
          <w:szCs w:val="32"/>
        </w:rPr>
        <w:t>年综合评价和学术专长赋分办法</w:t>
      </w:r>
    </w:p>
    <w:p w14:paraId="59D6BA20">
      <w:pPr>
        <w:spacing w:line="258" w:lineRule="auto"/>
        <w:rPr>
          <w:rFonts w:ascii="Arial"/>
          <w:sz w:val="21"/>
        </w:rPr>
      </w:pPr>
    </w:p>
    <w:p w14:paraId="199B7C4B">
      <w:pPr>
        <w:pStyle w:val="2"/>
        <w:spacing w:before="91" w:line="411" w:lineRule="auto"/>
        <w:ind w:left="33" w:right="13" w:firstLine="561"/>
        <w:jc w:val="both"/>
      </w:pPr>
      <w:r>
        <w:rPr>
          <w:spacing w:val="-4"/>
        </w:rPr>
        <w:t>根据教育部相关文件精神，为综合评价学生各方面的表现</w:t>
      </w:r>
      <w:r>
        <w:rPr>
          <w:spacing w:val="-5"/>
        </w:rPr>
        <w:t>，引导</w:t>
      </w:r>
      <w:r>
        <w:rPr>
          <w:spacing w:val="-4"/>
        </w:rPr>
        <w:t>学生全面发展，学院将学生参军入伍服兵役、到国际组织实习、科研</w:t>
      </w:r>
      <w:r>
        <w:rPr>
          <w:spacing w:val="-8"/>
        </w:rPr>
        <w:t>成果、竞赛获奖等方面纳入推免生综合评价和学术专长考核体系，</w:t>
      </w:r>
      <w:r>
        <w:rPr>
          <w:spacing w:val="-14"/>
        </w:rPr>
        <w:t xml:space="preserve"> </w:t>
      </w:r>
      <w:r>
        <w:rPr>
          <w:spacing w:val="-8"/>
        </w:rPr>
        <w:t>计</w:t>
      </w:r>
      <w:r>
        <w:rPr>
          <w:spacing w:val="-3"/>
        </w:rPr>
        <w:t>入推免生综合成绩，具体赋分办法如下。</w:t>
      </w:r>
    </w:p>
    <w:p w14:paraId="26574A4F">
      <w:pPr>
        <w:spacing w:before="1" w:line="218" w:lineRule="auto"/>
        <w:ind w:left="589"/>
        <w:outlineLvl w:val="1"/>
        <w:rPr>
          <w:rFonts w:ascii="黑体" w:hAnsi="黑体" w:eastAsia="黑体" w:cs="黑体"/>
          <w:sz w:val="28"/>
          <w:szCs w:val="28"/>
        </w:rPr>
      </w:pPr>
      <w:r>
        <w:rPr>
          <w:rFonts w:ascii="黑体" w:hAnsi="黑体" w:eastAsia="黑体" w:cs="黑体"/>
          <w:spacing w:val="-3"/>
          <w:sz w:val="28"/>
          <w:szCs w:val="28"/>
        </w:rPr>
        <w:t>一、参军入伍服兵役</w:t>
      </w:r>
    </w:p>
    <w:p w14:paraId="3F0B4792">
      <w:pPr>
        <w:pStyle w:val="2"/>
        <w:spacing w:before="290" w:line="412" w:lineRule="auto"/>
        <w:ind w:left="34" w:right="12" w:firstLine="570"/>
        <w:jc w:val="both"/>
      </w:pPr>
      <w:r>
        <w:rPr>
          <w:spacing w:val="-5"/>
        </w:rPr>
        <w:t>学生本科阶段应征入伍，服役期间表现良好，未受任何处分，圆</w:t>
      </w:r>
      <w:r>
        <w:rPr>
          <w:spacing w:val="-4"/>
        </w:rPr>
        <w:t>满履行兵役义务者，经学生工作与安全保卫部认定后方可赋分，上限</w:t>
      </w:r>
      <w:r>
        <w:rPr>
          <w:spacing w:val="-8"/>
        </w:rPr>
        <w:t>为</w:t>
      </w:r>
      <w:r>
        <w:rPr>
          <w:spacing w:val="-62"/>
        </w:rPr>
        <w:t xml:space="preserve"> </w:t>
      </w:r>
      <w:r>
        <w:rPr>
          <w:rFonts w:ascii="Times New Roman" w:hAnsi="Times New Roman" w:eastAsia="Times New Roman" w:cs="Times New Roman"/>
          <w:spacing w:val="-8"/>
        </w:rPr>
        <w:t>2</w:t>
      </w:r>
      <w:r>
        <w:rPr>
          <w:rFonts w:ascii="Times New Roman" w:hAnsi="Times New Roman" w:eastAsia="Times New Roman" w:cs="Times New Roman"/>
          <w:spacing w:val="22"/>
        </w:rPr>
        <w:t xml:space="preserve"> </w:t>
      </w:r>
      <w:r>
        <w:rPr>
          <w:spacing w:val="-8"/>
        </w:rPr>
        <w:t>分。具体赋分方式如下：</w:t>
      </w:r>
    </w:p>
    <w:p w14:paraId="4092559D">
      <w:pPr>
        <w:pStyle w:val="2"/>
        <w:spacing w:before="1" w:line="231" w:lineRule="auto"/>
        <w:ind w:left="576"/>
      </w:pPr>
      <w:r>
        <w:rPr>
          <w:rFonts w:ascii="Times New Roman" w:hAnsi="Times New Roman" w:eastAsia="Times New Roman" w:cs="Times New Roman"/>
          <w:spacing w:val="-1"/>
        </w:rPr>
        <w:t>A</w:t>
      </w:r>
      <w:r>
        <w:rPr>
          <w:rFonts w:ascii="Times New Roman" w:hAnsi="Times New Roman" w:eastAsia="Times New Roman" w:cs="Times New Roman"/>
          <w:spacing w:val="18"/>
        </w:rPr>
        <w:t xml:space="preserve"> </w:t>
      </w:r>
      <w:r>
        <w:rPr>
          <w:spacing w:val="-1"/>
        </w:rPr>
        <w:t>档：立功受奖</w:t>
      </w:r>
      <w:r>
        <w:rPr>
          <w:rFonts w:ascii="Times New Roman" w:hAnsi="Times New Roman" w:eastAsia="Times New Roman" w:cs="Times New Roman"/>
          <w:spacing w:val="-1"/>
        </w:rPr>
        <w:t>2</w:t>
      </w:r>
      <w:r>
        <w:rPr>
          <w:rFonts w:ascii="Times New Roman" w:hAnsi="Times New Roman" w:eastAsia="Times New Roman" w:cs="Times New Roman"/>
          <w:spacing w:val="21"/>
          <w:w w:val="101"/>
        </w:rPr>
        <w:t xml:space="preserve"> </w:t>
      </w:r>
      <w:r>
        <w:rPr>
          <w:spacing w:val="-1"/>
        </w:rPr>
        <w:t>分；</w:t>
      </w:r>
      <w:r>
        <w:rPr>
          <w:rFonts w:ascii="Times New Roman" w:hAnsi="Times New Roman" w:eastAsia="Times New Roman" w:cs="Times New Roman"/>
          <w:spacing w:val="-1"/>
        </w:rPr>
        <w:t xml:space="preserve">B </w:t>
      </w:r>
      <w:r>
        <w:rPr>
          <w:spacing w:val="-1"/>
        </w:rPr>
        <w:t>档（非</w:t>
      </w:r>
      <w:r>
        <w:rPr>
          <w:spacing w:val="-68"/>
        </w:rPr>
        <w:t xml:space="preserve"> </w:t>
      </w:r>
      <w:r>
        <w:rPr>
          <w:rFonts w:ascii="Times New Roman" w:hAnsi="Times New Roman" w:eastAsia="Times New Roman" w:cs="Times New Roman"/>
          <w:spacing w:val="-1"/>
        </w:rPr>
        <w:t>A</w:t>
      </w:r>
      <w:r>
        <w:rPr>
          <w:rFonts w:ascii="Times New Roman" w:hAnsi="Times New Roman" w:eastAsia="Times New Roman" w:cs="Times New Roman"/>
          <w:spacing w:val="17"/>
          <w:w w:val="101"/>
        </w:rPr>
        <w:t xml:space="preserve"> </w:t>
      </w:r>
      <w:r>
        <w:rPr>
          <w:spacing w:val="-1"/>
        </w:rPr>
        <w:t>档）</w:t>
      </w:r>
      <w:r>
        <w:rPr>
          <w:rFonts w:ascii="Times New Roman" w:hAnsi="Times New Roman" w:eastAsia="Times New Roman" w:cs="Times New Roman"/>
          <w:spacing w:val="-1"/>
        </w:rPr>
        <w:t>1.2</w:t>
      </w:r>
      <w:r>
        <w:rPr>
          <w:rFonts w:ascii="Times New Roman" w:hAnsi="Times New Roman" w:eastAsia="Times New Roman" w:cs="Times New Roman"/>
          <w:spacing w:val="22"/>
        </w:rPr>
        <w:t xml:space="preserve"> </w:t>
      </w:r>
      <w:r>
        <w:rPr>
          <w:spacing w:val="-1"/>
        </w:rPr>
        <w:t>分。</w:t>
      </w:r>
    </w:p>
    <w:p w14:paraId="329E3268">
      <w:pPr>
        <w:spacing w:before="271" w:line="219" w:lineRule="auto"/>
        <w:ind w:left="589"/>
        <w:outlineLvl w:val="1"/>
        <w:rPr>
          <w:rFonts w:ascii="黑体" w:hAnsi="黑体" w:eastAsia="黑体" w:cs="黑体"/>
          <w:sz w:val="28"/>
          <w:szCs w:val="28"/>
        </w:rPr>
      </w:pPr>
      <w:r>
        <w:rPr>
          <w:rFonts w:ascii="黑体" w:hAnsi="黑体" w:eastAsia="黑体" w:cs="黑体"/>
          <w:spacing w:val="-2"/>
          <w:sz w:val="28"/>
          <w:szCs w:val="28"/>
        </w:rPr>
        <w:t>二、国际组织实习</w:t>
      </w:r>
    </w:p>
    <w:p w14:paraId="4D5C8E66">
      <w:pPr>
        <w:pStyle w:val="2"/>
        <w:spacing w:before="289" w:line="412" w:lineRule="auto"/>
        <w:ind w:left="33" w:right="12" w:firstLine="567"/>
        <w:jc w:val="both"/>
      </w:pPr>
      <w:r>
        <w:rPr>
          <w:spacing w:val="-5"/>
        </w:rPr>
        <w:t>学生本科期间赴政府间国际组织实习（以人力资源和社会保障部</w:t>
      </w:r>
      <w:r>
        <w:rPr>
          <w:spacing w:val="5"/>
        </w:rPr>
        <w:t>主办的国际组织人才信息服务网和全国高等学校学生信息咨询与就业指导中心主办的高校毕业生到国际组织实习任职信息服务平台信</w:t>
      </w:r>
      <w:r>
        <w:rPr>
          <w:spacing w:val="-1"/>
        </w:rPr>
        <w:t>息为准</w:t>
      </w:r>
      <w:r>
        <w:rPr>
          <w:spacing w:val="-79"/>
        </w:rPr>
        <w:t>），</w:t>
      </w:r>
      <w:r>
        <w:rPr>
          <w:spacing w:val="-59"/>
        </w:rPr>
        <w:t xml:space="preserve"> </w:t>
      </w:r>
      <w:r>
        <w:rPr>
          <w:spacing w:val="-1"/>
        </w:rPr>
        <w:t xml:space="preserve">申请推荐免试研究生资格时已完成不少于 </w:t>
      </w:r>
      <w:r>
        <w:rPr>
          <w:rFonts w:ascii="Times New Roman" w:hAnsi="Times New Roman" w:eastAsia="Times New Roman" w:cs="Times New Roman"/>
          <w:spacing w:val="-1"/>
        </w:rPr>
        <w:t xml:space="preserve">30  </w:t>
      </w:r>
      <w:r>
        <w:rPr>
          <w:spacing w:val="-2"/>
        </w:rPr>
        <w:t>天的实习工</w:t>
      </w:r>
      <w:r>
        <w:rPr>
          <w:spacing w:val="-16"/>
        </w:rPr>
        <w:t>作，按实习类别赋分，上限为</w:t>
      </w:r>
      <w:r>
        <w:rPr>
          <w:spacing w:val="-20"/>
        </w:rPr>
        <w:t xml:space="preserve"> </w:t>
      </w:r>
      <w:r>
        <w:rPr>
          <w:rFonts w:ascii="Times New Roman" w:hAnsi="Times New Roman" w:eastAsia="Times New Roman" w:cs="Times New Roman"/>
          <w:spacing w:val="-16"/>
        </w:rPr>
        <w:t>1</w:t>
      </w:r>
      <w:r>
        <w:rPr>
          <w:rFonts w:ascii="Times New Roman" w:hAnsi="Times New Roman" w:eastAsia="Times New Roman" w:cs="Times New Roman"/>
          <w:spacing w:val="21"/>
          <w:w w:val="101"/>
        </w:rPr>
        <w:t xml:space="preserve"> </w:t>
      </w:r>
      <w:r>
        <w:rPr>
          <w:spacing w:val="-16"/>
        </w:rPr>
        <w:t>分。实习记录需要国际组织书面证明。</w:t>
      </w:r>
    </w:p>
    <w:p w14:paraId="2BD53626">
      <w:pPr>
        <w:pStyle w:val="2"/>
        <w:spacing w:line="218" w:lineRule="auto"/>
        <w:ind w:left="596"/>
      </w:pPr>
      <w:r>
        <w:rPr>
          <w:spacing w:val="-9"/>
        </w:rPr>
        <w:t>具体赋分方式如下：</w:t>
      </w:r>
    </w:p>
    <w:p w14:paraId="08FDE65D">
      <w:pPr>
        <w:pStyle w:val="2"/>
        <w:spacing w:before="294" w:line="411" w:lineRule="auto"/>
        <w:ind w:left="34" w:right="13" w:firstLine="542"/>
      </w:pPr>
      <w:r>
        <w:rPr>
          <w:rFonts w:ascii="Times New Roman" w:hAnsi="Times New Roman" w:eastAsia="Times New Roman" w:cs="Times New Roman"/>
          <w:spacing w:val="-4"/>
        </w:rPr>
        <w:t>A</w:t>
      </w:r>
      <w:r>
        <w:rPr>
          <w:rFonts w:ascii="Times New Roman" w:hAnsi="Times New Roman" w:eastAsia="Times New Roman" w:cs="Times New Roman"/>
          <w:spacing w:val="22"/>
          <w:w w:val="101"/>
        </w:rPr>
        <w:t xml:space="preserve"> </w:t>
      </w:r>
      <w:r>
        <w:rPr>
          <w:spacing w:val="-4"/>
        </w:rPr>
        <w:t>档（联合国、世界贸易组织、世界银行等全球综合性或专门性</w:t>
      </w:r>
      <w:r>
        <w:rPr>
          <w:spacing w:val="-39"/>
        </w:rPr>
        <w:t>组织</w:t>
      </w:r>
      <w:r>
        <w:rPr>
          <w:spacing w:val="-4"/>
        </w:rPr>
        <w:t>）：</w:t>
      </w:r>
      <w:r>
        <w:rPr>
          <w:rFonts w:ascii="Times New Roman" w:hAnsi="Times New Roman" w:eastAsia="Times New Roman" w:cs="Times New Roman"/>
          <w:spacing w:val="-39"/>
        </w:rPr>
        <w:t>1</w:t>
      </w:r>
      <w:r>
        <w:rPr>
          <w:rFonts w:ascii="Times New Roman" w:hAnsi="Times New Roman" w:eastAsia="Times New Roman" w:cs="Times New Roman"/>
          <w:spacing w:val="22"/>
          <w:w w:val="101"/>
        </w:rPr>
        <w:t xml:space="preserve"> </w:t>
      </w:r>
      <w:r>
        <w:rPr>
          <w:spacing w:val="-39"/>
        </w:rPr>
        <w:t>分；</w:t>
      </w:r>
    </w:p>
    <w:p w14:paraId="1CC5636B">
      <w:pPr>
        <w:pStyle w:val="2"/>
        <w:spacing w:before="2" w:line="424" w:lineRule="auto"/>
        <w:ind w:left="33" w:right="31" w:firstLine="546"/>
        <w:rPr>
          <w:spacing w:val="-17"/>
        </w:rPr>
      </w:pPr>
      <w:r>
        <w:rPr>
          <w:rFonts w:ascii="Times New Roman" w:hAnsi="Times New Roman" w:eastAsia="Times New Roman" w:cs="Times New Roman"/>
          <w:spacing w:val="-4"/>
        </w:rPr>
        <w:t>B</w:t>
      </w:r>
      <w:r>
        <w:rPr>
          <w:rFonts w:ascii="Times New Roman" w:hAnsi="Times New Roman" w:eastAsia="Times New Roman" w:cs="Times New Roman"/>
          <w:spacing w:val="17"/>
        </w:rPr>
        <w:t xml:space="preserve"> </w:t>
      </w:r>
      <w:r>
        <w:rPr>
          <w:spacing w:val="-4"/>
        </w:rPr>
        <w:t>档（在包括各类国际学术组织以及其在华分支机构等学科专业</w:t>
      </w:r>
      <w:r>
        <w:rPr>
          <w:spacing w:val="-17"/>
        </w:rPr>
        <w:t>领域国际组织实习</w:t>
      </w:r>
      <w:r>
        <w:rPr>
          <w:spacing w:val="9"/>
        </w:rPr>
        <w:t>）：</w:t>
      </w:r>
      <w:r>
        <w:rPr>
          <w:rFonts w:ascii="Times New Roman" w:hAnsi="Times New Roman" w:eastAsia="Times New Roman" w:cs="Times New Roman"/>
          <w:spacing w:val="-17"/>
        </w:rPr>
        <w:t>0.6</w:t>
      </w:r>
      <w:r>
        <w:rPr>
          <w:rFonts w:ascii="Times New Roman" w:hAnsi="Times New Roman" w:eastAsia="Times New Roman" w:cs="Times New Roman"/>
          <w:spacing w:val="23"/>
          <w:w w:val="101"/>
        </w:rPr>
        <w:t xml:space="preserve"> </w:t>
      </w:r>
      <w:r>
        <w:rPr>
          <w:spacing w:val="-17"/>
        </w:rPr>
        <w:t>分；</w:t>
      </w:r>
    </w:p>
    <w:p w14:paraId="4A4B4129">
      <w:pPr>
        <w:pStyle w:val="2"/>
        <w:spacing w:before="2" w:line="424" w:lineRule="auto"/>
        <w:ind w:left="33" w:right="31" w:firstLine="546"/>
      </w:pPr>
      <w:r>
        <w:rPr>
          <w:rFonts w:ascii="Times New Roman" w:hAnsi="Times New Roman" w:eastAsia="Times New Roman" w:cs="Times New Roman"/>
          <w:spacing w:val="-12"/>
        </w:rPr>
        <w:t>C</w:t>
      </w:r>
      <w:r>
        <w:rPr>
          <w:rFonts w:ascii="Times New Roman" w:hAnsi="Times New Roman" w:eastAsia="Times New Roman" w:cs="Times New Roman"/>
          <w:spacing w:val="17"/>
        </w:rPr>
        <w:t xml:space="preserve"> </w:t>
      </w:r>
      <w:r>
        <w:rPr>
          <w:spacing w:val="-12"/>
        </w:rPr>
        <w:t>档（在一般性国际组织实习</w:t>
      </w:r>
      <w:r>
        <w:rPr>
          <w:spacing w:val="9"/>
        </w:rPr>
        <w:t>）：</w:t>
      </w:r>
      <w:r>
        <w:rPr>
          <w:rFonts w:ascii="Times New Roman" w:hAnsi="Times New Roman" w:eastAsia="Times New Roman" w:cs="Times New Roman"/>
          <w:spacing w:val="-12"/>
        </w:rPr>
        <w:t>0.4</w:t>
      </w:r>
      <w:r>
        <w:rPr>
          <w:rFonts w:ascii="Times New Roman" w:hAnsi="Times New Roman" w:eastAsia="Times New Roman" w:cs="Times New Roman"/>
          <w:spacing w:val="22"/>
        </w:rPr>
        <w:t xml:space="preserve"> </w:t>
      </w:r>
      <w:r>
        <w:rPr>
          <w:spacing w:val="-12"/>
        </w:rPr>
        <w:t>分。</w:t>
      </w:r>
    </w:p>
    <w:p w14:paraId="62B5E5ED">
      <w:pPr>
        <w:spacing w:before="276" w:line="219" w:lineRule="auto"/>
        <w:ind w:left="608"/>
        <w:outlineLvl w:val="1"/>
        <w:rPr>
          <w:rFonts w:ascii="黑体" w:hAnsi="黑体" w:eastAsia="黑体" w:cs="黑体"/>
          <w:sz w:val="28"/>
          <w:szCs w:val="28"/>
        </w:rPr>
      </w:pPr>
      <w:r>
        <w:rPr>
          <w:rFonts w:ascii="黑体" w:hAnsi="黑体" w:eastAsia="黑体" w:cs="黑体"/>
          <w:spacing w:val="-3"/>
          <w:sz w:val="28"/>
          <w:szCs w:val="28"/>
        </w:rPr>
        <w:t>三、科研成果</w:t>
      </w:r>
    </w:p>
    <w:p w14:paraId="56EA21A2">
      <w:pPr>
        <w:pStyle w:val="2"/>
        <w:spacing w:before="294" w:line="411" w:lineRule="auto"/>
        <w:ind w:left="50" w:right="28" w:firstLine="571"/>
        <w:jc w:val="both"/>
      </w:pPr>
      <w:r>
        <w:rPr>
          <w:spacing w:val="6"/>
        </w:rPr>
        <w:t>学生本科阶段在核心期刊上以独立作者或第一作者</w:t>
      </w:r>
      <w:r>
        <w:rPr>
          <w:spacing w:val="5"/>
        </w:rPr>
        <w:t>发表或者与</w:t>
      </w:r>
      <w:r>
        <w:rPr>
          <w:spacing w:val="-8"/>
        </w:rPr>
        <w:t>指导老师（老师为第一作者、学生为第二作者） 联合</w:t>
      </w:r>
      <w:r>
        <w:rPr>
          <w:spacing w:val="-9"/>
        </w:rPr>
        <w:t>发表的与学业相</w:t>
      </w:r>
      <w:r>
        <w:rPr>
          <w:spacing w:val="1"/>
        </w:rPr>
        <w:t>关的科研论文，且论文署名单位为</w:t>
      </w:r>
      <w:r>
        <w:rPr>
          <w:rFonts w:ascii="Times New Roman" w:hAnsi="Times New Roman" w:eastAsia="Times New Roman" w:cs="Times New Roman"/>
          <w:spacing w:val="1"/>
        </w:rPr>
        <w:t>“</w:t>
      </w:r>
      <w:r>
        <w:rPr>
          <w:spacing w:val="1"/>
        </w:rPr>
        <w:t>中国石油大学（北京）克拉玛依</w:t>
      </w:r>
      <w:r>
        <w:rPr>
          <w:spacing w:val="-6"/>
        </w:rPr>
        <w:t>校区</w:t>
      </w:r>
      <w:r>
        <w:rPr>
          <w:rFonts w:ascii="Times New Roman" w:hAnsi="Times New Roman" w:eastAsia="Times New Roman" w:cs="Times New Roman"/>
          <w:spacing w:val="-6"/>
        </w:rPr>
        <w:t>”</w:t>
      </w:r>
      <w:r>
        <w:rPr>
          <w:spacing w:val="-6"/>
        </w:rPr>
        <w:t xml:space="preserve">，按照下表进行赋分，上限为 </w:t>
      </w:r>
      <w:r>
        <w:rPr>
          <w:rFonts w:ascii="Times New Roman" w:hAnsi="Times New Roman" w:eastAsia="Times New Roman" w:cs="Times New Roman"/>
          <w:spacing w:val="-6"/>
        </w:rPr>
        <w:t>3</w:t>
      </w:r>
      <w:r>
        <w:rPr>
          <w:rFonts w:ascii="Times New Roman" w:hAnsi="Times New Roman" w:eastAsia="Times New Roman" w:cs="Times New Roman"/>
          <w:spacing w:val="30"/>
          <w:w w:val="101"/>
        </w:rPr>
        <w:t xml:space="preserve"> </w:t>
      </w:r>
      <w:r>
        <w:rPr>
          <w:spacing w:val="-6"/>
        </w:rPr>
        <w:t>分。</w:t>
      </w:r>
    </w:p>
    <w:p w14:paraId="155CB8C4">
      <w:pPr>
        <w:pStyle w:val="2"/>
        <w:spacing w:line="218" w:lineRule="auto"/>
        <w:ind w:left="613"/>
      </w:pPr>
      <w:r>
        <w:rPr>
          <w:spacing w:val="-9"/>
        </w:rPr>
        <w:t>具体赋分方式如下：</w:t>
      </w:r>
    </w:p>
    <w:p w14:paraId="10D26620">
      <w:pPr>
        <w:spacing w:line="119" w:lineRule="exact"/>
      </w:pPr>
    </w:p>
    <w:tbl>
      <w:tblPr>
        <w:tblStyle w:val="6"/>
        <w:tblW w:w="5524" w:type="dxa"/>
        <w:tblInd w:w="1423"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4103"/>
        <w:gridCol w:w="1421"/>
      </w:tblGrid>
      <w:tr w14:paraId="52FA751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15" w:hRule="atLeast"/>
        </w:trPr>
        <w:tc>
          <w:tcPr>
            <w:tcW w:w="4103" w:type="dxa"/>
            <w:vAlign w:val="top"/>
          </w:tcPr>
          <w:p w14:paraId="09BD3740">
            <w:pPr>
              <w:spacing w:before="35" w:line="207" w:lineRule="auto"/>
              <w:ind w:left="1575"/>
              <w:rPr>
                <w:rFonts w:ascii="宋体" w:hAnsi="宋体" w:eastAsia="宋体" w:cs="宋体"/>
                <w:sz w:val="24"/>
                <w:szCs w:val="24"/>
              </w:rPr>
            </w:pPr>
            <w:r>
              <w:rPr>
                <w:rFonts w:ascii="宋体" w:hAnsi="宋体" w:eastAsia="宋体" w:cs="宋体"/>
                <w:b/>
                <w:bCs/>
                <w:spacing w:val="-5"/>
                <w:sz w:val="24"/>
                <w:szCs w:val="24"/>
              </w:rPr>
              <w:t>成果类别</w:t>
            </w:r>
          </w:p>
        </w:tc>
        <w:tc>
          <w:tcPr>
            <w:tcW w:w="1421" w:type="dxa"/>
            <w:vAlign w:val="top"/>
          </w:tcPr>
          <w:p w14:paraId="3CBCA56C">
            <w:pPr>
              <w:spacing w:before="35" w:line="207" w:lineRule="auto"/>
              <w:ind w:left="479"/>
              <w:rPr>
                <w:rFonts w:ascii="宋体" w:hAnsi="宋体" w:eastAsia="宋体" w:cs="宋体"/>
                <w:sz w:val="24"/>
                <w:szCs w:val="24"/>
              </w:rPr>
            </w:pPr>
            <w:r>
              <w:rPr>
                <w:rFonts w:ascii="宋体" w:hAnsi="宋体" w:eastAsia="宋体" w:cs="宋体"/>
                <w:b/>
                <w:bCs/>
                <w:spacing w:val="-6"/>
                <w:sz w:val="24"/>
                <w:szCs w:val="24"/>
              </w:rPr>
              <w:t>分值</w:t>
            </w:r>
          </w:p>
        </w:tc>
      </w:tr>
      <w:tr w14:paraId="575D2FC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10" w:hRule="atLeast"/>
        </w:trPr>
        <w:tc>
          <w:tcPr>
            <w:tcW w:w="4103" w:type="dxa"/>
            <w:vAlign w:val="top"/>
          </w:tcPr>
          <w:p w14:paraId="1FFD2EB7">
            <w:pPr>
              <w:pStyle w:val="7"/>
              <w:spacing w:before="32" w:line="206" w:lineRule="auto"/>
              <w:ind w:left="117"/>
              <w:rPr>
                <w:rFonts w:ascii="宋体" w:hAnsi="宋体" w:eastAsia="宋体" w:cs="宋体"/>
                <w:sz w:val="24"/>
                <w:szCs w:val="24"/>
              </w:rPr>
            </w:pPr>
            <w:r>
              <w:rPr>
                <w:rFonts w:hint="eastAsia" w:eastAsia="宋体"/>
                <w:spacing w:val="-3"/>
                <w:sz w:val="24"/>
                <w:szCs w:val="24"/>
                <w:lang w:val="en-US" w:eastAsia="zh-CN"/>
              </w:rPr>
              <w:t xml:space="preserve">SCI / SSCI </w:t>
            </w:r>
            <w:r>
              <w:rPr>
                <w:spacing w:val="-3"/>
                <w:sz w:val="24"/>
                <w:szCs w:val="24"/>
              </w:rPr>
              <w:t xml:space="preserve"> JCR Q1</w:t>
            </w:r>
            <w:r>
              <w:rPr>
                <w:spacing w:val="27"/>
                <w:sz w:val="24"/>
                <w:szCs w:val="24"/>
              </w:rPr>
              <w:t xml:space="preserve"> </w:t>
            </w:r>
            <w:r>
              <w:rPr>
                <w:rFonts w:ascii="宋体" w:hAnsi="宋体" w:eastAsia="宋体" w:cs="宋体"/>
                <w:spacing w:val="-3"/>
                <w:sz w:val="24"/>
                <w:szCs w:val="24"/>
              </w:rPr>
              <w:t>区论文</w:t>
            </w:r>
          </w:p>
        </w:tc>
        <w:tc>
          <w:tcPr>
            <w:tcW w:w="1421" w:type="dxa"/>
            <w:vAlign w:val="top"/>
          </w:tcPr>
          <w:p w14:paraId="0BE13EB8">
            <w:pPr>
              <w:pStyle w:val="7"/>
              <w:spacing w:before="32" w:line="206" w:lineRule="auto"/>
              <w:ind w:left="417"/>
              <w:rPr>
                <w:rFonts w:ascii="宋体" w:hAnsi="宋体" w:eastAsia="宋体" w:cs="宋体"/>
                <w:sz w:val="24"/>
                <w:szCs w:val="24"/>
              </w:rPr>
            </w:pPr>
            <w:r>
              <w:rPr>
                <w:spacing w:val="-3"/>
                <w:sz w:val="24"/>
                <w:szCs w:val="24"/>
              </w:rPr>
              <w:t>3.0</w:t>
            </w:r>
            <w:r>
              <w:rPr>
                <w:spacing w:val="13"/>
                <w:sz w:val="24"/>
                <w:szCs w:val="24"/>
              </w:rPr>
              <w:t xml:space="preserve"> </w:t>
            </w:r>
            <w:r>
              <w:rPr>
                <w:rFonts w:ascii="宋体" w:hAnsi="宋体" w:eastAsia="宋体" w:cs="宋体"/>
                <w:spacing w:val="-3"/>
                <w:sz w:val="24"/>
                <w:szCs w:val="24"/>
              </w:rPr>
              <w:t>分</w:t>
            </w:r>
          </w:p>
        </w:tc>
      </w:tr>
      <w:tr w14:paraId="6553B65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11" w:hRule="atLeast"/>
        </w:trPr>
        <w:tc>
          <w:tcPr>
            <w:tcW w:w="4103" w:type="dxa"/>
            <w:vAlign w:val="top"/>
          </w:tcPr>
          <w:p w14:paraId="5A0B98E9">
            <w:pPr>
              <w:pStyle w:val="7"/>
              <w:spacing w:before="34" w:line="205" w:lineRule="auto"/>
              <w:ind w:left="117"/>
              <w:rPr>
                <w:rFonts w:ascii="宋体" w:hAnsi="宋体" w:eastAsia="宋体" w:cs="宋体"/>
                <w:sz w:val="24"/>
                <w:szCs w:val="24"/>
              </w:rPr>
            </w:pPr>
            <w:r>
              <w:rPr>
                <w:rFonts w:hint="eastAsia" w:eastAsia="宋体"/>
                <w:spacing w:val="-3"/>
                <w:sz w:val="24"/>
                <w:szCs w:val="24"/>
                <w:lang w:val="en-US" w:eastAsia="zh-CN"/>
              </w:rPr>
              <w:t xml:space="preserve">SCI / SSCI </w:t>
            </w:r>
            <w:r>
              <w:rPr>
                <w:spacing w:val="-3"/>
                <w:sz w:val="24"/>
                <w:szCs w:val="24"/>
              </w:rPr>
              <w:t xml:space="preserve"> JCR Q2</w:t>
            </w:r>
            <w:r>
              <w:rPr>
                <w:spacing w:val="27"/>
                <w:sz w:val="24"/>
                <w:szCs w:val="24"/>
              </w:rPr>
              <w:t xml:space="preserve"> </w:t>
            </w:r>
            <w:r>
              <w:rPr>
                <w:rFonts w:ascii="宋体" w:hAnsi="宋体" w:eastAsia="宋体" w:cs="宋体"/>
                <w:spacing w:val="-3"/>
                <w:sz w:val="24"/>
                <w:szCs w:val="24"/>
              </w:rPr>
              <w:t>区论文</w:t>
            </w:r>
          </w:p>
        </w:tc>
        <w:tc>
          <w:tcPr>
            <w:tcW w:w="1421" w:type="dxa"/>
            <w:vAlign w:val="top"/>
          </w:tcPr>
          <w:p w14:paraId="536D5743">
            <w:pPr>
              <w:pStyle w:val="7"/>
              <w:spacing w:before="34" w:line="205" w:lineRule="auto"/>
              <w:ind w:left="435"/>
              <w:rPr>
                <w:rFonts w:ascii="宋体" w:hAnsi="宋体" w:eastAsia="宋体" w:cs="宋体"/>
                <w:sz w:val="24"/>
                <w:szCs w:val="24"/>
              </w:rPr>
            </w:pPr>
            <w:r>
              <w:rPr>
                <w:spacing w:val="-8"/>
                <w:sz w:val="24"/>
                <w:szCs w:val="24"/>
              </w:rPr>
              <w:t>1.7</w:t>
            </w:r>
            <w:r>
              <w:rPr>
                <w:spacing w:val="15"/>
                <w:sz w:val="24"/>
                <w:szCs w:val="24"/>
              </w:rPr>
              <w:t xml:space="preserve"> </w:t>
            </w:r>
            <w:r>
              <w:rPr>
                <w:rFonts w:ascii="宋体" w:hAnsi="宋体" w:eastAsia="宋体" w:cs="宋体"/>
                <w:spacing w:val="-8"/>
                <w:sz w:val="24"/>
                <w:szCs w:val="24"/>
              </w:rPr>
              <w:t>分</w:t>
            </w:r>
          </w:p>
        </w:tc>
      </w:tr>
      <w:tr w14:paraId="755E682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11" w:hRule="atLeast"/>
        </w:trPr>
        <w:tc>
          <w:tcPr>
            <w:tcW w:w="4103" w:type="dxa"/>
            <w:vAlign w:val="top"/>
          </w:tcPr>
          <w:p w14:paraId="2887E6EC">
            <w:pPr>
              <w:pStyle w:val="7"/>
              <w:spacing w:before="35" w:line="204" w:lineRule="auto"/>
              <w:ind w:left="117"/>
              <w:rPr>
                <w:rFonts w:ascii="宋体" w:hAnsi="宋体" w:eastAsia="宋体" w:cs="宋体"/>
                <w:sz w:val="24"/>
                <w:szCs w:val="24"/>
              </w:rPr>
            </w:pPr>
            <w:r>
              <w:rPr>
                <w:rFonts w:hint="eastAsia" w:eastAsia="宋体"/>
                <w:spacing w:val="-3"/>
                <w:sz w:val="24"/>
                <w:szCs w:val="24"/>
                <w:lang w:val="en-US" w:eastAsia="zh-CN"/>
              </w:rPr>
              <w:t xml:space="preserve">SCI / SSCI </w:t>
            </w:r>
            <w:r>
              <w:rPr>
                <w:spacing w:val="-3"/>
                <w:sz w:val="24"/>
                <w:szCs w:val="24"/>
              </w:rPr>
              <w:t xml:space="preserve"> JCR Q3</w:t>
            </w:r>
            <w:r>
              <w:rPr>
                <w:spacing w:val="27"/>
                <w:sz w:val="24"/>
                <w:szCs w:val="24"/>
              </w:rPr>
              <w:t xml:space="preserve"> </w:t>
            </w:r>
            <w:r>
              <w:rPr>
                <w:rFonts w:ascii="宋体" w:hAnsi="宋体" w:eastAsia="宋体" w:cs="宋体"/>
                <w:spacing w:val="-3"/>
                <w:sz w:val="24"/>
                <w:szCs w:val="24"/>
              </w:rPr>
              <w:t>区</w:t>
            </w:r>
            <w:r>
              <w:rPr>
                <w:rFonts w:hint="eastAsia" w:ascii="宋体" w:hAnsi="宋体" w:eastAsia="宋体" w:cs="宋体"/>
                <w:spacing w:val="-3"/>
                <w:sz w:val="24"/>
                <w:szCs w:val="24"/>
                <w:lang w:val="en-US" w:eastAsia="zh-CN"/>
              </w:rPr>
              <w:t xml:space="preserve"> / </w:t>
            </w:r>
            <w:r>
              <w:rPr>
                <w:rFonts w:hint="eastAsia" w:eastAsia="宋体"/>
                <w:spacing w:val="-3"/>
                <w:sz w:val="24"/>
                <w:szCs w:val="24"/>
                <w:lang w:val="en-US" w:eastAsia="zh-CN"/>
              </w:rPr>
              <w:t>CSSCI</w:t>
            </w:r>
            <w:r>
              <w:rPr>
                <w:rFonts w:ascii="宋体" w:hAnsi="宋体" w:eastAsia="宋体" w:cs="宋体"/>
                <w:spacing w:val="-3"/>
                <w:sz w:val="24"/>
                <w:szCs w:val="24"/>
              </w:rPr>
              <w:t>论文</w:t>
            </w:r>
          </w:p>
        </w:tc>
        <w:tc>
          <w:tcPr>
            <w:tcW w:w="1421" w:type="dxa"/>
            <w:vAlign w:val="top"/>
          </w:tcPr>
          <w:p w14:paraId="0C0A3A3C">
            <w:pPr>
              <w:pStyle w:val="7"/>
              <w:spacing w:before="35" w:line="204" w:lineRule="auto"/>
              <w:ind w:left="435"/>
              <w:rPr>
                <w:rFonts w:ascii="宋体" w:hAnsi="宋体" w:eastAsia="宋体" w:cs="宋体"/>
                <w:sz w:val="24"/>
                <w:szCs w:val="24"/>
              </w:rPr>
            </w:pPr>
            <w:r>
              <w:rPr>
                <w:spacing w:val="-8"/>
                <w:sz w:val="24"/>
                <w:szCs w:val="24"/>
              </w:rPr>
              <w:t>1.4</w:t>
            </w:r>
            <w:r>
              <w:rPr>
                <w:spacing w:val="15"/>
                <w:sz w:val="24"/>
                <w:szCs w:val="24"/>
              </w:rPr>
              <w:t xml:space="preserve"> </w:t>
            </w:r>
            <w:r>
              <w:rPr>
                <w:rFonts w:ascii="宋体" w:hAnsi="宋体" w:eastAsia="宋体" w:cs="宋体"/>
                <w:spacing w:val="-8"/>
                <w:sz w:val="24"/>
                <w:szCs w:val="24"/>
              </w:rPr>
              <w:t>分</w:t>
            </w:r>
          </w:p>
        </w:tc>
      </w:tr>
      <w:tr w14:paraId="34E48A4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11" w:hRule="atLeast"/>
        </w:trPr>
        <w:tc>
          <w:tcPr>
            <w:tcW w:w="4103" w:type="dxa"/>
            <w:vAlign w:val="top"/>
          </w:tcPr>
          <w:p w14:paraId="425D768F">
            <w:pPr>
              <w:pStyle w:val="7"/>
              <w:spacing w:before="37" w:line="203" w:lineRule="auto"/>
              <w:ind w:left="117"/>
              <w:rPr>
                <w:rFonts w:ascii="宋体" w:hAnsi="宋体" w:eastAsia="宋体" w:cs="宋体"/>
                <w:sz w:val="24"/>
                <w:szCs w:val="24"/>
              </w:rPr>
            </w:pPr>
            <w:r>
              <w:rPr>
                <w:rFonts w:hint="eastAsia" w:eastAsia="宋体"/>
                <w:spacing w:val="-3"/>
                <w:sz w:val="24"/>
                <w:szCs w:val="24"/>
                <w:lang w:val="en-US" w:eastAsia="zh-CN"/>
              </w:rPr>
              <w:t xml:space="preserve">SCI / SSCI </w:t>
            </w:r>
            <w:r>
              <w:rPr>
                <w:spacing w:val="-3"/>
                <w:sz w:val="24"/>
                <w:szCs w:val="24"/>
              </w:rPr>
              <w:t xml:space="preserve"> JCR Q4</w:t>
            </w:r>
            <w:r>
              <w:rPr>
                <w:spacing w:val="27"/>
                <w:sz w:val="24"/>
                <w:szCs w:val="24"/>
              </w:rPr>
              <w:t xml:space="preserve"> </w:t>
            </w:r>
            <w:r>
              <w:rPr>
                <w:rFonts w:ascii="宋体" w:hAnsi="宋体" w:eastAsia="宋体" w:cs="宋体"/>
                <w:spacing w:val="-3"/>
                <w:sz w:val="24"/>
                <w:szCs w:val="24"/>
              </w:rPr>
              <w:t>区论文</w:t>
            </w:r>
          </w:p>
        </w:tc>
        <w:tc>
          <w:tcPr>
            <w:tcW w:w="1421" w:type="dxa"/>
            <w:vAlign w:val="top"/>
          </w:tcPr>
          <w:p w14:paraId="6F552C3E">
            <w:pPr>
              <w:pStyle w:val="7"/>
              <w:spacing w:before="37" w:line="203" w:lineRule="auto"/>
              <w:ind w:left="416"/>
              <w:rPr>
                <w:rFonts w:ascii="宋体" w:hAnsi="宋体" w:eastAsia="宋体" w:cs="宋体"/>
                <w:sz w:val="24"/>
                <w:szCs w:val="24"/>
              </w:rPr>
            </w:pPr>
            <w:r>
              <w:rPr>
                <w:spacing w:val="-3"/>
                <w:sz w:val="24"/>
                <w:szCs w:val="24"/>
              </w:rPr>
              <w:t>0.8</w:t>
            </w:r>
            <w:r>
              <w:rPr>
                <w:spacing w:val="14"/>
                <w:sz w:val="24"/>
                <w:szCs w:val="24"/>
              </w:rPr>
              <w:t xml:space="preserve"> </w:t>
            </w:r>
            <w:r>
              <w:rPr>
                <w:rFonts w:ascii="宋体" w:hAnsi="宋体" w:eastAsia="宋体" w:cs="宋体"/>
                <w:spacing w:val="-3"/>
                <w:sz w:val="24"/>
                <w:szCs w:val="24"/>
              </w:rPr>
              <w:t>分</w:t>
            </w:r>
          </w:p>
        </w:tc>
      </w:tr>
      <w:tr w14:paraId="162FFC7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11" w:hRule="atLeast"/>
        </w:trPr>
        <w:tc>
          <w:tcPr>
            <w:tcW w:w="4103" w:type="dxa"/>
            <w:vAlign w:val="top"/>
          </w:tcPr>
          <w:p w14:paraId="009C4AD6">
            <w:pPr>
              <w:pStyle w:val="7"/>
              <w:spacing w:before="38" w:line="202" w:lineRule="auto"/>
              <w:ind w:left="107"/>
              <w:rPr>
                <w:rFonts w:ascii="宋体" w:hAnsi="宋体" w:eastAsia="宋体" w:cs="宋体"/>
                <w:sz w:val="24"/>
                <w:szCs w:val="24"/>
              </w:rPr>
            </w:pPr>
            <w:r>
              <w:rPr>
                <w:spacing w:val="-3"/>
                <w:sz w:val="24"/>
                <w:szCs w:val="24"/>
              </w:rPr>
              <w:t>EI</w:t>
            </w:r>
            <w:r>
              <w:rPr>
                <w:rFonts w:hint="eastAsia" w:eastAsia="宋体"/>
                <w:spacing w:val="-3"/>
                <w:sz w:val="24"/>
                <w:szCs w:val="24"/>
                <w:lang w:val="en-US" w:eastAsia="zh-CN"/>
              </w:rPr>
              <w:t xml:space="preserve"> </w:t>
            </w:r>
            <w:r>
              <w:rPr>
                <w:rFonts w:hint="eastAsia" w:eastAsia="宋体"/>
                <w:spacing w:val="11"/>
                <w:sz w:val="24"/>
                <w:szCs w:val="24"/>
                <w:lang w:val="en-US" w:eastAsia="zh-CN"/>
              </w:rPr>
              <w:t>/ 北大核心</w:t>
            </w:r>
            <w:r>
              <w:rPr>
                <w:rFonts w:ascii="宋体" w:hAnsi="宋体" w:eastAsia="宋体" w:cs="宋体"/>
                <w:spacing w:val="-3"/>
                <w:sz w:val="24"/>
                <w:szCs w:val="24"/>
              </w:rPr>
              <w:t>论文</w:t>
            </w:r>
          </w:p>
        </w:tc>
        <w:tc>
          <w:tcPr>
            <w:tcW w:w="1421" w:type="dxa"/>
            <w:vAlign w:val="top"/>
          </w:tcPr>
          <w:p w14:paraId="3B4136E7">
            <w:pPr>
              <w:pStyle w:val="7"/>
              <w:spacing w:before="38" w:line="202" w:lineRule="auto"/>
              <w:ind w:left="416"/>
              <w:rPr>
                <w:rFonts w:ascii="宋体" w:hAnsi="宋体" w:eastAsia="宋体" w:cs="宋体"/>
                <w:sz w:val="24"/>
                <w:szCs w:val="24"/>
              </w:rPr>
            </w:pPr>
            <w:r>
              <w:rPr>
                <w:spacing w:val="-3"/>
                <w:sz w:val="24"/>
                <w:szCs w:val="24"/>
              </w:rPr>
              <w:t>0.6</w:t>
            </w:r>
            <w:r>
              <w:rPr>
                <w:spacing w:val="14"/>
                <w:sz w:val="24"/>
                <w:szCs w:val="24"/>
              </w:rPr>
              <w:t xml:space="preserve"> </w:t>
            </w:r>
            <w:r>
              <w:rPr>
                <w:rFonts w:ascii="宋体" w:hAnsi="宋体" w:eastAsia="宋体" w:cs="宋体"/>
                <w:spacing w:val="-3"/>
                <w:sz w:val="24"/>
                <w:szCs w:val="24"/>
              </w:rPr>
              <w:t>分</w:t>
            </w:r>
          </w:p>
        </w:tc>
      </w:tr>
      <w:tr w14:paraId="66948A6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15" w:hRule="atLeast"/>
        </w:trPr>
        <w:tc>
          <w:tcPr>
            <w:tcW w:w="4103" w:type="dxa"/>
            <w:vAlign w:val="top"/>
          </w:tcPr>
          <w:p w14:paraId="514917F6">
            <w:pPr>
              <w:spacing w:before="39" w:line="204" w:lineRule="auto"/>
              <w:rPr>
                <w:rFonts w:hint="default" w:ascii="宋体" w:hAnsi="宋体" w:eastAsia="宋体" w:cs="宋体"/>
                <w:sz w:val="24"/>
                <w:szCs w:val="24"/>
                <w:lang w:val="en-US" w:eastAsia="zh-CN"/>
              </w:rPr>
            </w:pPr>
            <w:r>
              <w:rPr>
                <w:rFonts w:hint="eastAsia" w:ascii="宋体" w:hAnsi="宋体" w:eastAsia="宋体" w:cs="宋体"/>
                <w:sz w:val="24"/>
                <w:szCs w:val="24"/>
                <w:lang w:val="en-US" w:eastAsia="zh-CN"/>
              </w:rPr>
              <w:t>科技核心 /</w:t>
            </w:r>
            <w:r>
              <w:rPr>
                <w:rFonts w:hint="eastAsia" w:eastAsia="宋体"/>
                <w:spacing w:val="11"/>
                <w:sz w:val="24"/>
                <w:szCs w:val="24"/>
                <w:lang w:val="en-US" w:eastAsia="zh-CN"/>
              </w:rPr>
              <w:t xml:space="preserve"> </w:t>
            </w:r>
            <w:r>
              <w:rPr>
                <w:rFonts w:hint="eastAsia" w:ascii="Times New Roman" w:hAnsi="Times New Roman" w:eastAsia="宋体" w:cs="Times New Roman"/>
                <w:snapToGrid w:val="0"/>
                <w:color w:val="000000"/>
                <w:spacing w:val="-3"/>
                <w:kern w:val="0"/>
                <w:sz w:val="24"/>
                <w:szCs w:val="24"/>
                <w:lang w:val="en-US" w:eastAsia="zh-CN" w:bidi="ar-SA"/>
              </w:rPr>
              <w:t>CSCD 论文</w:t>
            </w:r>
          </w:p>
        </w:tc>
        <w:tc>
          <w:tcPr>
            <w:tcW w:w="1421" w:type="dxa"/>
            <w:vAlign w:val="top"/>
          </w:tcPr>
          <w:p w14:paraId="6C7392C9">
            <w:pPr>
              <w:pStyle w:val="7"/>
              <w:spacing w:before="39" w:line="204" w:lineRule="auto"/>
              <w:ind w:left="416"/>
              <w:rPr>
                <w:rFonts w:ascii="宋体" w:hAnsi="宋体" w:eastAsia="宋体" w:cs="宋体"/>
                <w:sz w:val="24"/>
                <w:szCs w:val="24"/>
              </w:rPr>
            </w:pPr>
            <w:r>
              <w:rPr>
                <w:spacing w:val="-3"/>
                <w:sz w:val="24"/>
                <w:szCs w:val="24"/>
              </w:rPr>
              <w:t>0.5</w:t>
            </w:r>
            <w:r>
              <w:rPr>
                <w:spacing w:val="14"/>
                <w:sz w:val="24"/>
                <w:szCs w:val="24"/>
              </w:rPr>
              <w:t xml:space="preserve"> </w:t>
            </w:r>
            <w:r>
              <w:rPr>
                <w:rFonts w:ascii="宋体" w:hAnsi="宋体" w:eastAsia="宋体" w:cs="宋体"/>
                <w:spacing w:val="-3"/>
                <w:sz w:val="24"/>
                <w:szCs w:val="24"/>
              </w:rPr>
              <w:t>分</w:t>
            </w:r>
          </w:p>
        </w:tc>
      </w:tr>
    </w:tbl>
    <w:p w14:paraId="0FC8F66A">
      <w:pPr>
        <w:spacing w:before="174" w:line="219" w:lineRule="auto"/>
        <w:ind w:left="619"/>
        <w:outlineLvl w:val="1"/>
        <w:rPr>
          <w:rFonts w:ascii="黑体" w:hAnsi="黑体" w:eastAsia="黑体" w:cs="黑体"/>
          <w:sz w:val="28"/>
          <w:szCs w:val="28"/>
        </w:rPr>
      </w:pPr>
      <w:r>
        <w:rPr>
          <w:rFonts w:ascii="黑体" w:hAnsi="黑体" w:eastAsia="黑体" w:cs="黑体"/>
          <w:spacing w:val="-4"/>
          <w:sz w:val="28"/>
          <w:szCs w:val="28"/>
        </w:rPr>
        <w:t>四、竞赛获奖</w:t>
      </w:r>
    </w:p>
    <w:p w14:paraId="3EDD6E71">
      <w:pPr>
        <w:pStyle w:val="2"/>
        <w:spacing w:before="289" w:line="389" w:lineRule="auto"/>
        <w:ind w:left="50" w:right="31" w:firstLine="571"/>
        <w:jc w:val="both"/>
      </w:pPr>
      <w:r>
        <w:rPr>
          <w:spacing w:val="5"/>
        </w:rPr>
        <w:t>学生本科阶段作为唯一队员或主力队员参加与学业相关的纳入</w:t>
      </w:r>
      <w:r>
        <w:rPr>
          <w:spacing w:val="-4"/>
        </w:rPr>
        <w:t>校区竞赛认定范围的国内权威科研竞赛（</w:t>
      </w:r>
      <w:r>
        <w:rPr>
          <w:rFonts w:hint="eastAsia"/>
          <w:spacing w:val="-4"/>
          <w:lang w:val="en-US" w:eastAsia="zh-CN"/>
        </w:rPr>
        <w:t>以学院认定的竞赛目录为标准</w:t>
      </w:r>
      <w:r>
        <w:rPr>
          <w:spacing w:val="-56"/>
        </w:rPr>
        <w:t>），</w:t>
      </w:r>
      <w:r>
        <w:t>获得三等次奖或以上奖励，每项赛事</w:t>
      </w:r>
      <w:r>
        <w:rPr>
          <w:spacing w:val="-1"/>
        </w:rPr>
        <w:t>只取</w:t>
      </w:r>
      <w:r>
        <w:rPr>
          <w:spacing w:val="-4"/>
        </w:rPr>
        <w:t>最终比赛设置奖项的前三项（校区教务认定）按如下标准赋分，上限</w:t>
      </w:r>
      <w:r>
        <w:rPr>
          <w:spacing w:val="-12"/>
        </w:rPr>
        <w:t>为</w:t>
      </w:r>
      <w:r>
        <w:rPr>
          <w:spacing w:val="-64"/>
        </w:rPr>
        <w:t xml:space="preserve"> </w:t>
      </w:r>
      <w:r>
        <w:rPr>
          <w:rFonts w:ascii="Times New Roman" w:hAnsi="Times New Roman" w:eastAsia="Times New Roman" w:cs="Times New Roman"/>
          <w:spacing w:val="-12"/>
        </w:rPr>
        <w:t>4</w:t>
      </w:r>
      <w:r>
        <w:rPr>
          <w:rFonts w:ascii="Times New Roman" w:hAnsi="Times New Roman" w:eastAsia="Times New Roman" w:cs="Times New Roman"/>
          <w:spacing w:val="22"/>
        </w:rPr>
        <w:t xml:space="preserve"> </w:t>
      </w:r>
      <w:r>
        <w:rPr>
          <w:spacing w:val="-12"/>
        </w:rPr>
        <w:t>分。</w:t>
      </w:r>
    </w:p>
    <w:tbl>
      <w:tblPr>
        <w:tblStyle w:val="6"/>
        <w:tblW w:w="8359" w:type="dxa"/>
        <w:tblInd w:w="5"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1415"/>
        <w:gridCol w:w="1700"/>
        <w:gridCol w:w="1698"/>
        <w:gridCol w:w="1842"/>
        <w:gridCol w:w="1704"/>
      </w:tblGrid>
      <w:tr w14:paraId="37E4191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26" w:hRule="atLeast"/>
        </w:trPr>
        <w:tc>
          <w:tcPr>
            <w:tcW w:w="3115" w:type="dxa"/>
            <w:gridSpan w:val="2"/>
            <w:vAlign w:val="top"/>
          </w:tcPr>
          <w:p w14:paraId="5A3DC3EB">
            <w:pPr>
              <w:spacing w:before="173" w:line="218" w:lineRule="auto"/>
              <w:ind w:left="1014"/>
              <w:rPr>
                <w:rFonts w:ascii="仿宋" w:hAnsi="仿宋" w:eastAsia="仿宋" w:cs="仿宋"/>
                <w:sz w:val="28"/>
                <w:szCs w:val="28"/>
              </w:rPr>
            </w:pPr>
            <w:r>
              <w:rPr>
                <w:rFonts w:ascii="仿宋" w:hAnsi="仿宋" w:eastAsia="仿宋" w:cs="仿宋"/>
                <w:spacing w:val="-6"/>
                <w:sz w:val="28"/>
                <w:szCs w:val="28"/>
              </w:rPr>
              <w:t>获奖等级</w:t>
            </w:r>
          </w:p>
        </w:tc>
        <w:tc>
          <w:tcPr>
            <w:tcW w:w="1698" w:type="dxa"/>
            <w:vAlign w:val="top"/>
          </w:tcPr>
          <w:p w14:paraId="4A4D3EB8">
            <w:pPr>
              <w:pStyle w:val="7"/>
              <w:spacing w:before="173" w:line="220" w:lineRule="auto"/>
              <w:ind w:left="571"/>
              <w:rPr>
                <w:rFonts w:ascii="仿宋" w:hAnsi="仿宋" w:eastAsia="仿宋" w:cs="仿宋"/>
              </w:rPr>
            </w:pPr>
            <w:r>
              <w:rPr>
                <w:spacing w:val="-2"/>
              </w:rPr>
              <w:t>A</w:t>
            </w:r>
            <w:r>
              <w:rPr>
                <w:spacing w:val="22"/>
              </w:rPr>
              <w:t xml:space="preserve"> </w:t>
            </w:r>
            <w:r>
              <w:rPr>
                <w:rFonts w:ascii="仿宋" w:hAnsi="仿宋" w:eastAsia="仿宋" w:cs="仿宋"/>
                <w:spacing w:val="-2"/>
              </w:rPr>
              <w:t>类</w:t>
            </w:r>
          </w:p>
        </w:tc>
        <w:tc>
          <w:tcPr>
            <w:tcW w:w="1842" w:type="dxa"/>
            <w:vAlign w:val="top"/>
          </w:tcPr>
          <w:p w14:paraId="4B446063">
            <w:pPr>
              <w:pStyle w:val="7"/>
              <w:spacing w:before="173" w:line="220" w:lineRule="auto"/>
              <w:ind w:left="656"/>
              <w:rPr>
                <w:rFonts w:ascii="仿宋" w:hAnsi="仿宋" w:eastAsia="仿宋" w:cs="仿宋"/>
              </w:rPr>
            </w:pPr>
            <w:r>
              <w:rPr>
                <w:spacing w:val="-3"/>
              </w:rPr>
              <w:t>B</w:t>
            </w:r>
            <w:r>
              <w:rPr>
                <w:spacing w:val="21"/>
              </w:rPr>
              <w:t xml:space="preserve"> </w:t>
            </w:r>
            <w:r>
              <w:rPr>
                <w:rFonts w:ascii="仿宋" w:hAnsi="仿宋" w:eastAsia="仿宋" w:cs="仿宋"/>
                <w:spacing w:val="-3"/>
              </w:rPr>
              <w:t>类</w:t>
            </w:r>
          </w:p>
        </w:tc>
        <w:tc>
          <w:tcPr>
            <w:tcW w:w="1704" w:type="dxa"/>
            <w:vAlign w:val="top"/>
          </w:tcPr>
          <w:p w14:paraId="2D359810">
            <w:pPr>
              <w:pStyle w:val="7"/>
              <w:spacing w:before="173" w:line="220" w:lineRule="auto"/>
              <w:ind w:left="592"/>
              <w:rPr>
                <w:rFonts w:ascii="仿宋" w:hAnsi="仿宋" w:eastAsia="仿宋" w:cs="仿宋"/>
              </w:rPr>
            </w:pPr>
            <w:r>
              <w:rPr>
                <w:spacing w:val="-6"/>
              </w:rPr>
              <w:t>C</w:t>
            </w:r>
            <w:r>
              <w:rPr>
                <w:spacing w:val="22"/>
              </w:rPr>
              <w:t xml:space="preserve"> </w:t>
            </w:r>
            <w:r>
              <w:rPr>
                <w:rFonts w:ascii="仿宋" w:hAnsi="仿宋" w:eastAsia="仿宋" w:cs="仿宋"/>
                <w:spacing w:val="-6"/>
              </w:rPr>
              <w:t>类</w:t>
            </w:r>
          </w:p>
        </w:tc>
      </w:tr>
      <w:tr w14:paraId="13C8A02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22" w:hRule="atLeast"/>
        </w:trPr>
        <w:tc>
          <w:tcPr>
            <w:tcW w:w="1415" w:type="dxa"/>
            <w:vMerge w:val="restart"/>
            <w:tcBorders>
              <w:bottom w:val="nil"/>
            </w:tcBorders>
            <w:vAlign w:val="top"/>
          </w:tcPr>
          <w:p w14:paraId="2433E342">
            <w:pPr>
              <w:spacing w:before="181" w:line="219" w:lineRule="auto"/>
              <w:ind w:left="192"/>
              <w:rPr>
                <w:rFonts w:ascii="仿宋" w:hAnsi="仿宋" w:eastAsia="仿宋" w:cs="仿宋"/>
                <w:sz w:val="28"/>
                <w:szCs w:val="28"/>
              </w:rPr>
            </w:pPr>
            <w:r>
              <w:rPr>
                <w:rFonts w:ascii="仿宋" w:hAnsi="仿宋" w:eastAsia="仿宋" w:cs="仿宋"/>
                <w:spacing w:val="-10"/>
                <w:sz w:val="28"/>
                <w:szCs w:val="28"/>
              </w:rPr>
              <w:t>国家（国</w:t>
            </w:r>
          </w:p>
          <w:p w14:paraId="375118E8">
            <w:pPr>
              <w:spacing w:before="292" w:line="354" w:lineRule="auto"/>
              <w:ind w:left="579" w:right="142" w:hanging="406"/>
              <w:rPr>
                <w:rFonts w:ascii="仿宋" w:hAnsi="仿宋" w:eastAsia="仿宋" w:cs="仿宋"/>
                <w:sz w:val="28"/>
                <w:szCs w:val="28"/>
              </w:rPr>
            </w:pPr>
            <w:r>
              <w:rPr>
                <w:rFonts w:ascii="仿宋" w:hAnsi="仿宋" w:eastAsia="仿宋" w:cs="仿宋"/>
                <w:spacing w:val="-8"/>
                <w:sz w:val="28"/>
                <w:szCs w:val="28"/>
              </w:rPr>
              <w:t>际）级竞</w:t>
            </w:r>
            <w:r>
              <w:rPr>
                <w:rFonts w:ascii="仿宋" w:hAnsi="仿宋" w:eastAsia="仿宋" w:cs="仿宋"/>
                <w:sz w:val="28"/>
                <w:szCs w:val="28"/>
              </w:rPr>
              <w:t>赛</w:t>
            </w:r>
          </w:p>
        </w:tc>
        <w:tc>
          <w:tcPr>
            <w:tcW w:w="1700" w:type="dxa"/>
            <w:vAlign w:val="top"/>
          </w:tcPr>
          <w:p w14:paraId="244D25A6">
            <w:pPr>
              <w:spacing w:before="171" w:line="218" w:lineRule="auto"/>
              <w:ind w:left="173"/>
              <w:rPr>
                <w:rFonts w:ascii="仿宋" w:hAnsi="仿宋" w:eastAsia="仿宋" w:cs="仿宋"/>
                <w:sz w:val="28"/>
                <w:szCs w:val="28"/>
              </w:rPr>
            </w:pPr>
            <w:r>
              <w:rPr>
                <w:rFonts w:ascii="仿宋" w:hAnsi="仿宋" w:eastAsia="仿宋" w:cs="仿宋"/>
                <w:spacing w:val="-7"/>
                <w:sz w:val="28"/>
                <w:szCs w:val="28"/>
              </w:rPr>
              <w:t>第一等次奖</w:t>
            </w:r>
          </w:p>
        </w:tc>
        <w:tc>
          <w:tcPr>
            <w:tcW w:w="1698" w:type="dxa"/>
            <w:vAlign w:val="top"/>
          </w:tcPr>
          <w:p w14:paraId="359C1E32">
            <w:pPr>
              <w:pStyle w:val="7"/>
              <w:spacing w:before="172" w:line="233" w:lineRule="auto"/>
              <w:ind w:left="499"/>
              <w:rPr>
                <w:rFonts w:ascii="仿宋" w:hAnsi="仿宋" w:eastAsia="仿宋" w:cs="仿宋"/>
              </w:rPr>
            </w:pPr>
            <w:r>
              <w:rPr>
                <w:spacing w:val="-2"/>
              </w:rPr>
              <w:t>4.0</w:t>
            </w:r>
            <w:r>
              <w:rPr>
                <w:spacing w:val="24"/>
              </w:rPr>
              <w:t xml:space="preserve"> </w:t>
            </w:r>
            <w:r>
              <w:rPr>
                <w:rFonts w:ascii="仿宋" w:hAnsi="仿宋" w:eastAsia="仿宋" w:cs="仿宋"/>
                <w:spacing w:val="-2"/>
              </w:rPr>
              <w:t>分</w:t>
            </w:r>
          </w:p>
        </w:tc>
        <w:tc>
          <w:tcPr>
            <w:tcW w:w="1842" w:type="dxa"/>
            <w:vAlign w:val="top"/>
          </w:tcPr>
          <w:p w14:paraId="4535BC45">
            <w:pPr>
              <w:pStyle w:val="7"/>
              <w:spacing w:before="172" w:line="233" w:lineRule="auto"/>
              <w:ind w:left="580"/>
              <w:rPr>
                <w:rFonts w:ascii="仿宋" w:hAnsi="仿宋" w:eastAsia="仿宋" w:cs="仿宋"/>
              </w:rPr>
            </w:pPr>
            <w:r>
              <w:rPr>
                <w:spacing w:val="-3"/>
              </w:rPr>
              <w:t>3.0</w:t>
            </w:r>
            <w:r>
              <w:rPr>
                <w:spacing w:val="21"/>
                <w:w w:val="101"/>
              </w:rPr>
              <w:t xml:space="preserve"> </w:t>
            </w:r>
            <w:r>
              <w:rPr>
                <w:rFonts w:ascii="仿宋" w:hAnsi="仿宋" w:eastAsia="仿宋" w:cs="仿宋"/>
                <w:spacing w:val="-3"/>
              </w:rPr>
              <w:t>分</w:t>
            </w:r>
          </w:p>
        </w:tc>
        <w:tc>
          <w:tcPr>
            <w:tcW w:w="1704" w:type="dxa"/>
            <w:vAlign w:val="top"/>
          </w:tcPr>
          <w:p w14:paraId="4DA0D0F0">
            <w:pPr>
              <w:pStyle w:val="7"/>
              <w:spacing w:before="172" w:line="233" w:lineRule="auto"/>
              <w:ind w:left="505"/>
              <w:rPr>
                <w:rFonts w:ascii="仿宋" w:hAnsi="仿宋" w:eastAsia="仿宋" w:cs="仿宋"/>
              </w:rPr>
            </w:pPr>
            <w:r>
              <w:rPr>
                <w:spacing w:val="-2"/>
              </w:rPr>
              <w:t>2.0</w:t>
            </w:r>
            <w:r>
              <w:rPr>
                <w:spacing w:val="23"/>
              </w:rPr>
              <w:t xml:space="preserve"> </w:t>
            </w:r>
            <w:r>
              <w:rPr>
                <w:rFonts w:ascii="仿宋" w:hAnsi="仿宋" w:eastAsia="仿宋" w:cs="仿宋"/>
                <w:spacing w:val="-2"/>
              </w:rPr>
              <w:t>分</w:t>
            </w:r>
          </w:p>
        </w:tc>
      </w:tr>
      <w:tr w14:paraId="21133CA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22" w:hRule="atLeast"/>
        </w:trPr>
        <w:tc>
          <w:tcPr>
            <w:tcW w:w="1415" w:type="dxa"/>
            <w:vMerge w:val="continue"/>
            <w:tcBorders>
              <w:top w:val="nil"/>
              <w:bottom w:val="nil"/>
            </w:tcBorders>
            <w:vAlign w:val="top"/>
          </w:tcPr>
          <w:p w14:paraId="4E0DE205">
            <w:pPr>
              <w:rPr>
                <w:rFonts w:ascii="Arial"/>
                <w:sz w:val="21"/>
              </w:rPr>
            </w:pPr>
          </w:p>
        </w:tc>
        <w:tc>
          <w:tcPr>
            <w:tcW w:w="1700" w:type="dxa"/>
            <w:vAlign w:val="top"/>
          </w:tcPr>
          <w:p w14:paraId="415799A4">
            <w:pPr>
              <w:spacing w:before="173" w:line="218" w:lineRule="auto"/>
              <w:ind w:left="173"/>
              <w:rPr>
                <w:rFonts w:ascii="仿宋" w:hAnsi="仿宋" w:eastAsia="仿宋" w:cs="仿宋"/>
                <w:sz w:val="28"/>
                <w:szCs w:val="28"/>
              </w:rPr>
            </w:pPr>
            <w:r>
              <w:rPr>
                <w:rFonts w:ascii="仿宋" w:hAnsi="仿宋" w:eastAsia="仿宋" w:cs="仿宋"/>
                <w:spacing w:val="-7"/>
                <w:sz w:val="28"/>
                <w:szCs w:val="28"/>
              </w:rPr>
              <w:t>第二等次奖</w:t>
            </w:r>
          </w:p>
        </w:tc>
        <w:tc>
          <w:tcPr>
            <w:tcW w:w="1698" w:type="dxa"/>
            <w:vAlign w:val="top"/>
          </w:tcPr>
          <w:p w14:paraId="368BD2D9">
            <w:pPr>
              <w:pStyle w:val="7"/>
              <w:spacing w:before="174" w:line="233" w:lineRule="auto"/>
              <w:ind w:left="506"/>
              <w:rPr>
                <w:rFonts w:ascii="仿宋" w:hAnsi="仿宋" w:eastAsia="仿宋" w:cs="仿宋"/>
              </w:rPr>
            </w:pPr>
            <w:r>
              <w:rPr>
                <w:spacing w:val="-3"/>
              </w:rPr>
              <w:t>3.0</w:t>
            </w:r>
            <w:r>
              <w:rPr>
                <w:spacing w:val="21"/>
                <w:w w:val="101"/>
              </w:rPr>
              <w:t xml:space="preserve"> </w:t>
            </w:r>
            <w:r>
              <w:rPr>
                <w:rFonts w:ascii="仿宋" w:hAnsi="仿宋" w:eastAsia="仿宋" w:cs="仿宋"/>
                <w:spacing w:val="-3"/>
              </w:rPr>
              <w:t>分</w:t>
            </w:r>
          </w:p>
        </w:tc>
        <w:tc>
          <w:tcPr>
            <w:tcW w:w="1842" w:type="dxa"/>
            <w:vAlign w:val="top"/>
          </w:tcPr>
          <w:p w14:paraId="235376EE">
            <w:pPr>
              <w:pStyle w:val="7"/>
              <w:spacing w:before="174" w:line="233" w:lineRule="auto"/>
              <w:ind w:left="575"/>
              <w:rPr>
                <w:rFonts w:ascii="仿宋" w:hAnsi="仿宋" w:eastAsia="仿宋" w:cs="仿宋"/>
              </w:rPr>
            </w:pPr>
            <w:r>
              <w:rPr>
                <w:spacing w:val="-2"/>
              </w:rPr>
              <w:t>2.0</w:t>
            </w:r>
            <w:r>
              <w:rPr>
                <w:spacing w:val="22"/>
                <w:w w:val="101"/>
              </w:rPr>
              <w:t xml:space="preserve"> </w:t>
            </w:r>
            <w:r>
              <w:rPr>
                <w:rFonts w:ascii="仿宋" w:hAnsi="仿宋" w:eastAsia="仿宋" w:cs="仿宋"/>
                <w:spacing w:val="-2"/>
              </w:rPr>
              <w:t>分</w:t>
            </w:r>
          </w:p>
        </w:tc>
        <w:tc>
          <w:tcPr>
            <w:tcW w:w="1704" w:type="dxa"/>
            <w:vAlign w:val="top"/>
          </w:tcPr>
          <w:p w14:paraId="2AD64FF3">
            <w:pPr>
              <w:pStyle w:val="7"/>
              <w:spacing w:before="174" w:line="233" w:lineRule="auto"/>
              <w:ind w:left="532"/>
              <w:rPr>
                <w:rFonts w:ascii="仿宋" w:hAnsi="仿宋" w:eastAsia="仿宋" w:cs="仿宋"/>
              </w:rPr>
            </w:pPr>
            <w:r>
              <w:rPr>
                <w:spacing w:val="-9"/>
              </w:rPr>
              <w:t>1.0</w:t>
            </w:r>
            <w:r>
              <w:rPr>
                <w:spacing w:val="24"/>
              </w:rPr>
              <w:t xml:space="preserve"> </w:t>
            </w:r>
            <w:r>
              <w:rPr>
                <w:rFonts w:ascii="仿宋" w:hAnsi="仿宋" w:eastAsia="仿宋" w:cs="仿宋"/>
                <w:spacing w:val="-9"/>
              </w:rPr>
              <w:t>分</w:t>
            </w:r>
          </w:p>
        </w:tc>
      </w:tr>
      <w:tr w14:paraId="5D77FAA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26" w:hRule="atLeast"/>
        </w:trPr>
        <w:tc>
          <w:tcPr>
            <w:tcW w:w="1415" w:type="dxa"/>
            <w:vMerge w:val="continue"/>
            <w:tcBorders>
              <w:top w:val="nil"/>
            </w:tcBorders>
            <w:vAlign w:val="top"/>
          </w:tcPr>
          <w:p w14:paraId="6031077A">
            <w:pPr>
              <w:rPr>
                <w:rFonts w:ascii="Arial"/>
                <w:sz w:val="21"/>
              </w:rPr>
            </w:pPr>
          </w:p>
        </w:tc>
        <w:tc>
          <w:tcPr>
            <w:tcW w:w="1700" w:type="dxa"/>
            <w:vAlign w:val="top"/>
          </w:tcPr>
          <w:p w14:paraId="12B7F919">
            <w:pPr>
              <w:spacing w:before="175" w:line="218" w:lineRule="auto"/>
              <w:ind w:left="173"/>
              <w:rPr>
                <w:rFonts w:ascii="仿宋" w:hAnsi="仿宋" w:eastAsia="仿宋" w:cs="仿宋"/>
                <w:sz w:val="28"/>
                <w:szCs w:val="28"/>
              </w:rPr>
            </w:pPr>
            <w:r>
              <w:rPr>
                <w:rFonts w:ascii="仿宋" w:hAnsi="仿宋" w:eastAsia="仿宋" w:cs="仿宋"/>
                <w:spacing w:val="-7"/>
                <w:sz w:val="28"/>
                <w:szCs w:val="28"/>
              </w:rPr>
              <w:t>第三等次奖</w:t>
            </w:r>
          </w:p>
        </w:tc>
        <w:tc>
          <w:tcPr>
            <w:tcW w:w="1698" w:type="dxa"/>
            <w:vAlign w:val="top"/>
          </w:tcPr>
          <w:p w14:paraId="3287582F">
            <w:pPr>
              <w:pStyle w:val="7"/>
              <w:spacing w:before="176" w:line="233" w:lineRule="auto"/>
              <w:ind w:left="501"/>
              <w:rPr>
                <w:rFonts w:ascii="仿宋" w:hAnsi="仿宋" w:eastAsia="仿宋" w:cs="仿宋"/>
              </w:rPr>
            </w:pPr>
            <w:r>
              <w:rPr>
                <w:spacing w:val="-2"/>
              </w:rPr>
              <w:t>2.0</w:t>
            </w:r>
            <w:r>
              <w:rPr>
                <w:spacing w:val="22"/>
                <w:w w:val="101"/>
              </w:rPr>
              <w:t xml:space="preserve"> </w:t>
            </w:r>
            <w:r>
              <w:rPr>
                <w:rFonts w:ascii="仿宋" w:hAnsi="仿宋" w:eastAsia="仿宋" w:cs="仿宋"/>
                <w:spacing w:val="-2"/>
              </w:rPr>
              <w:t>分</w:t>
            </w:r>
          </w:p>
        </w:tc>
        <w:tc>
          <w:tcPr>
            <w:tcW w:w="1842" w:type="dxa"/>
            <w:vAlign w:val="top"/>
          </w:tcPr>
          <w:p w14:paraId="74F5B650">
            <w:pPr>
              <w:pStyle w:val="7"/>
              <w:spacing w:before="176" w:line="233" w:lineRule="auto"/>
              <w:ind w:left="602"/>
              <w:rPr>
                <w:rFonts w:ascii="仿宋" w:hAnsi="仿宋" w:eastAsia="仿宋" w:cs="仿宋"/>
              </w:rPr>
            </w:pPr>
            <w:r>
              <w:rPr>
                <w:spacing w:val="-9"/>
              </w:rPr>
              <w:t>1.0</w:t>
            </w:r>
            <w:r>
              <w:rPr>
                <w:spacing w:val="24"/>
              </w:rPr>
              <w:t xml:space="preserve"> </w:t>
            </w:r>
            <w:r>
              <w:rPr>
                <w:rFonts w:ascii="仿宋" w:hAnsi="仿宋" w:eastAsia="仿宋" w:cs="仿宋"/>
                <w:spacing w:val="-9"/>
              </w:rPr>
              <w:t>分</w:t>
            </w:r>
          </w:p>
        </w:tc>
        <w:tc>
          <w:tcPr>
            <w:tcW w:w="1704" w:type="dxa"/>
            <w:vAlign w:val="top"/>
          </w:tcPr>
          <w:p w14:paraId="16AFF9DC">
            <w:pPr>
              <w:pStyle w:val="7"/>
              <w:spacing w:before="176" w:line="233" w:lineRule="auto"/>
              <w:ind w:left="509"/>
              <w:rPr>
                <w:rFonts w:ascii="仿宋" w:hAnsi="仿宋" w:eastAsia="仿宋" w:cs="仿宋"/>
              </w:rPr>
            </w:pPr>
            <w:r>
              <w:rPr>
                <w:spacing w:val="-3"/>
              </w:rPr>
              <w:t>0.5</w:t>
            </w:r>
            <w:r>
              <w:rPr>
                <w:spacing w:val="22"/>
                <w:w w:val="101"/>
              </w:rPr>
              <w:t xml:space="preserve"> </w:t>
            </w:r>
            <w:r>
              <w:rPr>
                <w:rFonts w:ascii="仿宋" w:hAnsi="仿宋" w:eastAsia="仿宋" w:cs="仿宋"/>
                <w:spacing w:val="-3"/>
              </w:rPr>
              <w:t>分</w:t>
            </w:r>
          </w:p>
        </w:tc>
      </w:tr>
    </w:tbl>
    <w:p w14:paraId="2DDD7675">
      <w:pPr>
        <w:pStyle w:val="2"/>
        <w:spacing w:before="180" w:line="378" w:lineRule="auto"/>
        <w:ind w:left="49" w:right="54" w:firstLine="557"/>
        <w:rPr>
          <w:spacing w:val="-2"/>
        </w:rPr>
      </w:pPr>
      <w:r>
        <w:rPr>
          <w:spacing w:val="-2"/>
        </w:rPr>
        <w:t>具体计算方法和步骤为：</w:t>
      </w:r>
    </w:p>
    <w:p w14:paraId="07390414">
      <w:pPr>
        <w:pStyle w:val="2"/>
        <w:spacing w:before="180" w:line="378" w:lineRule="auto"/>
        <w:ind w:left="49" w:right="54" w:firstLine="557"/>
      </w:pPr>
      <w:r>
        <w:rPr>
          <w:rFonts w:ascii="Times New Roman" w:hAnsi="Times New Roman" w:eastAsia="Times New Roman" w:cs="Times New Roman"/>
          <w:spacing w:val="-2"/>
        </w:rPr>
        <w:t>1.</w:t>
      </w:r>
      <w:r>
        <w:rPr>
          <w:rFonts w:ascii="Times New Roman" w:hAnsi="Times New Roman" w:eastAsia="Times New Roman" w:cs="Times New Roman"/>
          <w:spacing w:val="-20"/>
        </w:rPr>
        <w:t xml:space="preserve"> </w:t>
      </w:r>
      <w:r>
        <w:rPr>
          <w:spacing w:val="-2"/>
        </w:rPr>
        <w:t>团队获奖以团队为单位进行赋分，团队（人数为</w:t>
      </w:r>
      <w:r>
        <w:rPr>
          <w:rFonts w:ascii="Cambria Math" w:hAnsi="Cambria Math" w:eastAsia="Cambria Math" w:cs="Cambria Math"/>
          <w:spacing w:val="-2"/>
        </w:rPr>
        <w:t>N</w:t>
      </w:r>
      <w:r>
        <w:rPr>
          <w:spacing w:val="-2"/>
        </w:rPr>
        <w:t>）中各</w:t>
      </w:r>
      <w:r>
        <w:rPr>
          <w:spacing w:val="-3"/>
        </w:rPr>
        <w:t>成员</w:t>
      </w:r>
      <w:r>
        <w:rPr>
          <w:spacing w:val="-10"/>
        </w:rPr>
        <w:t>的赋分计算方法为：</w:t>
      </w:r>
    </w:p>
    <w:p w14:paraId="38591775">
      <w:pPr>
        <w:pStyle w:val="2"/>
        <w:ind w:left="611"/>
      </w:pPr>
      <w:r>
        <w:rPr>
          <w:spacing w:val="-6"/>
          <w:position w:val="3"/>
        </w:rPr>
        <w:t>队长：</w:t>
      </w:r>
      <w:r>
        <w:rPr>
          <w:position w:val="-14"/>
        </w:rPr>
        <w:drawing>
          <wp:inline distT="0" distB="0" distL="0" distR="0">
            <wp:extent cx="1093470" cy="324485"/>
            <wp:effectExtent l="0" t="0" r="0" b="0"/>
            <wp:docPr id="2" name="IM 2"/>
            <wp:cNvGraphicFramePr/>
            <a:graphic xmlns:a="http://schemas.openxmlformats.org/drawingml/2006/main">
              <a:graphicData uri="http://schemas.openxmlformats.org/drawingml/2006/picture">
                <pic:pic xmlns:pic="http://schemas.openxmlformats.org/drawingml/2006/picture">
                  <pic:nvPicPr>
                    <pic:cNvPr id="2" name="IM 2"/>
                    <pic:cNvPicPr/>
                  </pic:nvPicPr>
                  <pic:blipFill>
                    <a:blip r:embed="rId7"/>
                    <a:stretch>
                      <a:fillRect/>
                    </a:stretch>
                  </pic:blipFill>
                  <pic:spPr>
                    <a:xfrm>
                      <a:off x="0" y="0"/>
                      <a:ext cx="1093977" cy="325119"/>
                    </a:xfrm>
                    <a:prstGeom prst="rect">
                      <a:avLst/>
                    </a:prstGeom>
                  </pic:spPr>
                </pic:pic>
              </a:graphicData>
            </a:graphic>
          </wp:inline>
        </w:drawing>
      </w:r>
      <w:r>
        <w:rPr>
          <w:spacing w:val="-50"/>
          <w:position w:val="3"/>
        </w:rPr>
        <w:t xml:space="preserve"> </w:t>
      </w:r>
      <w:r>
        <w:rPr>
          <w:rFonts w:ascii="Cambria Math" w:hAnsi="Cambria Math" w:eastAsia="Cambria Math" w:cs="Cambria Math"/>
          <w:spacing w:val="-6"/>
          <w:position w:val="3"/>
        </w:rPr>
        <w:t>×</w:t>
      </w:r>
      <w:r>
        <w:rPr>
          <w:rFonts w:ascii="Cambria Math" w:hAnsi="Cambria Math" w:eastAsia="Cambria Math" w:cs="Cambria Math"/>
          <w:spacing w:val="19"/>
          <w:w w:val="101"/>
          <w:position w:val="3"/>
        </w:rPr>
        <w:t xml:space="preserve"> </w:t>
      </w:r>
      <w:r>
        <w:rPr>
          <w:spacing w:val="-6"/>
          <w:position w:val="3"/>
        </w:rPr>
        <w:t>该项目赋分标准的分值</w:t>
      </w:r>
    </w:p>
    <w:p w14:paraId="1C9D027E">
      <w:pPr>
        <w:pStyle w:val="2"/>
        <w:spacing w:before="111"/>
        <w:ind w:left="611"/>
      </w:pPr>
      <w:r>
        <w:rPr>
          <w:spacing w:val="-6"/>
          <w:position w:val="3"/>
        </w:rPr>
        <w:t>队员：</w:t>
      </w:r>
      <w:r>
        <w:rPr>
          <w:position w:val="-14"/>
        </w:rPr>
        <w:drawing>
          <wp:inline distT="0" distB="0" distL="0" distR="0">
            <wp:extent cx="1093470" cy="325120"/>
            <wp:effectExtent l="0" t="0" r="0" b="0"/>
            <wp:docPr id="4" name="IM 4"/>
            <wp:cNvGraphicFramePr/>
            <a:graphic xmlns:a="http://schemas.openxmlformats.org/drawingml/2006/main">
              <a:graphicData uri="http://schemas.openxmlformats.org/drawingml/2006/picture">
                <pic:pic xmlns:pic="http://schemas.openxmlformats.org/drawingml/2006/picture">
                  <pic:nvPicPr>
                    <pic:cNvPr id="4" name="IM 4"/>
                    <pic:cNvPicPr/>
                  </pic:nvPicPr>
                  <pic:blipFill>
                    <a:blip r:embed="rId8"/>
                    <a:stretch>
                      <a:fillRect/>
                    </a:stretch>
                  </pic:blipFill>
                  <pic:spPr>
                    <a:xfrm>
                      <a:off x="0" y="0"/>
                      <a:ext cx="1093977" cy="325120"/>
                    </a:xfrm>
                    <a:prstGeom prst="rect">
                      <a:avLst/>
                    </a:prstGeom>
                  </pic:spPr>
                </pic:pic>
              </a:graphicData>
            </a:graphic>
          </wp:inline>
        </w:drawing>
      </w:r>
      <w:r>
        <w:rPr>
          <w:spacing w:val="-50"/>
          <w:position w:val="3"/>
        </w:rPr>
        <w:t xml:space="preserve"> </w:t>
      </w:r>
      <w:r>
        <w:rPr>
          <w:rFonts w:ascii="Cambria Math" w:hAnsi="Cambria Math" w:eastAsia="Cambria Math" w:cs="Cambria Math"/>
          <w:spacing w:val="-6"/>
          <w:position w:val="3"/>
        </w:rPr>
        <w:t>×</w:t>
      </w:r>
      <w:r>
        <w:rPr>
          <w:rFonts w:ascii="Cambria Math" w:hAnsi="Cambria Math" w:eastAsia="Cambria Math" w:cs="Cambria Math"/>
          <w:spacing w:val="19"/>
          <w:w w:val="101"/>
          <w:position w:val="3"/>
        </w:rPr>
        <w:t xml:space="preserve"> </w:t>
      </w:r>
      <w:r>
        <w:rPr>
          <w:spacing w:val="-6"/>
          <w:position w:val="3"/>
        </w:rPr>
        <w:t>该项目赋分标准的分值</w:t>
      </w:r>
    </w:p>
    <w:p w14:paraId="737ACF7F">
      <w:pPr>
        <w:pStyle w:val="2"/>
        <w:spacing w:before="215" w:line="231" w:lineRule="auto"/>
        <w:ind w:left="576"/>
      </w:pPr>
      <w:r>
        <w:rPr>
          <w:rFonts w:ascii="Times New Roman" w:hAnsi="Times New Roman" w:eastAsia="Times New Roman" w:cs="Times New Roman"/>
          <w:spacing w:val="-2"/>
        </w:rPr>
        <w:t>2.</w:t>
      </w:r>
      <w:r>
        <w:rPr>
          <w:spacing w:val="-2"/>
        </w:rPr>
        <w:t>竞赛获奖总得分（上限</w:t>
      </w:r>
      <w:r>
        <w:rPr>
          <w:spacing w:val="-46"/>
        </w:rPr>
        <w:t xml:space="preserve"> </w:t>
      </w:r>
      <w:r>
        <w:rPr>
          <w:rFonts w:ascii="Times New Roman" w:hAnsi="Times New Roman" w:eastAsia="Times New Roman" w:cs="Times New Roman"/>
          <w:spacing w:val="-2"/>
        </w:rPr>
        <w:t>4</w:t>
      </w:r>
      <w:r>
        <w:rPr>
          <w:rFonts w:ascii="Times New Roman" w:hAnsi="Times New Roman" w:eastAsia="Times New Roman" w:cs="Times New Roman"/>
          <w:spacing w:val="22"/>
          <w:w w:val="101"/>
        </w:rPr>
        <w:t xml:space="preserve"> </w:t>
      </w:r>
      <w:r>
        <w:rPr>
          <w:spacing w:val="-2"/>
        </w:rPr>
        <w:t>分）的具体计</w:t>
      </w:r>
      <w:r>
        <w:rPr>
          <w:spacing w:val="-3"/>
        </w:rPr>
        <w:t>算方法为：</w:t>
      </w:r>
    </w:p>
    <w:p w14:paraId="0836B200">
      <w:pPr>
        <w:pStyle w:val="2"/>
        <w:spacing w:before="274" w:line="401" w:lineRule="auto"/>
        <w:ind w:left="36" w:right="13" w:firstLine="553"/>
      </w:pPr>
      <w:r>
        <w:rPr>
          <w:spacing w:val="4"/>
        </w:rPr>
        <w:t xml:space="preserve">个人竞赛获奖总得分 </w:t>
      </w:r>
      <w:r>
        <w:rPr>
          <w:rFonts w:ascii="Times New Roman" w:hAnsi="Times New Roman" w:eastAsia="Times New Roman" w:cs="Times New Roman"/>
          <w:spacing w:val="4"/>
        </w:rPr>
        <w:t xml:space="preserve">=  </w:t>
      </w:r>
      <w:r>
        <w:rPr>
          <w:spacing w:val="4"/>
        </w:rPr>
        <w:t>个人单独获奖赋分</w:t>
      </w:r>
      <w:r>
        <w:rPr>
          <w:rFonts w:ascii="Times New Roman" w:hAnsi="Times New Roman" w:eastAsia="Times New Roman" w:cs="Times New Roman"/>
          <w:spacing w:val="4"/>
        </w:rPr>
        <w:t>+</w:t>
      </w:r>
      <w:r>
        <w:rPr>
          <w:spacing w:val="4"/>
        </w:rPr>
        <w:t>团体获奖中的个人</w:t>
      </w:r>
      <w:r>
        <w:rPr>
          <w:spacing w:val="-6"/>
        </w:rPr>
        <w:t>赋分</w:t>
      </w:r>
    </w:p>
    <w:p w14:paraId="0EDD2857">
      <w:pPr>
        <w:spacing w:before="31" w:line="218" w:lineRule="auto"/>
        <w:ind w:left="592"/>
        <w:outlineLvl w:val="1"/>
        <w:rPr>
          <w:rFonts w:ascii="黑体" w:hAnsi="黑体" w:eastAsia="黑体" w:cs="黑体"/>
          <w:sz w:val="28"/>
          <w:szCs w:val="28"/>
        </w:rPr>
      </w:pPr>
      <w:r>
        <w:rPr>
          <w:rFonts w:ascii="黑体" w:hAnsi="黑体" w:eastAsia="黑体" w:cs="黑体"/>
          <w:spacing w:val="-4"/>
          <w:sz w:val="28"/>
          <w:szCs w:val="28"/>
        </w:rPr>
        <w:t>五、说明</w:t>
      </w:r>
    </w:p>
    <w:p w14:paraId="3297824C">
      <w:pPr>
        <w:pStyle w:val="2"/>
        <w:spacing w:before="295" w:line="346" w:lineRule="auto"/>
        <w:ind w:left="33" w:right="13" w:firstLine="570"/>
        <w:rPr>
          <w:spacing w:val="-7"/>
        </w:rPr>
      </w:pPr>
      <w:r>
        <w:rPr>
          <w:rFonts w:ascii="Times New Roman" w:hAnsi="Times New Roman" w:eastAsia="Times New Roman" w:cs="Times New Roman"/>
          <w:spacing w:val="-3"/>
        </w:rPr>
        <w:t>1.</w:t>
      </w:r>
      <w:r>
        <w:rPr>
          <w:rFonts w:ascii="Times New Roman" w:hAnsi="Times New Roman" w:eastAsia="Times New Roman" w:cs="Times New Roman"/>
          <w:spacing w:val="-37"/>
        </w:rPr>
        <w:t xml:space="preserve"> </w:t>
      </w:r>
      <w:r>
        <w:rPr>
          <w:spacing w:val="-3"/>
        </w:rPr>
        <w:t>学术论文、获奖证书、创新创业项目及荣誉证书等均应提交原</w:t>
      </w:r>
      <w:r>
        <w:rPr>
          <w:spacing w:val="-4"/>
        </w:rPr>
        <w:t>件与复印件，检索学术论文需提供论文检索证明（由校区图书馆出具</w:t>
      </w:r>
      <w:r>
        <w:rPr>
          <w:spacing w:val="-6"/>
        </w:rPr>
        <w:t>检索证明，且标识论文索引号及所属分区信息</w:t>
      </w:r>
      <w:r>
        <w:rPr>
          <w:spacing w:val="-11"/>
        </w:rPr>
        <w:t>），</w:t>
      </w:r>
      <w:r>
        <w:rPr>
          <w:spacing w:val="-6"/>
        </w:rPr>
        <w:t>否则</w:t>
      </w:r>
      <w:r>
        <w:rPr>
          <w:spacing w:val="-7"/>
        </w:rPr>
        <w:t>不予赋分。</w:t>
      </w:r>
    </w:p>
    <w:p w14:paraId="572089F5">
      <w:pPr>
        <w:pStyle w:val="2"/>
        <w:spacing w:before="297" w:line="347" w:lineRule="auto"/>
        <w:ind w:left="31" w:right="10" w:firstLine="545"/>
        <w:rPr>
          <w:rFonts w:hint="eastAsia"/>
          <w:spacing w:val="-7"/>
          <w:lang w:val="en-US" w:eastAsia="zh-CN"/>
        </w:rPr>
      </w:pPr>
      <w:r>
        <w:rPr>
          <w:rFonts w:hint="eastAsia" w:ascii="Times New Roman" w:hAnsi="Times New Roman" w:eastAsia="Times New Roman" w:cs="Times New Roman"/>
          <w:spacing w:val="-1"/>
          <w:lang w:val="en-US" w:eastAsia="zh-CN"/>
        </w:rPr>
        <w:t>2.</w:t>
      </w:r>
      <w:r>
        <w:rPr>
          <w:rFonts w:hint="eastAsia"/>
          <w:spacing w:val="-7"/>
          <w:lang w:val="en-US" w:eastAsia="zh-CN"/>
        </w:rPr>
        <w:fldChar w:fldCharType="begin"/>
      </w:r>
      <w:r>
        <w:rPr>
          <w:rFonts w:hint="eastAsia"/>
          <w:spacing w:val="-7"/>
          <w:lang w:val="en-US" w:eastAsia="zh-CN"/>
        </w:rPr>
        <w:instrText xml:space="preserve"> HYPERLINK "【金山文档 | WPS云文档】 【马理类】推免竞赛认定目录
https:/www.kdocs.cn/l/cnLnM6za7sNm" </w:instrText>
      </w:r>
      <w:r>
        <w:rPr>
          <w:rFonts w:hint="eastAsia"/>
          <w:spacing w:val="-7"/>
          <w:lang w:val="en-US" w:eastAsia="zh-CN"/>
        </w:rPr>
        <w:fldChar w:fldCharType="separate"/>
      </w:r>
      <w:r>
        <w:rPr>
          <w:rStyle w:val="5"/>
          <w:rFonts w:hint="eastAsia"/>
          <w:spacing w:val="-7"/>
          <w:lang w:val="en-US" w:eastAsia="zh-CN"/>
        </w:rPr>
        <w:t>各专业按学院对应专业此前公布的2026年综合评价、学术专长竞赛和科研成果认定目录赋分</w:t>
      </w:r>
      <w:r>
        <w:rPr>
          <w:rFonts w:hint="eastAsia"/>
          <w:spacing w:val="-7"/>
          <w:lang w:val="en-US" w:eastAsia="zh-CN"/>
        </w:rPr>
        <w:fldChar w:fldCharType="end"/>
      </w:r>
      <w:r>
        <w:rPr>
          <w:rFonts w:hint="eastAsia"/>
          <w:spacing w:val="-7"/>
          <w:lang w:val="en-US" w:eastAsia="zh-CN"/>
        </w:rPr>
        <w:t>。</w:t>
      </w:r>
    </w:p>
    <w:p w14:paraId="6DE9CD44">
      <w:pPr>
        <w:pStyle w:val="2"/>
        <w:spacing w:before="297" w:line="347" w:lineRule="auto"/>
        <w:ind w:left="31" w:right="10" w:firstLine="545"/>
      </w:pPr>
      <w:r>
        <w:rPr>
          <w:rFonts w:hint="eastAsia" w:ascii="Times New Roman" w:hAnsi="Times New Roman" w:eastAsia="宋体" w:cs="Times New Roman"/>
          <w:spacing w:val="-1"/>
          <w:lang w:val="en-US" w:eastAsia="zh-CN"/>
        </w:rPr>
        <w:t>3</w:t>
      </w:r>
      <w:r>
        <w:rPr>
          <w:rFonts w:ascii="Times New Roman" w:hAnsi="Times New Roman" w:eastAsia="Times New Roman" w:cs="Times New Roman"/>
          <w:spacing w:val="-1"/>
        </w:rPr>
        <w:t>.</w:t>
      </w:r>
      <w:r>
        <w:rPr>
          <w:spacing w:val="-1"/>
        </w:rPr>
        <w:t>对于与指导老师联合发表论文或参赛的，学生须提供指导老师</w:t>
      </w:r>
      <w:r>
        <w:rPr>
          <w:spacing w:val="-4"/>
        </w:rPr>
        <w:t>出具的推荐信，推荐信中应客观陈述学生在联合成果中所作的实际贡</w:t>
      </w:r>
      <w:r>
        <w:rPr>
          <w:spacing w:val="-14"/>
        </w:rPr>
        <w:t>献。</w:t>
      </w:r>
    </w:p>
    <w:p w14:paraId="5FFF8CAF">
      <w:pPr>
        <w:pStyle w:val="2"/>
        <w:spacing w:before="292" w:line="230" w:lineRule="auto"/>
        <w:ind w:left="581"/>
      </w:pPr>
      <w:r>
        <w:rPr>
          <w:rFonts w:hint="eastAsia" w:ascii="Times New Roman" w:hAnsi="Times New Roman" w:eastAsia="宋体" w:cs="Times New Roman"/>
          <w:spacing w:val="-2"/>
          <w:lang w:val="en-US" w:eastAsia="zh-CN"/>
        </w:rPr>
        <w:t>4</w:t>
      </w:r>
      <w:r>
        <w:rPr>
          <w:rFonts w:ascii="Times New Roman" w:hAnsi="Times New Roman" w:eastAsia="Times New Roman" w:cs="Times New Roman"/>
          <w:spacing w:val="-2"/>
        </w:rPr>
        <w:t>.</w:t>
      </w:r>
      <w:r>
        <w:rPr>
          <w:spacing w:val="-2"/>
        </w:rPr>
        <w:t>获奖等级的认定以加盖公章的文件材料</w:t>
      </w:r>
      <w:r>
        <w:rPr>
          <w:spacing w:val="-3"/>
        </w:rPr>
        <w:t>为准。</w:t>
      </w:r>
    </w:p>
    <w:p w14:paraId="1BB2BE02">
      <w:pPr>
        <w:pStyle w:val="2"/>
        <w:spacing w:before="275" w:line="314" w:lineRule="auto"/>
        <w:ind w:left="36" w:right="11" w:firstLine="538"/>
      </w:pPr>
      <w:r>
        <w:rPr>
          <w:rFonts w:hint="eastAsia" w:ascii="Times New Roman" w:hAnsi="Times New Roman" w:eastAsia="宋体" w:cs="Times New Roman"/>
          <w:spacing w:val="-1"/>
          <w:lang w:val="en-US" w:eastAsia="zh-CN"/>
        </w:rPr>
        <w:t>5</w:t>
      </w:r>
      <w:r>
        <w:rPr>
          <w:rFonts w:ascii="Times New Roman" w:hAnsi="Times New Roman" w:eastAsia="Times New Roman" w:cs="Times New Roman"/>
          <w:spacing w:val="-1"/>
        </w:rPr>
        <w:t>.</w:t>
      </w:r>
      <w:r>
        <w:rPr>
          <w:spacing w:val="-1"/>
        </w:rPr>
        <w:t>如果学校及上级文件有变动或与本办法不一致，以上级文件为</w:t>
      </w:r>
      <w:r>
        <w:rPr>
          <w:spacing w:val="-2"/>
        </w:rPr>
        <w:t>准。其它未尽事项由</w:t>
      </w:r>
      <w:r>
        <w:rPr>
          <w:rFonts w:hint="eastAsia"/>
          <w:spacing w:val="-2"/>
          <w:lang w:eastAsia="zh-CN"/>
        </w:rPr>
        <w:t>工商管理学院/马克思主义学院</w:t>
      </w:r>
      <w:r>
        <w:rPr>
          <w:spacing w:val="-2"/>
        </w:rPr>
        <w:t>推免工作小组集体讨论后</w:t>
      </w:r>
      <w:r>
        <w:rPr>
          <w:spacing w:val="-3"/>
        </w:rPr>
        <w:t>决定。</w:t>
      </w:r>
    </w:p>
    <w:p w14:paraId="2E873CF0">
      <w:pPr>
        <w:pStyle w:val="2"/>
        <w:spacing w:before="296" w:line="314" w:lineRule="auto"/>
        <w:ind w:left="32" w:right="11" w:firstLine="551"/>
      </w:pPr>
      <w:r>
        <w:rPr>
          <w:rFonts w:hint="eastAsia" w:ascii="Times New Roman" w:hAnsi="Times New Roman" w:eastAsia="宋体" w:cs="Times New Roman"/>
          <w:spacing w:val="-1"/>
          <w:lang w:val="en-US" w:eastAsia="zh-CN"/>
        </w:rPr>
        <w:t>6</w:t>
      </w:r>
      <w:r>
        <w:rPr>
          <w:rFonts w:ascii="Times New Roman" w:hAnsi="Times New Roman" w:eastAsia="Times New Roman" w:cs="Times New Roman"/>
          <w:spacing w:val="-1"/>
        </w:rPr>
        <w:t>.</w:t>
      </w:r>
      <w:r>
        <w:rPr>
          <w:spacing w:val="-1"/>
        </w:rPr>
        <w:t>本办法限</w:t>
      </w:r>
      <w:r>
        <w:rPr>
          <w:rFonts w:hint="eastAsia"/>
          <w:spacing w:val="-1"/>
          <w:lang w:eastAsia="zh-CN"/>
        </w:rPr>
        <w:t>工商管理学院/马克思主义学院</w:t>
      </w:r>
      <w:r>
        <w:rPr>
          <w:spacing w:val="-1"/>
        </w:rPr>
        <w:t xml:space="preserve">推荐 </w:t>
      </w:r>
      <w:r>
        <w:rPr>
          <w:rFonts w:ascii="Times New Roman" w:hAnsi="Times New Roman" w:eastAsia="Times New Roman" w:cs="Times New Roman"/>
          <w:spacing w:val="-1"/>
        </w:rPr>
        <w:t>202</w:t>
      </w:r>
      <w:r>
        <w:rPr>
          <w:rFonts w:hint="eastAsia" w:ascii="Times New Roman" w:hAnsi="Times New Roman" w:eastAsia="宋体" w:cs="Times New Roman"/>
          <w:spacing w:val="-1"/>
          <w:lang w:val="en-US" w:eastAsia="zh-CN"/>
        </w:rPr>
        <w:t>7</w:t>
      </w:r>
      <w:r>
        <w:rPr>
          <w:rFonts w:ascii="Times New Roman" w:hAnsi="Times New Roman" w:eastAsia="Times New Roman" w:cs="Times New Roman"/>
          <w:spacing w:val="-1"/>
        </w:rPr>
        <w:t xml:space="preserve">  </w:t>
      </w:r>
      <w:r>
        <w:rPr>
          <w:spacing w:val="-1"/>
        </w:rPr>
        <w:t>届优秀本科毕业生免试攻读研究生</w:t>
      </w:r>
      <w:r>
        <w:rPr>
          <w:spacing w:val="-7"/>
        </w:rPr>
        <w:t>遴选工作使用。</w:t>
      </w:r>
    </w:p>
    <w:p w14:paraId="53A804E3">
      <w:pPr>
        <w:pStyle w:val="2"/>
        <w:spacing w:before="296" w:line="230" w:lineRule="auto"/>
        <w:ind w:left="582"/>
      </w:pPr>
      <w:r>
        <w:rPr>
          <w:rFonts w:hint="eastAsia" w:ascii="Times New Roman" w:hAnsi="Times New Roman" w:eastAsia="宋体" w:cs="Times New Roman"/>
          <w:lang w:val="en-US" w:eastAsia="zh-CN"/>
        </w:rPr>
        <w:t>7</w:t>
      </w:r>
      <w:bookmarkStart w:id="0" w:name="_GoBack"/>
      <w:bookmarkEnd w:id="0"/>
      <w:r>
        <w:rPr>
          <w:rFonts w:ascii="Times New Roman" w:hAnsi="Times New Roman" w:eastAsia="Times New Roman" w:cs="Times New Roman"/>
        </w:rPr>
        <w:t>.</w:t>
      </w:r>
      <w:r>
        <w:t>本办法由</w:t>
      </w:r>
      <w:r>
        <w:rPr>
          <w:rFonts w:hint="eastAsia"/>
          <w:lang w:eastAsia="zh-CN"/>
        </w:rPr>
        <w:t>工商管理学院/马克思主义学院</w:t>
      </w:r>
      <w:r>
        <w:rPr>
          <w:rFonts w:hint="eastAsia" w:ascii="Times New Roman" w:hAnsi="Times New Roman" w:eastAsia="宋体" w:cs="Times New Roman"/>
          <w:lang w:eastAsia="zh-CN"/>
        </w:rPr>
        <w:t>2026</w:t>
      </w:r>
      <w:r>
        <w:rPr>
          <w:rFonts w:ascii="Times New Roman" w:hAnsi="Times New Roman" w:eastAsia="Times New Roman" w:cs="Times New Roman"/>
          <w:spacing w:val="24"/>
        </w:rPr>
        <w:t xml:space="preserve"> </w:t>
      </w:r>
      <w:r>
        <w:t>年推免工作小组负责解释。</w:t>
      </w:r>
    </w:p>
    <w:sectPr>
      <w:footerReference r:id="rId5" w:type="default"/>
      <w:pgSz w:w="11906" w:h="16839"/>
      <w:pgMar w:top="1431" w:right="1785" w:bottom="1379" w:left="1785" w:header="0" w:footer="1175" w:gutter="0"/>
      <w:cols w:space="720" w:num="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
    <w:panose1 w:val="02010609060101010101"/>
    <w:charset w:val="86"/>
    <w:family w:val="auto"/>
    <w:pitch w:val="default"/>
    <w:sig w:usb0="800002BF" w:usb1="38CF7CFA" w:usb2="00000016" w:usb3="00000000" w:csb0="00040001" w:csb1="00000000"/>
  </w:font>
  <w:font w:name="Cambria Math">
    <w:panose1 w:val="02040503050406030204"/>
    <w:charset w:val="00"/>
    <w:family w:val="auto"/>
    <w:pitch w:val="default"/>
    <w:sig w:usb0="E00006FF" w:usb1="420024FF" w:usb2="02000000" w:usb3="00000000" w:csb0="2000019F" w:csb1="00000000"/>
  </w:font>
  <w:font w:name="Arial Narrow">
    <w:altName w:val="Arial"/>
    <w:panose1 w:val="020B0606020202030204"/>
    <w:charset w:val="00"/>
    <w:family w:val="auto"/>
    <w:pitch w:val="default"/>
    <w:sig w:usb0="00000000" w:usb1="00000000" w:usb2="00000000" w:usb3="00000000" w:csb0="2000009F" w:csb1="DFD70000"/>
  </w:font>
  <w:font w:name="KSOF3D47F291">
    <w:panose1 w:val="020B0604020202020204"/>
    <w:charset w:val="00"/>
    <w:family w:val="auto"/>
    <w:pitch w:val="default"/>
    <w:sig w:usb0="00000001"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0C663D1">
    <w:pPr>
      <w:spacing w:line="225" w:lineRule="auto"/>
      <w:ind w:left="4133"/>
      <w:rPr>
        <w:rFonts w:ascii="Arial Narrow" w:hAnsi="Arial Narrow" w:eastAsia="Arial Narrow" w:cs="Arial Narrow"/>
        <w:sz w:val="18"/>
        <w:szCs w:val="18"/>
      </w:rPr>
    </w:pPr>
    <w:r>
      <w:rPr>
        <w:rFonts w:ascii="Arial Narrow" w:hAnsi="Arial Narrow" w:eastAsia="Arial Narrow" w:cs="Arial Narrow"/>
        <w:sz w:val="18"/>
        <w:szCs w:val="18"/>
      </w:rPr>
      <w:t>3</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40" w:lineRule="auto"/>
      </w:pPr>
      <w:r>
        <w:separator/>
      </w:r>
    </w:p>
  </w:footnote>
  <w:footnote w:type="continuationSeparator" w:id="1">
    <w:p>
      <w:pPr>
        <w:spacing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displayBackgroundShape w:val="1"/>
  <w:bordersDoNotSurroundHeader w:val="0"/>
  <w:bordersDoNotSurroundFooter w:val="0"/>
  <w:documentProtection w:enforcement="0"/>
  <w:displayHorizontalDrawingGridEvery w:val="1"/>
  <w:displayVerticalDrawingGridEvery w:val="1"/>
  <w:noPunctuationKerning w:val="1"/>
  <w:characterSpacingControl w:val="doNotCompress"/>
  <w:footnotePr>
    <w:footnote w:id="0"/>
    <w:footnote w:id="1"/>
  </w:footnotePr>
  <w:endnotePr>
    <w:endnote w:id="0"/>
    <w:endnote w:id="1"/>
  </w:endnotePr>
  <w:compat>
    <w:spaceForUL/>
    <w:ulTrailSpace/>
    <w:doNotExpandShiftReturn/>
    <w:doNotWrapTextWithPunct/>
    <w:doNotUseEastAsianBreakRules/>
    <w:useFELayout/>
    <w:compatSetting w:name="compatibilityMode" w:uri="http://schemas.microsoft.com/office/word" w:val="14"/>
  </w:compat>
  <w:rsids>
    <w:rsidRoot w:val="00000000"/>
    <w:rsid w:val="016A79C8"/>
    <w:rsid w:val="1A303483"/>
    <w:rsid w:val="1DC1221D"/>
    <w:rsid w:val="2EAA7FD1"/>
    <w:rsid w:val="37C15D8F"/>
    <w:rsid w:val="3B9A0AD5"/>
    <w:rsid w:val="3CD209CD"/>
    <w:rsid w:val="526E39F7"/>
    <w:rsid w:val="5F7563E8"/>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semiHidden/>
    <w:qFormat/>
    <w:uiPriority w:val="0"/>
    <w:pPr>
      <w:kinsoku w:val="0"/>
      <w:autoSpaceDE w:val="0"/>
      <w:autoSpaceDN w:val="0"/>
      <w:adjustRightInd w:val="0"/>
      <w:snapToGrid w:val="0"/>
      <w:spacing w:line="240" w:lineRule="auto"/>
      <w:jc w:val="left"/>
      <w:textAlignment w:val="baseline"/>
    </w:pPr>
    <w:rPr>
      <w:rFonts w:ascii="Arial" w:hAnsi="Arial" w:eastAsia="Arial" w:cs="Arial"/>
      <w:snapToGrid w:val="0"/>
      <w:color w:val="000000"/>
      <w:kern w:val="0"/>
      <w:sz w:val="21"/>
      <w:szCs w:val="21"/>
      <w:lang w:val="en-US" w:eastAsia="en-US" w:bidi="ar-SA"/>
    </w:rPr>
  </w:style>
  <w:style w:type="character" w:default="1" w:styleId="4">
    <w:name w:val="Default Paragraph Font"/>
    <w:semiHidden/>
    <w:qFormat/>
    <w:uiPriority w:val="0"/>
  </w:style>
  <w:style w:type="table" w:default="1" w:styleId="3">
    <w:name w:val="Normal Table"/>
    <w:semiHidden/>
    <w:qFormat/>
    <w:uiPriority w:val="0"/>
    <w:tblPr>
      <w:tblCellMar>
        <w:top w:w="0" w:type="dxa"/>
        <w:left w:w="108" w:type="dxa"/>
        <w:bottom w:w="0" w:type="dxa"/>
        <w:right w:w="108" w:type="dxa"/>
      </w:tblCellMar>
    </w:tblPr>
  </w:style>
  <w:style w:type="paragraph" w:styleId="2">
    <w:name w:val="Body Text"/>
    <w:basedOn w:val="1"/>
    <w:semiHidden/>
    <w:qFormat/>
    <w:uiPriority w:val="0"/>
    <w:rPr>
      <w:rFonts w:ascii="仿宋" w:hAnsi="仿宋" w:eastAsia="仿宋" w:cs="仿宋"/>
      <w:sz w:val="28"/>
      <w:szCs w:val="28"/>
      <w:lang w:val="en-US" w:eastAsia="en-US" w:bidi="ar-SA"/>
    </w:rPr>
  </w:style>
  <w:style w:type="character" w:styleId="5">
    <w:name w:val="Hyperlink"/>
    <w:basedOn w:val="4"/>
    <w:qFormat/>
    <w:uiPriority w:val="0"/>
    <w:rPr>
      <w:color w:val="0000FF"/>
      <w:u w:val="single"/>
    </w:rPr>
  </w:style>
  <w:style w:type="table" w:customStyle="1" w:styleId="6">
    <w:name w:val="Table Normal"/>
    <w:semiHidden/>
    <w:unhideWhenUsed/>
    <w:qFormat/>
    <w:uiPriority w:val="0"/>
    <w:tblPr>
      <w:tblCellMar>
        <w:top w:w="0" w:type="dxa"/>
        <w:left w:w="0" w:type="dxa"/>
        <w:bottom w:w="0" w:type="dxa"/>
        <w:right w:w="0" w:type="dxa"/>
      </w:tblCellMar>
    </w:tblPr>
  </w:style>
  <w:style w:type="paragraph" w:customStyle="1" w:styleId="7">
    <w:name w:val="Table Text"/>
    <w:basedOn w:val="1"/>
    <w:semiHidden/>
    <w:qFormat/>
    <w:uiPriority w:val="0"/>
    <w:rPr>
      <w:rFonts w:ascii="Times New Roman" w:hAnsi="Times New Roman" w:eastAsia="Times New Roman" w:cs="Times New Roman"/>
      <w:sz w:val="28"/>
      <w:szCs w:val="28"/>
      <w:lang w:val="en-US" w:eastAsia="en-US" w:bidi="ar-SA"/>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image" Target="media/image2.png"/><Relationship Id="rId7" Type="http://schemas.openxmlformats.org/officeDocument/2006/relationships/image" Target="media/image1.png"/><Relationship Id="rId6" Type="http://schemas.openxmlformats.org/officeDocument/2006/relationships/theme" Target="theme/theme1.xml"/><Relationship Id="rId5" Type="http://schemas.openxmlformats.org/officeDocument/2006/relationships/footer" Target="foot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Pages>4</Pages>
  <Words>1337</Words>
  <Characters>1435</Characters>
  <TotalTime>7</TotalTime>
  <ScaleCrop>false</ScaleCrop>
  <LinksUpToDate>false</LinksUpToDate>
  <CharactersWithSpaces>1527</CharactersWithSpaces>
  <Application>WPS Office_12.1.0.28043_F1E327BC-269C-435d-A152-05C5408002CA</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2026-05-08T10:21:00Z</dcterms:created>
  <dc:creator>15807</dc:creator>
  <cp:lastModifiedBy>Q汝</cp:lastModifiedBy>
  <dcterms:modified xsi:type="dcterms:W3CDTF">2026-08-13T13:47:43Z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O">
    <vt:lpwstr>wqlLaW5nc29mdCBQREYgdG8gV1BTIDExNQ</vt:lpwstr>
  </property>
  <property fmtid="{D5CDD505-2E9C-101B-9397-08002B2CF9AE}" pid="3" name="Created">
    <vt:filetime>2026-05-08T10:23:11Z</vt:filetime>
  </property>
  <property fmtid="{D5CDD505-2E9C-101B-9397-08002B2CF9AE}" pid="4" name="KSOTemplateDocerSaveRecord">
    <vt:lpwstr>eyJoZGlkIjoiNzk5ZDIzNjUxM2ZkN2U5OGYzMjg1YjIyZGU5MjBjOGYiLCJ1c2VySWQiOiIzNTYzNzI4OTAifQ==</vt:lpwstr>
  </property>
  <property fmtid="{D5CDD505-2E9C-101B-9397-08002B2CF9AE}" pid="5" name="KSOProductBuildVer">
    <vt:lpwstr>2052-12.1.0.28043</vt:lpwstr>
  </property>
  <property fmtid="{D5CDD505-2E9C-101B-9397-08002B2CF9AE}" pid="6" name="ICV">
    <vt:lpwstr>38D7091AF04F4196B50395B358B12235_13</vt:lpwstr>
  </property>
</Properties>
</file>