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71DDB">
      <w:pPr>
        <w:pStyle w:val="2"/>
        <w:bidi w:val="0"/>
        <w:jc w:val="center"/>
      </w:pPr>
      <w:r>
        <w:rPr>
          <w:rFonts w:hint="eastAsia"/>
        </w:rPr>
        <w:t>石油学院</w:t>
      </w:r>
      <w:r>
        <w:rPr>
          <w:rFonts w:hint="eastAsia"/>
          <w:lang w:val="en-US" w:eastAsia="zh-CN"/>
        </w:rPr>
        <w:t>2023级</w:t>
      </w:r>
      <w:r>
        <w:rPr>
          <w:rFonts w:hint="eastAsia"/>
        </w:rPr>
        <w:t>研究生综合测评实施办法</w:t>
      </w:r>
    </w:p>
    <w:p w14:paraId="446DEA07">
      <w:pPr>
        <w:spacing w:line="560" w:lineRule="exact"/>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一、总则</w:t>
      </w:r>
    </w:p>
    <w:p w14:paraId="67295114">
      <w:pPr>
        <w:numPr>
          <w:ilvl w:val="0"/>
          <w:numId w:val="0"/>
        </w:numPr>
        <w:spacing w:line="560" w:lineRule="exact"/>
        <w:ind w:firstLine="640" w:firstLineChars="200"/>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为了进一步规范学院学生工作日常管理，鼓励我院学生积极参加科技创新、社会实践、志愿服务、文艺晚会、体育比赛、征文等活动，依据《中国石油大学（北京）克拉玛依校区研究生综合测评办法（试行）》制定此规定。</w:t>
      </w:r>
    </w:p>
    <w:p w14:paraId="5A1E578E">
      <w:pPr>
        <w:numPr>
          <w:ilvl w:val="0"/>
          <w:numId w:val="1"/>
        </w:numPr>
        <w:spacing w:line="560" w:lineRule="exact"/>
        <w:ind w:firstLine="640" w:firstLineChars="200"/>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本办法适用于石油学院</w:t>
      </w:r>
      <w:r>
        <w:rPr>
          <w:rFonts w:hint="eastAsia" w:ascii="仿宋_GB2312" w:hAnsi="微软雅黑" w:eastAsia="仿宋_GB2312"/>
          <w:color w:val="000000"/>
          <w:sz w:val="32"/>
          <w:szCs w:val="32"/>
          <w:lang w:val="en-US" w:eastAsia="zh-CN"/>
        </w:rPr>
        <w:t>2023级</w:t>
      </w:r>
      <w:r>
        <w:rPr>
          <w:rFonts w:hint="eastAsia" w:ascii="仿宋_GB2312" w:hAnsi="微软雅黑" w:eastAsia="仿宋_GB2312"/>
          <w:color w:val="000000"/>
          <w:sz w:val="32"/>
          <w:szCs w:val="32"/>
        </w:rPr>
        <w:t>研究生。</w:t>
      </w:r>
    </w:p>
    <w:p w14:paraId="32BB08A8">
      <w:pPr>
        <w:numPr>
          <w:ilvl w:val="0"/>
          <w:numId w:val="0"/>
        </w:numPr>
        <w:spacing w:line="560" w:lineRule="exact"/>
        <w:ind w:firstLine="640" w:firstLineChars="200"/>
        <w:rPr>
          <w:rFonts w:hint="eastAsia" w:ascii="仿宋_GB2312" w:hAnsi="微软雅黑" w:eastAsia="仿宋_GB2312"/>
          <w:color w:val="000000"/>
          <w:sz w:val="32"/>
          <w:szCs w:val="32"/>
        </w:rPr>
      </w:pPr>
      <w:r>
        <w:rPr>
          <w:rFonts w:hint="eastAsia" w:ascii="仿宋_GB2312" w:hAnsi="微软雅黑" w:eastAsia="仿宋_GB2312"/>
          <w:b w:val="0"/>
          <w:bCs w:val="0"/>
          <w:color w:val="auto"/>
          <w:sz w:val="32"/>
          <w:szCs w:val="32"/>
          <w:lang w:val="en-US" w:eastAsia="zh-CN"/>
        </w:rPr>
        <w:t>第二条</w:t>
      </w:r>
      <w:r>
        <w:rPr>
          <w:rFonts w:hint="eastAsia" w:ascii="仿宋_GB2312" w:hAnsi="微软雅黑" w:eastAsia="仿宋_GB2312"/>
          <w:b/>
          <w:bCs/>
          <w:color w:val="auto"/>
          <w:sz w:val="32"/>
          <w:szCs w:val="32"/>
        </w:rPr>
        <w:t xml:space="preserve"> </w:t>
      </w:r>
      <w:r>
        <w:rPr>
          <w:rFonts w:hint="eastAsia" w:ascii="仿宋_GB2312" w:hAnsi="微软雅黑" w:eastAsia="仿宋_GB2312"/>
          <w:b w:val="0"/>
          <w:bCs w:val="0"/>
          <w:color w:val="auto"/>
          <w:sz w:val="32"/>
          <w:szCs w:val="32"/>
        </w:rPr>
        <w:t>为了进一步落实好研究生综合测评工作，特成立石油学院研究生综合测评委员会，由学院党委副书记任组长，主管研究生教学工作的副院长、研究生辅导员、研究生教学秘书等人为主要工作成员，本办法最终解释权归石油学院研究生综合测评委员会所有。</w:t>
      </w:r>
    </w:p>
    <w:p w14:paraId="6114A943">
      <w:pPr>
        <w:numPr>
          <w:ilvl w:val="0"/>
          <w:numId w:val="0"/>
        </w:numPr>
        <w:spacing w:line="560" w:lineRule="exact"/>
        <w:ind w:firstLine="640" w:firstLineChars="200"/>
        <w:rPr>
          <w:rFonts w:hint="eastAsia" w:ascii="仿宋_GB2312" w:hAnsi="微软雅黑" w:eastAsia="仿宋_GB2312"/>
          <w:color w:val="000000"/>
          <w:sz w:val="32"/>
          <w:szCs w:val="32"/>
        </w:rPr>
      </w:pPr>
      <w:r>
        <w:rPr>
          <w:rFonts w:hint="eastAsia" w:ascii="仿宋" w:hAnsi="仿宋" w:eastAsia="仿宋" w:cs="仿宋"/>
          <w:color w:val="000000"/>
          <w:sz w:val="32"/>
          <w:szCs w:val="32"/>
        </w:rPr>
        <w:t>第</w:t>
      </w:r>
      <w:r>
        <w:rPr>
          <w:rFonts w:hint="eastAsia" w:ascii="仿宋" w:hAnsi="仿宋" w:eastAsia="仿宋" w:cs="仿宋"/>
          <w:color w:val="000000"/>
          <w:sz w:val="32"/>
          <w:szCs w:val="32"/>
          <w:lang w:val="en-US" w:eastAsia="zh-CN"/>
        </w:rPr>
        <w:t>三</w:t>
      </w:r>
      <w:r>
        <w:rPr>
          <w:rFonts w:hint="eastAsia" w:ascii="仿宋" w:hAnsi="仿宋" w:eastAsia="仿宋" w:cs="仿宋"/>
          <w:color w:val="000000"/>
          <w:sz w:val="32"/>
          <w:szCs w:val="32"/>
        </w:rPr>
        <w:t>条</w:t>
      </w:r>
      <w:r>
        <w:rPr>
          <w:rFonts w:hint="eastAsia" w:ascii="仿宋_GB2312" w:hAnsi="微软雅黑" w:eastAsia="仿宋_GB2312"/>
          <w:color w:val="000000"/>
          <w:sz w:val="32"/>
          <w:szCs w:val="32"/>
        </w:rPr>
        <w:t xml:space="preserve"> 综合测评所有加分时间节点为</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去年9月1日—</w:t>
      </w:r>
      <w:r>
        <w:rPr>
          <w:rFonts w:hint="eastAsia" w:ascii="仿宋_GB2312" w:hAnsi="微软雅黑" w:eastAsia="仿宋_GB2312"/>
          <w:color w:val="000000"/>
          <w:sz w:val="32"/>
          <w:szCs w:val="32"/>
        </w:rPr>
        <w:t>当年8月31日，所有具备加分资格的条目应在上述时间内取得（</w:t>
      </w:r>
      <w:r>
        <w:rPr>
          <w:rFonts w:hint="eastAsia" w:ascii="仿宋_GB2312" w:hAnsi="微软雅黑" w:eastAsia="仿宋_GB2312"/>
          <w:b/>
          <w:bCs/>
          <w:color w:val="FF0000"/>
          <w:sz w:val="32"/>
          <w:szCs w:val="32"/>
        </w:rPr>
        <w:t>文章应见刊并发表，奖励、荣誉称号等各类项目应提供相关证明材料</w:t>
      </w:r>
      <w:r>
        <w:rPr>
          <w:rFonts w:hint="eastAsia" w:ascii="仿宋_GB2312" w:hAnsi="微软雅黑" w:eastAsia="仿宋_GB2312"/>
          <w:color w:val="000000"/>
          <w:sz w:val="32"/>
          <w:szCs w:val="32"/>
        </w:rPr>
        <w:t>）。</w:t>
      </w:r>
    </w:p>
    <w:p w14:paraId="46CCB62C">
      <w:pPr>
        <w:numPr>
          <w:ilvl w:val="0"/>
          <w:numId w:val="0"/>
        </w:numPr>
        <w:spacing w:line="560" w:lineRule="exact"/>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二、总成绩</w:t>
      </w:r>
    </w:p>
    <w:p w14:paraId="0E228A92">
      <w:pPr>
        <w:numPr>
          <w:ilvl w:val="0"/>
          <w:numId w:val="0"/>
        </w:numPr>
        <w:spacing w:line="560" w:lineRule="exact"/>
        <w:ind w:firstLine="640" w:firstLineChars="200"/>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总成绩=德育分×20%+智育分×70%+文体分×10%</w:t>
      </w:r>
    </w:p>
    <w:p w14:paraId="4215A94B">
      <w:pPr>
        <w:spacing w:line="560" w:lineRule="exact"/>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三、德育成绩</w:t>
      </w:r>
    </w:p>
    <w:p w14:paraId="160B521E">
      <w:pPr>
        <w:spacing w:line="560" w:lineRule="exact"/>
        <w:ind w:firstLine="640" w:firstLineChars="200"/>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德育分=100分×个人德育总分/德育基准分</w:t>
      </w:r>
    </w:p>
    <w:p w14:paraId="0EAD91E7">
      <w:pPr>
        <w:spacing w:line="560" w:lineRule="exact"/>
        <w:ind w:firstLine="640" w:firstLineChars="200"/>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rPr>
        <w:t>个人德育总分=基础分+</w:t>
      </w:r>
      <w:r>
        <w:rPr>
          <w:rFonts w:hint="eastAsia" w:ascii="仿宋_GB2312" w:hAnsi="微软雅黑" w:eastAsia="仿宋_GB2312"/>
          <w:color w:val="000000"/>
          <w:sz w:val="32"/>
          <w:szCs w:val="32"/>
          <w:lang w:val="en-US" w:eastAsia="zh-CN"/>
        </w:rPr>
        <w:t>奖励</w:t>
      </w:r>
      <w:r>
        <w:rPr>
          <w:rFonts w:hint="eastAsia" w:ascii="仿宋_GB2312" w:hAnsi="微软雅黑" w:eastAsia="仿宋_GB2312"/>
          <w:color w:val="000000"/>
          <w:sz w:val="32"/>
          <w:szCs w:val="32"/>
        </w:rPr>
        <w:t>分</w:t>
      </w:r>
      <w:r>
        <w:rPr>
          <w:rFonts w:hint="eastAsia" w:ascii="仿宋_GB2312" w:hAnsi="微软雅黑" w:eastAsia="仿宋_GB2312"/>
          <w:color w:val="000000"/>
          <w:sz w:val="32"/>
          <w:szCs w:val="32"/>
          <w:lang w:val="en-US" w:eastAsia="zh-CN"/>
        </w:rPr>
        <w:t>-惩罚分</w:t>
      </w:r>
    </w:p>
    <w:p w14:paraId="1BC177D4">
      <w:pPr>
        <w:spacing w:line="560" w:lineRule="exact"/>
        <w:ind w:firstLine="640" w:firstLineChars="200"/>
        <w:rPr>
          <w:rFonts w:ascii="仿宋_GB2312" w:hAnsi="微软雅黑" w:eastAsia="仿宋_GB2312"/>
          <w:color w:val="000000"/>
          <w:sz w:val="32"/>
          <w:szCs w:val="32"/>
        </w:rPr>
      </w:pPr>
      <w:r>
        <w:rPr>
          <w:rFonts w:hint="eastAsia" w:ascii="仿宋_GB2312" w:hAnsi="微软雅黑" w:eastAsia="仿宋_GB2312"/>
          <w:color w:val="000000"/>
          <w:sz w:val="32"/>
          <w:szCs w:val="32"/>
        </w:rPr>
        <w:t>德育基准分取学生所在集体参评成员的最高个人德育总分</w:t>
      </w:r>
    </w:p>
    <w:p w14:paraId="05964BBE">
      <w:pPr>
        <w:spacing w:line="560" w:lineRule="exact"/>
        <w:ind w:firstLine="640" w:firstLineChars="200"/>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（一）基础分（满分100分）</w:t>
      </w:r>
    </w:p>
    <w:p w14:paraId="5EAA6DBC">
      <w:pPr>
        <w:spacing w:line="560" w:lineRule="exact"/>
        <w:ind w:firstLine="640" w:firstLineChars="200"/>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rPr>
        <w:t>德育基础分由班级同学、导师共同打分计算，各占50%。</w:t>
      </w:r>
      <w:r>
        <w:rPr>
          <w:rFonts w:hint="eastAsia" w:ascii="仿宋_GB2312" w:hAnsi="微软雅黑" w:eastAsia="仿宋_GB2312"/>
          <w:color w:val="000000"/>
          <w:sz w:val="32"/>
          <w:szCs w:val="32"/>
          <w:lang w:val="en-US" w:eastAsia="zh-CN"/>
        </w:rPr>
        <w:t>分A、B、C、D四个等级，分别为95分、90分、85分、80分。</w:t>
      </w:r>
    </w:p>
    <w:p w14:paraId="07C332F0">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评分主要参考参评同学以下十个方面的表现进行打分：</w:t>
      </w:r>
    </w:p>
    <w:p w14:paraId="620B0470">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1.热爱祖国，具有较高的政治觉悟和坚定的政治信念，能够用马克思主义的立场、观点和方法分析问题、解决问题；</w:t>
      </w:r>
    </w:p>
    <w:p w14:paraId="6D23A30D">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2.自觉遵守国家法律法规和社会公德，具有较强的社会责任感和集体荣誉感，正确处理个人、集体和国家利益之间的关系；</w:t>
      </w:r>
    </w:p>
    <w:p w14:paraId="5ADEE8C4">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3.自觉遵守校纪校规，在公共场所举止文明得体；</w:t>
      </w:r>
    </w:p>
    <w:p w14:paraId="7AAD7B40">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4.学习目的明确、态度端正，具有良好的生活习惯；</w:t>
      </w:r>
    </w:p>
    <w:p w14:paraId="09DD2F3B">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5.积极参加校、院</w:t>
      </w:r>
      <w:r>
        <w:rPr>
          <w:rFonts w:hint="eastAsia" w:ascii="仿宋_GB2312" w:hAnsi="微软雅黑" w:eastAsia="仿宋_GB2312"/>
          <w:color w:val="000000"/>
          <w:sz w:val="32"/>
          <w:szCs w:val="32"/>
          <w:lang w:val="en-US" w:eastAsia="zh-CN"/>
        </w:rPr>
        <w:t>、</w:t>
      </w:r>
      <w:r>
        <w:rPr>
          <w:rFonts w:hint="default" w:ascii="仿宋_GB2312" w:hAnsi="微软雅黑" w:eastAsia="仿宋_GB2312"/>
          <w:color w:val="000000"/>
          <w:sz w:val="32"/>
          <w:szCs w:val="32"/>
          <w:lang w:val="en-US" w:eastAsia="zh-CN"/>
        </w:rPr>
        <w:t>班级</w:t>
      </w:r>
      <w:r>
        <w:rPr>
          <w:rFonts w:hint="eastAsia" w:ascii="仿宋_GB2312" w:hAnsi="微软雅黑" w:eastAsia="仿宋_GB2312"/>
          <w:color w:val="000000"/>
          <w:sz w:val="32"/>
          <w:szCs w:val="32"/>
          <w:lang w:val="en-US" w:eastAsia="zh-CN"/>
        </w:rPr>
        <w:t>或所在单位</w:t>
      </w:r>
      <w:r>
        <w:rPr>
          <w:rFonts w:hint="default" w:ascii="仿宋_GB2312" w:hAnsi="微软雅黑" w:eastAsia="仿宋_GB2312"/>
          <w:color w:val="000000"/>
          <w:sz w:val="32"/>
          <w:szCs w:val="32"/>
          <w:lang w:val="en-US" w:eastAsia="zh-CN"/>
        </w:rPr>
        <w:t>组织的各项活动；</w:t>
      </w:r>
    </w:p>
    <w:p w14:paraId="742254E7">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6.自觉遵守实验室的规定和安全规范；</w:t>
      </w:r>
    </w:p>
    <w:p w14:paraId="76BFEE86">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7.自觉遵守科学道德和学术规范要求；</w:t>
      </w:r>
    </w:p>
    <w:p w14:paraId="53561196">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8.尊敬实验室</w:t>
      </w:r>
      <w:r>
        <w:rPr>
          <w:rFonts w:hint="eastAsia" w:ascii="仿宋_GB2312" w:hAnsi="微软雅黑" w:eastAsia="仿宋_GB2312"/>
          <w:color w:val="000000"/>
          <w:sz w:val="32"/>
          <w:szCs w:val="32"/>
          <w:lang w:val="en-US" w:eastAsia="zh-CN"/>
        </w:rPr>
        <w:t>和课题组</w:t>
      </w:r>
      <w:r>
        <w:rPr>
          <w:rFonts w:hint="default" w:ascii="仿宋_GB2312" w:hAnsi="微软雅黑" w:eastAsia="仿宋_GB2312"/>
          <w:color w:val="000000"/>
          <w:sz w:val="32"/>
          <w:szCs w:val="32"/>
          <w:lang w:val="en-US" w:eastAsia="zh-CN"/>
        </w:rPr>
        <w:t>教师，团结实验室</w:t>
      </w:r>
      <w:r>
        <w:rPr>
          <w:rFonts w:hint="eastAsia" w:ascii="仿宋_GB2312" w:hAnsi="微软雅黑" w:eastAsia="仿宋_GB2312"/>
          <w:color w:val="000000"/>
          <w:sz w:val="32"/>
          <w:szCs w:val="32"/>
          <w:lang w:val="en-US" w:eastAsia="zh-CN"/>
        </w:rPr>
        <w:t>和课题组</w:t>
      </w:r>
      <w:r>
        <w:rPr>
          <w:rFonts w:hint="default" w:ascii="仿宋_GB2312" w:hAnsi="微软雅黑" w:eastAsia="仿宋_GB2312"/>
          <w:color w:val="000000"/>
          <w:sz w:val="32"/>
          <w:szCs w:val="32"/>
          <w:lang w:val="en-US" w:eastAsia="zh-CN"/>
        </w:rPr>
        <w:t>同学；</w:t>
      </w:r>
    </w:p>
    <w:p w14:paraId="16EDCA05">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9.积极</w:t>
      </w:r>
      <w:r>
        <w:rPr>
          <w:rFonts w:hint="eastAsia" w:ascii="仿宋_GB2312" w:hAnsi="微软雅黑" w:eastAsia="仿宋_GB2312"/>
          <w:color w:val="000000"/>
          <w:sz w:val="32"/>
          <w:szCs w:val="32"/>
          <w:lang w:val="en-US" w:eastAsia="zh-CN"/>
        </w:rPr>
        <w:t>参与学术活动，</w:t>
      </w:r>
      <w:r>
        <w:rPr>
          <w:rFonts w:hint="default" w:ascii="仿宋_GB2312" w:hAnsi="微软雅黑" w:eastAsia="仿宋_GB2312"/>
          <w:color w:val="000000"/>
          <w:sz w:val="32"/>
          <w:szCs w:val="32"/>
          <w:lang w:val="en-US" w:eastAsia="zh-CN"/>
        </w:rPr>
        <w:t>研工作进展良好</w:t>
      </w:r>
      <w:r>
        <w:rPr>
          <w:rFonts w:hint="eastAsia" w:ascii="仿宋_GB2312" w:hAnsi="微软雅黑" w:eastAsia="仿宋_GB2312"/>
          <w:color w:val="000000"/>
          <w:sz w:val="32"/>
          <w:szCs w:val="32"/>
          <w:lang w:val="en-US" w:eastAsia="zh-CN"/>
        </w:rPr>
        <w:t>，</w:t>
      </w:r>
      <w:r>
        <w:rPr>
          <w:rFonts w:hint="default" w:ascii="仿宋_GB2312" w:hAnsi="微软雅黑" w:eastAsia="仿宋_GB2312"/>
          <w:color w:val="000000"/>
          <w:sz w:val="32"/>
          <w:szCs w:val="32"/>
          <w:lang w:val="en-US" w:eastAsia="zh-CN"/>
        </w:rPr>
        <w:t>认真完成导师交给的科研任务等；</w:t>
      </w:r>
    </w:p>
    <w:p w14:paraId="693C31B8">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10.</w:t>
      </w:r>
      <w:r>
        <w:rPr>
          <w:rFonts w:hint="eastAsia" w:ascii="仿宋_GB2312" w:hAnsi="微软雅黑" w:eastAsia="仿宋_GB2312"/>
          <w:color w:val="000000"/>
          <w:sz w:val="32"/>
          <w:szCs w:val="32"/>
          <w:lang w:val="en-US" w:eastAsia="zh-CN"/>
        </w:rPr>
        <w:t>在课程学习、科研项目开展、实习实践中有良好的团队协作能力</w:t>
      </w:r>
      <w:r>
        <w:rPr>
          <w:rFonts w:hint="default" w:ascii="仿宋_GB2312" w:hAnsi="微软雅黑" w:eastAsia="仿宋_GB2312"/>
          <w:color w:val="000000"/>
          <w:sz w:val="32"/>
          <w:szCs w:val="32"/>
          <w:lang w:val="en-US" w:eastAsia="zh-CN"/>
        </w:rPr>
        <w:t>，</w:t>
      </w:r>
      <w:r>
        <w:rPr>
          <w:rFonts w:hint="eastAsia" w:ascii="仿宋_GB2312" w:hAnsi="微软雅黑" w:eastAsia="仿宋_GB2312"/>
          <w:color w:val="000000"/>
          <w:sz w:val="32"/>
          <w:szCs w:val="32"/>
          <w:lang w:val="en-US" w:eastAsia="zh-CN"/>
        </w:rPr>
        <w:t>担当和责任意识</w:t>
      </w:r>
      <w:r>
        <w:rPr>
          <w:rFonts w:hint="default" w:ascii="仿宋_GB2312" w:hAnsi="微软雅黑" w:eastAsia="仿宋_GB2312"/>
          <w:color w:val="000000"/>
          <w:sz w:val="32"/>
          <w:szCs w:val="32"/>
          <w:lang w:val="en-US" w:eastAsia="zh-CN"/>
        </w:rPr>
        <w:t>。</w:t>
      </w:r>
    </w:p>
    <w:p w14:paraId="2E1691ED">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(二)奖励分</w:t>
      </w:r>
    </w:p>
    <w:p w14:paraId="02C90CD0">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1.担任学生干部或其它职务，任期满一学年(含，下同)以上，根据其工作表现，按下述标准酌情加分</w:t>
      </w:r>
      <w:r>
        <w:rPr>
          <w:rFonts w:hint="eastAsia" w:ascii="仿宋_GB2312" w:hAnsi="微软雅黑" w:eastAsia="仿宋_GB2312"/>
          <w:color w:val="000000"/>
          <w:sz w:val="32"/>
          <w:szCs w:val="32"/>
          <w:lang w:val="en-US" w:eastAsia="zh-CN"/>
        </w:rPr>
        <w:t>，工作不满一学年的，折半打分</w:t>
      </w:r>
      <w:r>
        <w:rPr>
          <w:rFonts w:hint="default" w:ascii="仿宋_GB2312" w:hAnsi="微软雅黑" w:eastAsia="仿宋_GB2312"/>
          <w:b w:val="0"/>
          <w:bCs w:val="0"/>
          <w:color w:val="000000"/>
          <w:sz w:val="32"/>
          <w:szCs w:val="32"/>
          <w:lang w:val="en-US" w:eastAsia="zh-CN"/>
        </w:rPr>
        <w:t>(</w:t>
      </w:r>
      <w:r>
        <w:rPr>
          <w:rFonts w:hint="default" w:ascii="仿宋_GB2312" w:hAnsi="微软雅黑" w:eastAsia="仿宋_GB2312"/>
          <w:b/>
          <w:bCs/>
          <w:color w:val="FF0000"/>
          <w:sz w:val="32"/>
          <w:szCs w:val="32"/>
          <w:lang w:val="en-US" w:eastAsia="zh-CN"/>
        </w:rPr>
        <w:t>同时承担两项及以上学生工作的，最多只加两项，取一个最高奖励分后，另一项奖励分乘0.2系数后累加</w:t>
      </w:r>
      <w:r>
        <w:rPr>
          <w:rFonts w:hint="default" w:ascii="仿宋_GB2312" w:hAnsi="微软雅黑" w:eastAsia="仿宋_GB2312"/>
          <w:color w:val="000000"/>
          <w:sz w:val="32"/>
          <w:szCs w:val="32"/>
          <w:lang w:val="en-US" w:eastAsia="zh-CN"/>
        </w:rPr>
        <w:t>)。</w:t>
      </w:r>
    </w:p>
    <w:p w14:paraId="0E232075">
      <w:pPr>
        <w:spacing w:line="560" w:lineRule="exact"/>
        <w:ind w:firstLine="640" w:firstLineChars="200"/>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（1）校</w:t>
      </w:r>
      <w:r>
        <w:rPr>
          <w:rFonts w:hint="default" w:ascii="仿宋_GB2312" w:hAnsi="微软雅黑" w:eastAsia="仿宋_GB2312"/>
          <w:color w:val="000000"/>
          <w:sz w:val="32"/>
          <w:szCs w:val="32"/>
          <w:lang w:val="en-US" w:eastAsia="zh-CN"/>
        </w:rPr>
        <w:t>区研究生会</w:t>
      </w:r>
      <w:r>
        <w:rPr>
          <w:rFonts w:hint="eastAsia" w:ascii="仿宋_GB2312" w:hAnsi="微软雅黑" w:eastAsia="仿宋_GB2312"/>
          <w:color w:val="000000"/>
          <w:sz w:val="32"/>
          <w:szCs w:val="32"/>
          <w:lang w:val="en-US" w:eastAsia="zh-CN"/>
        </w:rPr>
        <w:t>主席</w:t>
      </w:r>
      <w:r>
        <w:rPr>
          <w:rFonts w:hint="default" w:ascii="仿宋_GB2312" w:hAnsi="微软雅黑" w:eastAsia="仿宋_GB2312"/>
          <w:color w:val="000000"/>
          <w:sz w:val="32"/>
          <w:szCs w:val="32"/>
          <w:lang w:val="en-US" w:eastAsia="zh-CN"/>
        </w:rPr>
        <w:t>、部长、部委加分按管理部门打分分别乘2/3、3/5、2/3进行加分</w:t>
      </w:r>
      <w:r>
        <w:rPr>
          <w:rFonts w:hint="eastAsia" w:ascii="仿宋_GB2312" w:hAnsi="微软雅黑" w:eastAsia="仿宋_GB2312"/>
          <w:color w:val="000000"/>
          <w:sz w:val="32"/>
          <w:szCs w:val="32"/>
          <w:lang w:val="en-US" w:eastAsia="zh-CN"/>
        </w:rPr>
        <w:t>，正副</w:t>
      </w:r>
      <w:r>
        <w:rPr>
          <w:rFonts w:hint="default" w:ascii="仿宋_GB2312" w:hAnsi="微软雅黑" w:eastAsia="仿宋_GB2312"/>
          <w:color w:val="000000"/>
          <w:sz w:val="32"/>
          <w:szCs w:val="32"/>
          <w:lang w:val="en-US" w:eastAsia="zh-CN"/>
        </w:rPr>
        <w:t>主席加0-15分；正副部长0-</w:t>
      </w:r>
      <w:r>
        <w:rPr>
          <w:rFonts w:hint="eastAsia" w:ascii="仿宋_GB2312" w:hAnsi="微软雅黑" w:eastAsia="仿宋_GB2312"/>
          <w:color w:val="000000"/>
          <w:sz w:val="32"/>
          <w:szCs w:val="32"/>
          <w:lang w:val="en-US" w:eastAsia="zh-CN"/>
        </w:rPr>
        <w:t>10</w:t>
      </w:r>
      <w:r>
        <w:rPr>
          <w:rFonts w:hint="default" w:ascii="仿宋_GB2312" w:hAnsi="微软雅黑" w:eastAsia="仿宋_GB2312"/>
          <w:color w:val="000000"/>
          <w:sz w:val="32"/>
          <w:szCs w:val="32"/>
          <w:lang w:val="en-US" w:eastAsia="zh-CN"/>
        </w:rPr>
        <w:t>分；部委0-</w:t>
      </w:r>
      <w:r>
        <w:rPr>
          <w:rFonts w:hint="eastAsia" w:ascii="仿宋_GB2312" w:hAnsi="微软雅黑" w:eastAsia="仿宋_GB2312"/>
          <w:color w:val="000000"/>
          <w:sz w:val="32"/>
          <w:szCs w:val="32"/>
          <w:lang w:val="en-US" w:eastAsia="zh-CN"/>
        </w:rPr>
        <w:t>6</w:t>
      </w:r>
      <w:r>
        <w:rPr>
          <w:rFonts w:hint="default" w:ascii="仿宋_GB2312" w:hAnsi="微软雅黑" w:eastAsia="仿宋_GB2312"/>
          <w:color w:val="000000"/>
          <w:sz w:val="32"/>
          <w:szCs w:val="32"/>
          <w:lang w:val="en-US" w:eastAsia="zh-CN"/>
        </w:rPr>
        <w:t>分。</w:t>
      </w:r>
    </w:p>
    <w:p w14:paraId="23DB0DAC">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（2）校级功能型社团正副职及部门负责人按管理部门打分分别乘3/5、2/3进行加分：正副职0-10分；部门负责人0-6分。</w:t>
      </w:r>
    </w:p>
    <w:p w14:paraId="2DD249A3">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（3）院学生会、院级各学生社团（兴趣类社团除外）正副主席0-10分；正副部长0-6分；部委0-4分。</w:t>
      </w:r>
    </w:p>
    <w:p w14:paraId="41234274">
      <w:pPr>
        <w:spacing w:line="560" w:lineRule="exact"/>
        <w:ind w:firstLine="640" w:firstLineChars="200"/>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（4）校区兴趣型社团负责人加0-2分，其他成员不加分。兴趣小组不加分。</w:t>
      </w:r>
    </w:p>
    <w:p w14:paraId="0B7A5ED5">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w:t>
      </w:r>
      <w:r>
        <w:rPr>
          <w:rFonts w:hint="eastAsia" w:ascii="仿宋_GB2312" w:hAnsi="微软雅黑" w:eastAsia="仿宋_GB2312"/>
          <w:color w:val="000000"/>
          <w:sz w:val="32"/>
          <w:szCs w:val="32"/>
          <w:lang w:val="en-US" w:eastAsia="zh-CN"/>
        </w:rPr>
        <w:t>5</w:t>
      </w:r>
      <w:r>
        <w:rPr>
          <w:rFonts w:hint="default" w:ascii="仿宋_GB2312" w:hAnsi="微软雅黑" w:eastAsia="仿宋_GB2312"/>
          <w:color w:val="000000"/>
          <w:sz w:val="32"/>
          <w:szCs w:val="32"/>
          <w:lang w:val="en-US" w:eastAsia="zh-CN"/>
        </w:rPr>
        <w:t>）班长、党</w:t>
      </w:r>
      <w:r>
        <w:rPr>
          <w:rFonts w:hint="eastAsia" w:ascii="仿宋_GB2312" w:hAnsi="微软雅黑" w:eastAsia="仿宋_GB2312"/>
          <w:color w:val="000000"/>
          <w:sz w:val="32"/>
          <w:szCs w:val="32"/>
          <w:lang w:val="en-US" w:eastAsia="zh-CN"/>
        </w:rPr>
        <w:t>支部书记</w:t>
      </w:r>
      <w:r>
        <w:rPr>
          <w:rFonts w:hint="default" w:ascii="仿宋_GB2312" w:hAnsi="微软雅黑" w:eastAsia="仿宋_GB2312"/>
          <w:color w:val="000000"/>
          <w:sz w:val="32"/>
          <w:szCs w:val="32"/>
          <w:lang w:val="en-US" w:eastAsia="zh-CN"/>
        </w:rPr>
        <w:t>、团</w:t>
      </w:r>
      <w:r>
        <w:rPr>
          <w:rFonts w:hint="eastAsia" w:ascii="仿宋_GB2312" w:hAnsi="微软雅黑" w:eastAsia="仿宋_GB2312"/>
          <w:color w:val="000000"/>
          <w:sz w:val="32"/>
          <w:szCs w:val="32"/>
          <w:lang w:val="en-US" w:eastAsia="zh-CN"/>
        </w:rPr>
        <w:t>支部书记、辅导员助理</w:t>
      </w:r>
      <w:r>
        <w:rPr>
          <w:rFonts w:hint="default" w:ascii="仿宋_GB2312" w:hAnsi="微软雅黑" w:eastAsia="仿宋_GB2312"/>
          <w:color w:val="000000"/>
          <w:sz w:val="32"/>
          <w:szCs w:val="32"/>
          <w:lang w:val="en-US" w:eastAsia="zh-CN"/>
        </w:rPr>
        <w:t>加0-6分</w:t>
      </w:r>
      <w:r>
        <w:rPr>
          <w:rFonts w:hint="eastAsia" w:ascii="仿宋_GB2312" w:hAnsi="微软雅黑" w:eastAsia="仿宋_GB2312"/>
          <w:color w:val="000000"/>
          <w:sz w:val="32"/>
          <w:szCs w:val="32"/>
          <w:lang w:val="en-US" w:eastAsia="zh-CN"/>
        </w:rPr>
        <w:t>，其他班委、党支部委员、团支部委员加0-4分，</w:t>
      </w:r>
      <w:r>
        <w:rPr>
          <w:rFonts w:hint="default" w:ascii="仿宋_GB2312" w:hAnsi="微软雅黑" w:eastAsia="仿宋_GB2312"/>
          <w:color w:val="000000"/>
          <w:sz w:val="32"/>
          <w:szCs w:val="32"/>
          <w:lang w:val="en-US" w:eastAsia="zh-CN"/>
        </w:rPr>
        <w:t>单元长、课代表加0-3分。</w:t>
      </w:r>
    </w:p>
    <w:p w14:paraId="6460AC39">
      <w:pPr>
        <w:spacing w:line="560" w:lineRule="exact"/>
        <w:ind w:firstLine="643"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b/>
          <w:bCs/>
          <w:color w:val="FF0000"/>
          <w:sz w:val="32"/>
          <w:szCs w:val="32"/>
          <w:lang w:val="en-US" w:eastAsia="zh-CN"/>
        </w:rPr>
        <w:t>各社团提交的加分表均需负责部门负责老师认定，并应是对社团成员过去一年工作的准确评价，因此成员内部之间的加分情况要有差异。任何部门、社团提供的加分表，如果主席之间、部长之间、部委之间没有差异，学院不予采纳。</w:t>
      </w:r>
    </w:p>
    <w:p w14:paraId="36436AF7">
      <w:pPr>
        <w:spacing w:line="560" w:lineRule="exact"/>
        <w:ind w:firstLine="640" w:firstLineChars="200"/>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2</w:t>
      </w:r>
      <w:r>
        <w:rPr>
          <w:rFonts w:hint="default" w:ascii="仿宋_GB2312" w:hAnsi="微软雅黑" w:eastAsia="仿宋_GB2312"/>
          <w:color w:val="000000"/>
          <w:sz w:val="32"/>
          <w:szCs w:val="32"/>
          <w:lang w:val="en-US" w:eastAsia="zh-CN"/>
        </w:rPr>
        <w:t>.在舍已救人、保卫国家集体财产安全、树立良好校风方面有突出贡献者，经所在院（系、部）批准可加5-20分。</w:t>
      </w:r>
    </w:p>
    <w:p w14:paraId="3F665D38">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3.被评为先进集体的，校级每人加5分，省部级每人加10分，国家级每人加15分；被评为先进党团支部的党团员也按上述标准加分。</w:t>
      </w:r>
    </w:p>
    <w:p w14:paraId="132B734E">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4.校级、市（部）级、国家级先进个人分别加5、10、15分。</w:t>
      </w:r>
    </w:p>
    <w:p w14:paraId="68361131">
      <w:pPr>
        <w:spacing w:line="560" w:lineRule="exact"/>
        <w:ind w:firstLine="640" w:firstLineChars="200"/>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5</w:t>
      </w:r>
      <w:r>
        <w:rPr>
          <w:rFonts w:hint="default" w:ascii="仿宋_GB2312" w:hAnsi="微软雅黑" w:eastAsia="仿宋_GB2312"/>
          <w:color w:val="000000"/>
          <w:sz w:val="32"/>
          <w:szCs w:val="32"/>
          <w:lang w:val="en-US" w:eastAsia="zh-CN"/>
        </w:rPr>
        <w:t>.宿舍管理奖励分，按《中国石油大学（北京）克拉玛依校区学生检查及评比奖惩办法》执行。</w:t>
      </w:r>
    </w:p>
    <w:p w14:paraId="2CDF7148">
      <w:pPr>
        <w:spacing w:line="560" w:lineRule="exact"/>
        <w:ind w:firstLine="640" w:firstLineChars="200"/>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6</w:t>
      </w:r>
      <w:r>
        <w:rPr>
          <w:rFonts w:hint="default" w:ascii="仿宋_GB2312" w:hAnsi="微软雅黑" w:eastAsia="仿宋_GB2312"/>
          <w:color w:val="000000"/>
          <w:sz w:val="32"/>
          <w:szCs w:val="32"/>
          <w:lang w:val="en-US" w:eastAsia="zh-CN"/>
        </w:rPr>
        <w:t>.以演员身份参加元旦晚会、毕业生晚会、迎新晚会、网络文化节等文艺晚会的，一场活动加0.5分。参加征文、演讲比赛、辩论赛、知识竞赛等竞赛性质活动的，一次加0.5分，获奖加1分。社团文化节比赛、宿舍文化节等展示性质活动获奖加0.5分，一等奖加1分。以上项目最多加2分。</w:t>
      </w:r>
      <w:bookmarkStart w:id="0" w:name="_GoBack"/>
      <w:bookmarkEnd w:id="0"/>
    </w:p>
    <w:p w14:paraId="1AE19988">
      <w:pPr>
        <w:spacing w:line="560" w:lineRule="exact"/>
        <w:ind w:firstLine="640" w:firstLineChars="200"/>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7</w:t>
      </w:r>
      <w:r>
        <w:rPr>
          <w:rFonts w:hint="default" w:ascii="仿宋_GB2312" w:hAnsi="微软雅黑" w:eastAsia="仿宋_GB2312"/>
          <w:color w:val="000000"/>
          <w:sz w:val="32"/>
          <w:szCs w:val="32"/>
          <w:lang w:val="en-US" w:eastAsia="zh-CN"/>
        </w:rPr>
        <w:t>.学年内志愿服务时间不足20小时的不加分；达到20小时的，加2分；达到30小时的，加3分；40小时及以上的加4分。志愿者服务时间由学院青年志愿者协会负责统计。综合测评计算志愿者服务时长时，市级或校级大型志愿者活动（如量产车大赛、国际马拉松大赛等）折半计算。志愿者荣誉称号不加分。</w:t>
      </w:r>
    </w:p>
    <w:p w14:paraId="69ADFADA">
      <w:pPr>
        <w:spacing w:line="560" w:lineRule="exact"/>
        <w:ind w:firstLine="640" w:firstLineChars="200"/>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8.</w:t>
      </w:r>
      <w:r>
        <w:rPr>
          <w:rFonts w:hint="default" w:ascii="仿宋_GB2312" w:hAnsi="微软雅黑" w:eastAsia="仿宋_GB2312"/>
          <w:color w:val="000000"/>
          <w:sz w:val="32"/>
          <w:szCs w:val="32"/>
          <w:lang w:val="en-US" w:eastAsia="zh-CN"/>
        </w:rPr>
        <w:t>社会实践项目团队获得国家级奖项的团队负责人加3分，团队成员分别加1.5分，获得省部级奖项的团队负责人加2分，团队成员分别加1分。写出一定水平的实践报告类文章，以中国石油大学（北京）克拉玛依为唯一代表或唯一署名单位的，可以加分。其中学生为第一作者或者指导教师为第一作者、学生为第二作者，核心期刊加4分，非核心期刊加2分；多人排名情况的，第一作者或者指导教师为第一作者、学生为第二作者，核心期刊加3分，非核心期刊加2分，第二、第三学生作者加1分，其他作者不加分。</w:t>
      </w:r>
    </w:p>
    <w:p w14:paraId="1DB9497A">
      <w:pPr>
        <w:spacing w:line="560" w:lineRule="exact"/>
        <w:ind w:firstLine="640" w:firstLineChars="200"/>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9.积极参加学术报告或学术论坛等活动，根据现场签到情况，可按照通知的分值加分，该项最多加3分。</w:t>
      </w:r>
    </w:p>
    <w:p w14:paraId="64AF2259">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w:t>
      </w:r>
      <w:r>
        <w:rPr>
          <w:rFonts w:hint="eastAsia" w:ascii="仿宋_GB2312" w:hAnsi="微软雅黑" w:eastAsia="仿宋_GB2312"/>
          <w:color w:val="000000"/>
          <w:sz w:val="32"/>
          <w:szCs w:val="32"/>
          <w:lang w:val="en-US" w:eastAsia="zh-CN"/>
        </w:rPr>
        <w:t>三</w:t>
      </w:r>
      <w:r>
        <w:rPr>
          <w:rFonts w:hint="default" w:ascii="仿宋_GB2312" w:hAnsi="微软雅黑" w:eastAsia="仿宋_GB2312"/>
          <w:color w:val="000000"/>
          <w:sz w:val="32"/>
          <w:szCs w:val="32"/>
          <w:lang w:val="en-US" w:eastAsia="zh-CN"/>
        </w:rPr>
        <w:t>)</w:t>
      </w:r>
      <w:r>
        <w:rPr>
          <w:rFonts w:hint="eastAsia" w:ascii="仿宋_GB2312" w:hAnsi="微软雅黑" w:eastAsia="仿宋_GB2312"/>
          <w:color w:val="000000"/>
          <w:sz w:val="32"/>
          <w:szCs w:val="32"/>
          <w:lang w:val="en-US" w:eastAsia="zh-CN"/>
        </w:rPr>
        <w:t>惩罚</w:t>
      </w:r>
      <w:r>
        <w:rPr>
          <w:rFonts w:hint="default" w:ascii="仿宋_GB2312" w:hAnsi="微软雅黑" w:eastAsia="仿宋_GB2312"/>
          <w:color w:val="000000"/>
          <w:sz w:val="32"/>
          <w:szCs w:val="32"/>
          <w:lang w:val="en-US" w:eastAsia="zh-CN"/>
        </w:rPr>
        <w:t>分</w:t>
      </w:r>
    </w:p>
    <w:p w14:paraId="279168DB">
      <w:pPr>
        <w:spacing w:line="560" w:lineRule="exact"/>
        <w:ind w:firstLine="640" w:firstLineChars="200"/>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1.违反国家法律法规，虽未受到刑事或行政处罚但被处理者，一次扣10分。</w:t>
      </w:r>
    </w:p>
    <w:p w14:paraId="0C8B839F">
      <w:pPr>
        <w:spacing w:line="560" w:lineRule="exact"/>
        <w:ind w:firstLine="640" w:firstLineChars="200"/>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2.受到通报批评、警告、严重警告、记过、留校察看处分者，分别扣10、15、25、35、55分。</w:t>
      </w:r>
    </w:p>
    <w:p w14:paraId="69529238">
      <w:pPr>
        <w:spacing w:line="560" w:lineRule="exact"/>
        <w:ind w:firstLine="640" w:firstLineChars="200"/>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3.违反科学道德和学术规范并造成不良影响者，一次扣10分。</w:t>
      </w:r>
    </w:p>
    <w:p w14:paraId="7B01C14B">
      <w:pPr>
        <w:spacing w:line="560" w:lineRule="exact"/>
        <w:ind w:firstLine="640" w:firstLineChars="200"/>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4.集体活动缺勤一次扣2分，不按时注册扣10分。</w:t>
      </w:r>
    </w:p>
    <w:p w14:paraId="5E934904">
      <w:pPr>
        <w:spacing w:line="560" w:lineRule="exact"/>
        <w:ind w:firstLine="640" w:firstLineChars="200"/>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5.宿舍管理惩罚分，按《中国石油大学（北京）克拉玛依校区学生宿舍检查及评比奖惩办法》执行。</w:t>
      </w:r>
    </w:p>
    <w:p w14:paraId="49FF65D8">
      <w:pPr>
        <w:spacing w:line="560" w:lineRule="exact"/>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四、智育成绩</w:t>
      </w:r>
    </w:p>
    <w:p w14:paraId="114CFB88">
      <w:pPr>
        <w:spacing w:line="560" w:lineRule="exact"/>
        <w:ind w:firstLine="640" w:firstLineChars="200"/>
        <w:jc w:val="both"/>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智育分=100分×个人智育总分/智育基准分</w:t>
      </w:r>
    </w:p>
    <w:p w14:paraId="6429E445">
      <w:pPr>
        <w:spacing w:line="560" w:lineRule="exact"/>
        <w:ind w:firstLine="640"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rPr>
        <w:t>个人智育总分=学习成绩分+</w:t>
      </w:r>
      <w:r>
        <w:rPr>
          <w:rFonts w:hint="eastAsia" w:ascii="仿宋_GB2312" w:hAnsi="微软雅黑" w:eastAsia="仿宋_GB2312"/>
          <w:color w:val="000000"/>
          <w:sz w:val="32"/>
          <w:szCs w:val="32"/>
          <w:lang w:val="en-US" w:eastAsia="zh-CN"/>
        </w:rPr>
        <w:t>奖励</w:t>
      </w:r>
      <w:r>
        <w:rPr>
          <w:rFonts w:hint="eastAsia" w:ascii="仿宋_GB2312" w:hAnsi="微软雅黑" w:eastAsia="仿宋_GB2312"/>
          <w:color w:val="000000"/>
          <w:sz w:val="32"/>
          <w:szCs w:val="32"/>
        </w:rPr>
        <w:t>分</w:t>
      </w:r>
      <w:r>
        <w:rPr>
          <w:rFonts w:hint="eastAsia" w:ascii="仿宋_GB2312" w:hAnsi="微软雅黑" w:eastAsia="仿宋_GB2312"/>
          <w:color w:val="000000"/>
          <w:sz w:val="32"/>
          <w:szCs w:val="32"/>
          <w:lang w:val="en-US" w:eastAsia="zh-CN"/>
        </w:rPr>
        <w:t>-惩罚分</w:t>
      </w:r>
    </w:p>
    <w:p w14:paraId="1AA7998A">
      <w:pPr>
        <w:spacing w:line="560" w:lineRule="exact"/>
        <w:ind w:firstLine="640" w:firstLineChars="200"/>
        <w:jc w:val="both"/>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智育基准分取学生所在集体参评成员的最高个人智育总分</w:t>
      </w:r>
    </w:p>
    <w:p w14:paraId="335A2FD3">
      <w:pPr>
        <w:spacing w:line="560" w:lineRule="exact"/>
        <w:ind w:firstLine="640" w:firstLineChars="200"/>
        <w:jc w:val="both"/>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（一）学习成绩分（100分）</w:t>
      </w:r>
    </w:p>
    <w:p w14:paraId="18A54F53">
      <w:pPr>
        <w:spacing w:line="560" w:lineRule="exact"/>
        <w:ind w:firstLine="640" w:firstLineChars="200"/>
        <w:jc w:val="both"/>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考核培养计划中必修课和选修课完成情况，按考试成绩和学分数加权计算。</w:t>
      </w:r>
    </w:p>
    <w:p w14:paraId="097F8BA0">
      <w:pPr>
        <w:spacing w:line="560" w:lineRule="exact"/>
        <w:ind w:firstLine="640" w:firstLineChars="200"/>
        <w:jc w:val="both"/>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学习成绩=0.7×∑</w:t>
      </w:r>
      <w:r>
        <w:rPr>
          <w:rFonts w:hint="eastAsia" w:ascii="仿宋_GB2312" w:hAnsi="微软雅黑" w:eastAsia="仿宋_GB2312"/>
          <w:color w:val="000000"/>
          <w:sz w:val="32"/>
          <w:szCs w:val="32"/>
          <w:lang w:val="en-US" w:eastAsia="zh-CN"/>
        </w:rPr>
        <w:t>(</w:t>
      </w:r>
      <w:r>
        <w:rPr>
          <w:rFonts w:hint="eastAsia" w:ascii="仿宋_GB2312" w:hAnsi="微软雅黑" w:eastAsia="仿宋_GB2312"/>
          <w:color w:val="000000"/>
          <w:sz w:val="32"/>
          <w:szCs w:val="32"/>
        </w:rPr>
        <w:t>Ti×Xi</w:t>
      </w:r>
      <w:r>
        <w:rPr>
          <w:rFonts w:hint="eastAsia" w:ascii="仿宋_GB2312" w:hAnsi="微软雅黑" w:eastAsia="仿宋_GB2312"/>
          <w:color w:val="000000"/>
          <w:sz w:val="32"/>
          <w:szCs w:val="32"/>
          <w:lang w:val="en-US" w:eastAsia="zh-CN"/>
        </w:rPr>
        <w:t>)/</w:t>
      </w:r>
      <w:r>
        <w:rPr>
          <w:rFonts w:hint="eastAsia" w:ascii="仿宋_GB2312" w:hAnsi="微软雅黑" w:eastAsia="仿宋_GB2312"/>
          <w:color w:val="000000"/>
          <w:sz w:val="32"/>
          <w:szCs w:val="32"/>
        </w:rPr>
        <w:t>∑Ti+0.3×∑</w:t>
      </w:r>
      <w:r>
        <w:rPr>
          <w:rFonts w:hint="eastAsia" w:ascii="仿宋_GB2312" w:hAnsi="微软雅黑" w:eastAsia="仿宋_GB2312"/>
          <w:color w:val="000000"/>
          <w:sz w:val="32"/>
          <w:szCs w:val="32"/>
          <w:lang w:val="en-US" w:eastAsia="zh-CN"/>
        </w:rPr>
        <w:t>(</w:t>
      </w:r>
      <w:r>
        <w:rPr>
          <w:rFonts w:hint="eastAsia" w:ascii="仿宋_GB2312" w:hAnsi="微软雅黑" w:eastAsia="仿宋_GB2312"/>
          <w:color w:val="000000"/>
          <w:sz w:val="32"/>
          <w:szCs w:val="32"/>
        </w:rPr>
        <w:t>Mi×Yi</w:t>
      </w:r>
      <w:r>
        <w:rPr>
          <w:rFonts w:hint="eastAsia" w:ascii="仿宋_GB2312" w:hAnsi="微软雅黑" w:eastAsia="仿宋_GB2312"/>
          <w:color w:val="000000"/>
          <w:sz w:val="32"/>
          <w:szCs w:val="32"/>
          <w:lang w:val="en-US" w:eastAsia="zh-CN"/>
        </w:rPr>
        <w:t>)/</w:t>
      </w:r>
      <w:r>
        <w:rPr>
          <w:rFonts w:hint="eastAsia" w:ascii="仿宋_GB2312" w:hAnsi="微软雅黑" w:eastAsia="仿宋_GB2312"/>
          <w:color w:val="000000"/>
          <w:sz w:val="32"/>
          <w:szCs w:val="32"/>
        </w:rPr>
        <w:t>∑Mi</w:t>
      </w:r>
    </w:p>
    <w:p w14:paraId="7B1DCCE3">
      <w:pPr>
        <w:spacing w:line="560" w:lineRule="exact"/>
        <w:ind w:firstLine="640" w:firstLineChars="200"/>
        <w:jc w:val="both"/>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其中：Ti为培养计划中所列的学位课学分数，Xi为学位课课程成绩，Mi为选修课学分数，Yi为选修课成绩，成绩按百分制计算。</w:t>
      </w:r>
    </w:p>
    <w:p w14:paraId="55251EA2">
      <w:pPr>
        <w:spacing w:line="560" w:lineRule="exact"/>
        <w:ind w:firstLine="643" w:firstLineChars="200"/>
        <w:jc w:val="both"/>
        <w:rPr>
          <w:rFonts w:hint="eastAsia" w:ascii="仿宋_GB2312" w:hAnsi="微软雅黑" w:eastAsia="仿宋_GB2312"/>
          <w:color w:val="000000"/>
          <w:sz w:val="32"/>
          <w:szCs w:val="32"/>
        </w:rPr>
      </w:pPr>
      <w:r>
        <w:rPr>
          <w:rFonts w:hint="eastAsia" w:ascii="仿宋_GB2312" w:hAnsi="微软雅黑" w:eastAsia="仿宋_GB2312"/>
          <w:b/>
          <w:bCs/>
          <w:color w:val="FF0000"/>
          <w:sz w:val="32"/>
          <w:szCs w:val="32"/>
        </w:rPr>
        <w:t>考试不及格有补考成绩的，按照不及格原始成绩计算；免修课程成绩按照90分计算；两分制成绩不计入综合测评；重修课程不计入综合测评。缓考课程如开学三周内不能提供成绩的，成绩纳入下学年度考核。</w:t>
      </w:r>
    </w:p>
    <w:p w14:paraId="03A449E3">
      <w:pPr>
        <w:spacing w:line="560" w:lineRule="exact"/>
        <w:ind w:firstLine="640" w:firstLineChars="200"/>
        <w:jc w:val="both"/>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（二）奖励分</w:t>
      </w:r>
    </w:p>
    <w:p w14:paraId="5838240A">
      <w:pPr>
        <w:spacing w:line="560" w:lineRule="exact"/>
        <w:ind w:firstLine="640" w:firstLineChars="200"/>
        <w:jc w:val="both"/>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1.所有奖励分加分项目必须与专业相关且以中国石油大学（北京）或中国石油大学(北京)克拉玛依校区为第一单位，以企业导师所在单位为第一单位的，校区需为参与单位。同一内容的论文或科研成果取单项最高分，不累加。文章录用但未正式发表的，不加分。所有发表的论文或科研成果均需附有原件及复印件，班级综合测评小组审核合格后有效。</w:t>
      </w:r>
    </w:p>
    <w:p w14:paraId="221BE000">
      <w:pPr>
        <w:spacing w:line="560" w:lineRule="exact"/>
        <w:ind w:firstLine="640" w:firstLineChars="200"/>
        <w:jc w:val="both"/>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2.智育奖励分涉及多人排名的加分情况，个人得分计算方法：</w:t>
      </w:r>
    </w:p>
    <w:p w14:paraId="65C57EB2">
      <w:pPr>
        <w:spacing w:line="560" w:lineRule="exact"/>
        <w:ind w:firstLine="640" w:firstLineChars="200"/>
        <w:jc w:val="both"/>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（1）团体赛事请填写《附件1：团队比赛获奖项目赋分表》，获奖团队根据个人工作量、分工等自行分配单人所获奖项加分，</w:t>
      </w:r>
      <w:r>
        <w:rPr>
          <w:rFonts w:hint="eastAsia" w:ascii="仿宋_GB2312" w:hAnsi="微软雅黑" w:eastAsia="仿宋_GB2312"/>
          <w:b/>
          <w:bCs/>
          <w:color w:val="FF0000"/>
          <w:sz w:val="32"/>
          <w:szCs w:val="32"/>
        </w:rPr>
        <w:t>其中负责人（队长）不得超过最高分的2/3，其他成员不得超过最高分的1/2，且团队成员总分不得超过所获奖项加分。</w:t>
      </w:r>
      <w:r>
        <w:rPr>
          <w:rFonts w:hint="eastAsia" w:ascii="仿宋_GB2312" w:hAnsi="微软雅黑" w:eastAsia="仿宋_GB2312"/>
          <w:color w:val="000000"/>
          <w:sz w:val="32"/>
          <w:szCs w:val="32"/>
        </w:rPr>
        <w:t>涉及到跨校组队，参照执行。</w:t>
      </w:r>
    </w:p>
    <w:p w14:paraId="6C5979FC">
      <w:pPr>
        <w:spacing w:line="560" w:lineRule="exact"/>
        <w:ind w:firstLine="640" w:firstLineChars="200"/>
        <w:jc w:val="both"/>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2）论文或专利加分请填写《附件2：论文专利加分赋分表》，需由学生本人去校区图书馆开具检索报告并加盖校区图书馆公章。校内导师(或企业导师)为第一作者、学生为第二作者的，第二作者得分为2/5×所获奖项的加分，其他人员分享1/10×所获奖项的加分（详细加分见附录）。</w:t>
      </w:r>
    </w:p>
    <w:p w14:paraId="687CD01A">
      <w:pPr>
        <w:spacing w:line="560" w:lineRule="exact"/>
        <w:ind w:firstLine="640" w:firstLineChars="200"/>
        <w:jc w:val="both"/>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（三）惩罚分</w:t>
      </w:r>
    </w:p>
    <w:p w14:paraId="3C92541A">
      <w:pPr>
        <w:spacing w:line="560" w:lineRule="exact"/>
        <w:ind w:firstLine="640" w:firstLineChars="200"/>
        <w:jc w:val="both"/>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1.文献综述、开题报告没有按时完成者（以学位办公室等职能部门规定的时间为准），扣10分；</w:t>
      </w:r>
    </w:p>
    <w:p w14:paraId="6CEB46B4">
      <w:pPr>
        <w:spacing w:line="560" w:lineRule="exact"/>
        <w:ind w:firstLine="640" w:firstLineChars="200"/>
        <w:jc w:val="both"/>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2.经鉴定确认剽窃他人学术成果者或非法转让技术成果者，扣30分。</w:t>
      </w:r>
    </w:p>
    <w:p w14:paraId="2A082923">
      <w:pPr>
        <w:spacing w:line="560" w:lineRule="exact"/>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五、文体成绩</w:t>
      </w:r>
    </w:p>
    <w:p w14:paraId="643DF748">
      <w:pPr>
        <w:spacing w:line="560" w:lineRule="exact"/>
        <w:ind w:firstLine="640" w:firstLineChars="200"/>
        <w:jc w:val="both"/>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文体分=100分×个人文体总分/文体基准分</w:t>
      </w:r>
    </w:p>
    <w:p w14:paraId="546033C1">
      <w:pPr>
        <w:spacing w:line="560" w:lineRule="exact"/>
        <w:ind w:firstLine="640"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rPr>
        <w:t>个人文体活动总分=基本分+</w:t>
      </w:r>
      <w:r>
        <w:rPr>
          <w:rFonts w:hint="eastAsia" w:ascii="仿宋_GB2312" w:hAnsi="微软雅黑" w:eastAsia="仿宋_GB2312"/>
          <w:color w:val="000000"/>
          <w:sz w:val="32"/>
          <w:szCs w:val="32"/>
          <w:lang w:val="en-US" w:eastAsia="zh-CN"/>
        </w:rPr>
        <w:t>奖励</w:t>
      </w:r>
      <w:r>
        <w:rPr>
          <w:rFonts w:hint="eastAsia" w:ascii="仿宋_GB2312" w:hAnsi="微软雅黑" w:eastAsia="仿宋_GB2312"/>
          <w:color w:val="000000"/>
          <w:sz w:val="32"/>
          <w:szCs w:val="32"/>
        </w:rPr>
        <w:t>分</w:t>
      </w:r>
      <w:r>
        <w:rPr>
          <w:rFonts w:hint="eastAsia" w:ascii="仿宋_GB2312" w:hAnsi="微软雅黑" w:eastAsia="仿宋_GB2312"/>
          <w:color w:val="000000"/>
          <w:sz w:val="32"/>
          <w:szCs w:val="32"/>
          <w:lang w:val="en-US" w:eastAsia="zh-CN"/>
        </w:rPr>
        <w:t>-惩罚分</w:t>
      </w:r>
    </w:p>
    <w:p w14:paraId="2A964D2F">
      <w:pPr>
        <w:spacing w:line="560" w:lineRule="exact"/>
        <w:ind w:firstLine="640" w:firstLineChars="200"/>
        <w:jc w:val="both"/>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文体活动基准分取学生所在集体参评成员的最高个人文体活动总分</w:t>
      </w:r>
    </w:p>
    <w:p w14:paraId="05D2155C">
      <w:pPr>
        <w:numPr>
          <w:ilvl w:val="0"/>
          <w:numId w:val="2"/>
        </w:numPr>
        <w:spacing w:line="560" w:lineRule="exact"/>
        <w:ind w:firstLine="640" w:firstLineChars="200"/>
        <w:jc w:val="both"/>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基本分</w:t>
      </w:r>
    </w:p>
    <w:p w14:paraId="5E2A3B2B">
      <w:pPr>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基本分由班级同学互评评分确定，同学互评分主要参考参评同学以下2个方面的表现进行打分：</w:t>
      </w:r>
    </w:p>
    <w:p w14:paraId="39A36538">
      <w:pPr>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1.身心健康，有良好的生活习惯；</w:t>
      </w:r>
    </w:p>
    <w:p w14:paraId="4D31A868">
      <w:pPr>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2.积极参加校、院和班级组织的文体活动。</w:t>
      </w:r>
    </w:p>
    <w:p w14:paraId="3994A26C">
      <w:pPr>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（二）奖励分</w:t>
      </w:r>
    </w:p>
    <w:p w14:paraId="189DCFA7">
      <w:pPr>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1.文体活动加分项主要依据校机关和体育系组织的校区级及以上活动加分，各类兴趣类社团活动不加分。</w:t>
      </w:r>
    </w:p>
    <w:p w14:paraId="1B1CAE73">
      <w:pPr>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2.加分项目分成文艺、体育两类，其中文艺包括所有歌舞、演讲辩论、书法绘画、摄影、视频制作等文化艺术相关的比赛，体育包括所有球类、体操、田径等相关的体育活动类比赛。每类最多加两项，每类取一个最高奖励分后，另一项奖励分乘0.2系数后累加。</w:t>
      </w:r>
    </w:p>
    <w:p w14:paraId="36B0A65A">
      <w:pPr>
        <w:numPr>
          <w:ilvl w:val="0"/>
          <w:numId w:val="0"/>
        </w:numPr>
        <w:spacing w:line="560" w:lineRule="exact"/>
        <w:ind w:firstLine="640" w:firstLineChars="200"/>
        <w:jc w:val="both"/>
        <w:rPr>
          <w:rFonts w:hint="default" w:ascii="仿宋_GB2312" w:hAnsi="微软雅黑" w:eastAsia="仿宋_GB2312"/>
          <w:b w:val="0"/>
          <w:bCs w:val="0"/>
          <w:color w:val="auto"/>
          <w:sz w:val="32"/>
          <w:szCs w:val="32"/>
          <w:lang w:val="en-US" w:eastAsia="zh-CN"/>
        </w:rPr>
      </w:pPr>
      <w:r>
        <w:rPr>
          <w:rFonts w:hint="eastAsia" w:ascii="仿宋_GB2312" w:hAnsi="微软雅黑" w:eastAsia="仿宋_GB2312"/>
          <w:b w:val="0"/>
          <w:bCs w:val="0"/>
          <w:color w:val="auto"/>
          <w:sz w:val="32"/>
          <w:szCs w:val="32"/>
          <w:lang w:val="en-US" w:eastAsia="zh-CN"/>
        </w:rPr>
        <w:t>3.</w:t>
      </w:r>
      <w:r>
        <w:rPr>
          <w:rFonts w:hint="default" w:ascii="仿宋_GB2312" w:hAnsi="微软雅黑" w:eastAsia="仿宋_GB2312"/>
          <w:b w:val="0"/>
          <w:bCs w:val="0"/>
          <w:color w:val="auto"/>
          <w:sz w:val="32"/>
          <w:szCs w:val="32"/>
          <w:lang w:val="en-US" w:eastAsia="zh-CN"/>
        </w:rPr>
        <w:t>除学校组织的运动会，其余体育比赛均需体育系或者校区团委等相关负责部门认定后才可按照综合测评办法加分。</w:t>
      </w:r>
    </w:p>
    <w:p w14:paraId="31E6971C">
      <w:pPr>
        <w:numPr>
          <w:ilvl w:val="0"/>
          <w:numId w:val="0"/>
        </w:numPr>
        <w:spacing w:line="560" w:lineRule="exact"/>
        <w:ind w:firstLine="640" w:firstLineChars="200"/>
        <w:jc w:val="both"/>
        <w:rPr>
          <w:rFonts w:hint="default" w:ascii="仿宋_GB2312" w:hAnsi="微软雅黑" w:eastAsia="仿宋_GB2312"/>
          <w:b w:val="0"/>
          <w:bCs w:val="0"/>
          <w:color w:val="auto"/>
          <w:sz w:val="32"/>
          <w:szCs w:val="32"/>
          <w:lang w:val="en-US" w:eastAsia="zh-CN"/>
        </w:rPr>
      </w:pPr>
      <w:r>
        <w:rPr>
          <w:rFonts w:hint="eastAsia" w:ascii="仿宋_GB2312" w:hAnsi="微软雅黑" w:eastAsia="仿宋_GB2312"/>
          <w:b w:val="0"/>
          <w:bCs w:val="0"/>
          <w:color w:val="auto"/>
          <w:sz w:val="32"/>
          <w:szCs w:val="32"/>
          <w:lang w:val="en-US" w:eastAsia="zh-CN"/>
        </w:rPr>
        <w:t>4.</w:t>
      </w:r>
      <w:r>
        <w:rPr>
          <w:rFonts w:hint="default" w:ascii="仿宋_GB2312" w:hAnsi="微软雅黑" w:eastAsia="仿宋_GB2312"/>
          <w:b w:val="0"/>
          <w:bCs w:val="0"/>
          <w:color w:val="auto"/>
          <w:sz w:val="32"/>
          <w:szCs w:val="32"/>
          <w:lang w:val="en-US" w:eastAsia="zh-CN"/>
        </w:rPr>
        <w:t>体育加分项最多可以累加两项，其中最多只能有一项球类项目。</w:t>
      </w:r>
    </w:p>
    <w:p w14:paraId="2C9E9EDE">
      <w:pPr>
        <w:numPr>
          <w:ilvl w:val="0"/>
          <w:numId w:val="0"/>
        </w:numPr>
        <w:spacing w:line="560" w:lineRule="exact"/>
        <w:ind w:firstLine="640" w:firstLineChars="200"/>
        <w:jc w:val="both"/>
        <w:rPr>
          <w:rFonts w:hint="default" w:ascii="仿宋_GB2312" w:hAnsi="微软雅黑" w:eastAsia="仿宋_GB2312"/>
          <w:b w:val="0"/>
          <w:bCs w:val="0"/>
          <w:color w:val="auto"/>
          <w:sz w:val="32"/>
          <w:szCs w:val="32"/>
          <w:lang w:val="en-US" w:eastAsia="zh-CN"/>
        </w:rPr>
      </w:pPr>
      <w:r>
        <w:rPr>
          <w:rFonts w:hint="eastAsia" w:ascii="仿宋_GB2312" w:hAnsi="微软雅黑" w:eastAsia="仿宋_GB2312"/>
          <w:b w:val="0"/>
          <w:bCs w:val="0"/>
          <w:color w:val="auto"/>
          <w:sz w:val="32"/>
          <w:szCs w:val="32"/>
          <w:lang w:val="en-US" w:eastAsia="zh-CN"/>
        </w:rPr>
        <w:t>5.</w:t>
      </w:r>
      <w:r>
        <w:rPr>
          <w:rFonts w:hint="default" w:ascii="仿宋_GB2312" w:hAnsi="微软雅黑" w:eastAsia="仿宋_GB2312"/>
          <w:b w:val="0"/>
          <w:bCs w:val="0"/>
          <w:color w:val="auto"/>
          <w:sz w:val="32"/>
          <w:szCs w:val="32"/>
          <w:lang w:val="en-US" w:eastAsia="zh-CN"/>
        </w:rPr>
        <w:t>参加校级及以上大学生运动会但未获奖的加1分，获得名次者按</w:t>
      </w:r>
      <w:r>
        <w:rPr>
          <w:rFonts w:hint="eastAsia" w:ascii="仿宋_GB2312" w:hAnsi="微软雅黑" w:eastAsia="仿宋_GB2312"/>
          <w:b w:val="0"/>
          <w:bCs w:val="0"/>
          <w:color w:val="auto"/>
          <w:sz w:val="32"/>
          <w:szCs w:val="32"/>
          <w:lang w:val="en-US" w:eastAsia="zh-CN"/>
        </w:rPr>
        <w:t>下表</w:t>
      </w:r>
      <w:r>
        <w:rPr>
          <w:rFonts w:hint="default" w:ascii="仿宋_GB2312" w:hAnsi="微软雅黑" w:eastAsia="仿宋_GB2312"/>
          <w:b w:val="0"/>
          <w:bCs w:val="0"/>
          <w:color w:val="auto"/>
          <w:sz w:val="32"/>
          <w:szCs w:val="32"/>
          <w:lang w:val="en-US" w:eastAsia="zh-CN"/>
        </w:rPr>
        <w:t>加分</w:t>
      </w:r>
      <w:r>
        <w:rPr>
          <w:rFonts w:hint="eastAsia" w:ascii="仿宋_GB2312" w:hAnsi="微软雅黑" w:eastAsia="仿宋_GB2312"/>
          <w:b w:val="0"/>
          <w:bCs w:val="0"/>
          <w:color w:val="auto"/>
          <w:sz w:val="32"/>
          <w:szCs w:val="32"/>
          <w:lang w:val="en-US" w:eastAsia="zh-CN"/>
        </w:rPr>
        <w:t>（</w:t>
      </w:r>
      <w:r>
        <w:rPr>
          <w:rFonts w:hint="default" w:ascii="仿宋_GB2312" w:hAnsi="微软雅黑" w:eastAsia="仿宋_GB2312"/>
          <w:b/>
          <w:bCs/>
          <w:color w:val="FF0000"/>
          <w:sz w:val="32"/>
          <w:szCs w:val="32"/>
          <w:lang w:val="en-US" w:eastAsia="zh-CN"/>
        </w:rPr>
        <w:t>集体项目队员按照奖励分的2/3加分</w:t>
      </w:r>
      <w:r>
        <w:rPr>
          <w:rFonts w:hint="eastAsia" w:ascii="仿宋_GB2312" w:hAnsi="微软雅黑" w:eastAsia="仿宋_GB2312"/>
          <w:b w:val="0"/>
          <w:bCs w:val="0"/>
          <w:color w:val="auto"/>
          <w:sz w:val="32"/>
          <w:szCs w:val="32"/>
          <w:lang w:val="en-US" w:eastAsia="zh-CN"/>
        </w:rPr>
        <w:t>）</w:t>
      </w:r>
      <w:r>
        <w:rPr>
          <w:rFonts w:hint="default" w:ascii="仿宋_GB2312" w:hAnsi="微软雅黑" w:eastAsia="仿宋_GB2312"/>
          <w:b w:val="0"/>
          <w:bCs w:val="0"/>
          <w:color w:val="auto"/>
          <w:sz w:val="32"/>
          <w:szCs w:val="32"/>
          <w:lang w:val="en-US"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1812"/>
        <w:gridCol w:w="1812"/>
        <w:gridCol w:w="1812"/>
        <w:gridCol w:w="1813"/>
      </w:tblGrid>
      <w:tr w14:paraId="79AF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1812" w:type="dxa"/>
            <w:tcBorders>
              <w:tl2br w:val="single" w:color="auto" w:sz="4" w:space="0"/>
            </w:tcBorders>
            <w:vAlign w:val="center"/>
          </w:tcPr>
          <w:p w14:paraId="46E6CBAF">
            <w:pPr>
              <w:numPr>
                <w:ilvl w:val="0"/>
                <w:numId w:val="0"/>
              </w:num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 xml:space="preserve">    名次</w:t>
            </w:r>
          </w:p>
          <w:p w14:paraId="38C3167F">
            <w:pPr>
              <w:numPr>
                <w:ilvl w:val="0"/>
                <w:numId w:val="0"/>
              </w:numPr>
              <w:spacing w:line="560" w:lineRule="exact"/>
              <w:ind w:firstLine="300" w:firstLineChars="100"/>
              <w:jc w:val="left"/>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级别</w:t>
            </w:r>
          </w:p>
        </w:tc>
        <w:tc>
          <w:tcPr>
            <w:tcW w:w="1812" w:type="dxa"/>
            <w:vAlign w:val="center"/>
          </w:tcPr>
          <w:p w14:paraId="426E59DD">
            <w:pPr>
              <w:numPr>
                <w:ilvl w:val="0"/>
                <w:numId w:val="0"/>
              </w:num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一、二名</w:t>
            </w:r>
          </w:p>
        </w:tc>
        <w:tc>
          <w:tcPr>
            <w:tcW w:w="1812" w:type="dxa"/>
            <w:vAlign w:val="center"/>
          </w:tcPr>
          <w:p w14:paraId="63B665ED">
            <w:pPr>
              <w:numPr>
                <w:ilvl w:val="0"/>
                <w:numId w:val="0"/>
              </w:num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三、四名</w:t>
            </w:r>
          </w:p>
        </w:tc>
        <w:tc>
          <w:tcPr>
            <w:tcW w:w="1812" w:type="dxa"/>
            <w:vAlign w:val="center"/>
          </w:tcPr>
          <w:p w14:paraId="364B5FB0">
            <w:pPr>
              <w:numPr>
                <w:ilvl w:val="0"/>
                <w:numId w:val="0"/>
              </w:num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五、六名</w:t>
            </w:r>
          </w:p>
        </w:tc>
        <w:tc>
          <w:tcPr>
            <w:tcW w:w="1813" w:type="dxa"/>
            <w:vAlign w:val="center"/>
          </w:tcPr>
          <w:p w14:paraId="6FF1B3D3">
            <w:pPr>
              <w:numPr>
                <w:ilvl w:val="0"/>
                <w:numId w:val="0"/>
              </w:num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七、八名</w:t>
            </w:r>
          </w:p>
        </w:tc>
      </w:tr>
      <w:tr w14:paraId="291E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center"/>
          </w:tcPr>
          <w:p w14:paraId="2D5C15F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ascii="仿宋" w:hAnsi="仿宋" w:eastAsia="仿宋" w:cs="仿宋"/>
                <w:i w:val="0"/>
                <w:iCs w:val="0"/>
                <w:caps w:val="0"/>
                <w:color w:val="333333"/>
                <w:spacing w:val="0"/>
                <w:sz w:val="30"/>
                <w:szCs w:val="30"/>
              </w:rPr>
              <w:t>国家级</w:t>
            </w:r>
          </w:p>
        </w:tc>
        <w:tc>
          <w:tcPr>
            <w:tcW w:w="1812" w:type="dxa"/>
            <w:vAlign w:val="center"/>
          </w:tcPr>
          <w:p w14:paraId="72926F0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hint="eastAsia" w:ascii="仿宋" w:hAnsi="仿宋" w:eastAsia="仿宋" w:cs="仿宋"/>
                <w:i w:val="0"/>
                <w:iCs w:val="0"/>
                <w:caps w:val="0"/>
                <w:color w:val="333333"/>
                <w:spacing w:val="0"/>
                <w:sz w:val="30"/>
                <w:szCs w:val="30"/>
              </w:rPr>
              <w:t>30</w:t>
            </w:r>
          </w:p>
        </w:tc>
        <w:tc>
          <w:tcPr>
            <w:tcW w:w="1812" w:type="dxa"/>
            <w:vAlign w:val="center"/>
          </w:tcPr>
          <w:p w14:paraId="7E9BDC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hint="eastAsia" w:ascii="仿宋" w:hAnsi="仿宋" w:eastAsia="仿宋" w:cs="仿宋"/>
                <w:i w:val="0"/>
                <w:iCs w:val="0"/>
                <w:caps w:val="0"/>
                <w:color w:val="333333"/>
                <w:spacing w:val="0"/>
                <w:sz w:val="30"/>
                <w:szCs w:val="30"/>
              </w:rPr>
              <w:t>20</w:t>
            </w:r>
          </w:p>
        </w:tc>
        <w:tc>
          <w:tcPr>
            <w:tcW w:w="1812" w:type="dxa"/>
            <w:vAlign w:val="center"/>
          </w:tcPr>
          <w:p w14:paraId="62D0878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hint="eastAsia" w:ascii="仿宋" w:hAnsi="仿宋" w:eastAsia="仿宋" w:cs="仿宋"/>
                <w:i w:val="0"/>
                <w:iCs w:val="0"/>
                <w:caps w:val="0"/>
                <w:color w:val="333333"/>
                <w:spacing w:val="0"/>
                <w:sz w:val="30"/>
                <w:szCs w:val="30"/>
              </w:rPr>
              <w:t>15</w:t>
            </w:r>
          </w:p>
        </w:tc>
        <w:tc>
          <w:tcPr>
            <w:tcW w:w="1813" w:type="dxa"/>
            <w:vAlign w:val="center"/>
          </w:tcPr>
          <w:p w14:paraId="0163D19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hint="eastAsia" w:ascii="仿宋" w:hAnsi="仿宋" w:eastAsia="仿宋" w:cs="仿宋"/>
                <w:i w:val="0"/>
                <w:iCs w:val="0"/>
                <w:caps w:val="0"/>
                <w:color w:val="333333"/>
                <w:spacing w:val="0"/>
                <w:sz w:val="30"/>
                <w:szCs w:val="30"/>
              </w:rPr>
              <w:t>10</w:t>
            </w:r>
          </w:p>
        </w:tc>
      </w:tr>
      <w:tr w14:paraId="17169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center"/>
          </w:tcPr>
          <w:p w14:paraId="0AA420B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hint="eastAsia" w:ascii="仿宋" w:hAnsi="仿宋" w:eastAsia="仿宋" w:cs="仿宋"/>
                <w:i w:val="0"/>
                <w:iCs w:val="0"/>
                <w:caps w:val="0"/>
                <w:color w:val="333333"/>
                <w:spacing w:val="0"/>
                <w:sz w:val="30"/>
                <w:szCs w:val="30"/>
              </w:rPr>
              <w:t>省部级</w:t>
            </w:r>
          </w:p>
        </w:tc>
        <w:tc>
          <w:tcPr>
            <w:tcW w:w="1812" w:type="dxa"/>
            <w:vAlign w:val="center"/>
          </w:tcPr>
          <w:p w14:paraId="26E8A93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hint="eastAsia" w:ascii="仿宋" w:hAnsi="仿宋" w:eastAsia="仿宋" w:cs="仿宋"/>
                <w:i w:val="0"/>
                <w:iCs w:val="0"/>
                <w:caps w:val="0"/>
                <w:color w:val="333333"/>
                <w:spacing w:val="0"/>
                <w:sz w:val="30"/>
                <w:szCs w:val="30"/>
              </w:rPr>
              <w:t>20</w:t>
            </w:r>
          </w:p>
        </w:tc>
        <w:tc>
          <w:tcPr>
            <w:tcW w:w="1812" w:type="dxa"/>
            <w:vAlign w:val="center"/>
          </w:tcPr>
          <w:p w14:paraId="0CD7E0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hint="eastAsia" w:ascii="仿宋" w:hAnsi="仿宋" w:eastAsia="仿宋" w:cs="仿宋"/>
                <w:i w:val="0"/>
                <w:iCs w:val="0"/>
                <w:caps w:val="0"/>
                <w:color w:val="333333"/>
                <w:spacing w:val="0"/>
                <w:sz w:val="30"/>
                <w:szCs w:val="30"/>
              </w:rPr>
              <w:t>15</w:t>
            </w:r>
          </w:p>
        </w:tc>
        <w:tc>
          <w:tcPr>
            <w:tcW w:w="1812" w:type="dxa"/>
            <w:vAlign w:val="center"/>
          </w:tcPr>
          <w:p w14:paraId="16EF6B9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hint="eastAsia" w:ascii="仿宋" w:hAnsi="仿宋" w:eastAsia="仿宋" w:cs="仿宋"/>
                <w:i w:val="0"/>
                <w:iCs w:val="0"/>
                <w:caps w:val="0"/>
                <w:color w:val="333333"/>
                <w:spacing w:val="0"/>
                <w:sz w:val="30"/>
                <w:szCs w:val="30"/>
              </w:rPr>
              <w:t>10</w:t>
            </w:r>
          </w:p>
        </w:tc>
        <w:tc>
          <w:tcPr>
            <w:tcW w:w="1813" w:type="dxa"/>
            <w:vAlign w:val="center"/>
          </w:tcPr>
          <w:p w14:paraId="330FB54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hint="eastAsia" w:ascii="仿宋" w:hAnsi="仿宋" w:eastAsia="仿宋" w:cs="仿宋"/>
                <w:i w:val="0"/>
                <w:iCs w:val="0"/>
                <w:caps w:val="0"/>
                <w:color w:val="333333"/>
                <w:spacing w:val="0"/>
                <w:sz w:val="30"/>
                <w:szCs w:val="30"/>
              </w:rPr>
              <w:t>5</w:t>
            </w:r>
          </w:p>
        </w:tc>
      </w:tr>
      <w:tr w14:paraId="751F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center"/>
          </w:tcPr>
          <w:p w14:paraId="06D3B3B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hint="eastAsia" w:ascii="仿宋" w:hAnsi="仿宋" w:eastAsia="仿宋" w:cs="仿宋"/>
                <w:i w:val="0"/>
                <w:iCs w:val="0"/>
                <w:caps w:val="0"/>
                <w:color w:val="333333"/>
                <w:spacing w:val="0"/>
                <w:sz w:val="30"/>
                <w:szCs w:val="30"/>
              </w:rPr>
              <w:t>校级</w:t>
            </w:r>
          </w:p>
        </w:tc>
        <w:tc>
          <w:tcPr>
            <w:tcW w:w="1812" w:type="dxa"/>
            <w:vAlign w:val="center"/>
          </w:tcPr>
          <w:p w14:paraId="46C3F1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hint="eastAsia" w:ascii="仿宋" w:hAnsi="仿宋" w:eastAsia="仿宋" w:cs="仿宋"/>
                <w:i w:val="0"/>
                <w:iCs w:val="0"/>
                <w:caps w:val="0"/>
                <w:color w:val="333333"/>
                <w:spacing w:val="0"/>
                <w:sz w:val="30"/>
                <w:szCs w:val="30"/>
              </w:rPr>
              <w:t>8</w:t>
            </w:r>
          </w:p>
        </w:tc>
        <w:tc>
          <w:tcPr>
            <w:tcW w:w="1812" w:type="dxa"/>
            <w:vAlign w:val="center"/>
          </w:tcPr>
          <w:p w14:paraId="392FEFC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hint="eastAsia" w:ascii="仿宋" w:hAnsi="仿宋" w:eastAsia="仿宋" w:cs="仿宋"/>
                <w:i w:val="0"/>
                <w:iCs w:val="0"/>
                <w:caps w:val="0"/>
                <w:color w:val="333333"/>
                <w:spacing w:val="0"/>
                <w:sz w:val="30"/>
                <w:szCs w:val="30"/>
              </w:rPr>
              <w:t>6</w:t>
            </w:r>
          </w:p>
        </w:tc>
        <w:tc>
          <w:tcPr>
            <w:tcW w:w="1812" w:type="dxa"/>
            <w:vAlign w:val="center"/>
          </w:tcPr>
          <w:p w14:paraId="1BE158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hint="eastAsia" w:ascii="仿宋" w:hAnsi="仿宋" w:eastAsia="仿宋" w:cs="仿宋"/>
                <w:i w:val="0"/>
                <w:iCs w:val="0"/>
                <w:caps w:val="0"/>
                <w:color w:val="333333"/>
                <w:spacing w:val="0"/>
                <w:sz w:val="30"/>
                <w:szCs w:val="30"/>
              </w:rPr>
              <w:t>4</w:t>
            </w:r>
          </w:p>
        </w:tc>
        <w:tc>
          <w:tcPr>
            <w:tcW w:w="1813" w:type="dxa"/>
            <w:vAlign w:val="center"/>
          </w:tcPr>
          <w:p w14:paraId="4DCF6B8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hint="eastAsia" w:ascii="仿宋" w:hAnsi="仿宋" w:eastAsia="仿宋" w:cs="仿宋"/>
                <w:i w:val="0"/>
                <w:iCs w:val="0"/>
                <w:caps w:val="0"/>
                <w:color w:val="333333"/>
                <w:spacing w:val="0"/>
                <w:sz w:val="30"/>
                <w:szCs w:val="30"/>
              </w:rPr>
              <w:t>2</w:t>
            </w:r>
          </w:p>
        </w:tc>
      </w:tr>
    </w:tbl>
    <w:p w14:paraId="6825F163">
      <w:pPr>
        <w:numPr>
          <w:ilvl w:val="0"/>
          <w:numId w:val="0"/>
        </w:numPr>
        <w:spacing w:line="560" w:lineRule="exact"/>
        <w:jc w:val="both"/>
        <w:rPr>
          <w:rFonts w:hint="eastAsia" w:ascii="黑体" w:hAnsi="黑体" w:eastAsia="黑体" w:cs="黑体"/>
          <w:color w:val="000000"/>
          <w:sz w:val="32"/>
          <w:szCs w:val="32"/>
          <w:lang w:val="en-US" w:eastAsia="zh-CN"/>
        </w:rPr>
      </w:pPr>
    </w:p>
    <w:p w14:paraId="349104D4">
      <w:pPr>
        <w:numPr>
          <w:ilvl w:val="0"/>
          <w:numId w:val="0"/>
        </w:numPr>
        <w:spacing w:line="560" w:lineRule="exact"/>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六、测评程序</w:t>
      </w:r>
    </w:p>
    <w:p w14:paraId="7B36F7E8">
      <w:pPr>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w:t>
      </w:r>
      <w:r>
        <w:rPr>
          <w:rFonts w:hint="default" w:ascii="仿宋_GB2312" w:hAnsi="微软雅黑" w:eastAsia="仿宋_GB2312"/>
          <w:color w:val="000000"/>
          <w:sz w:val="32"/>
          <w:szCs w:val="32"/>
          <w:lang w:val="en-US" w:eastAsia="zh-CN"/>
        </w:rPr>
        <w:t>一</w:t>
      </w:r>
      <w:r>
        <w:rPr>
          <w:rFonts w:hint="eastAsia" w:ascii="仿宋_GB2312" w:hAnsi="微软雅黑" w:eastAsia="仿宋_GB2312"/>
          <w:color w:val="000000"/>
          <w:sz w:val="32"/>
          <w:szCs w:val="32"/>
          <w:lang w:val="en-US" w:eastAsia="zh-CN"/>
        </w:rPr>
        <w:t>）</w:t>
      </w:r>
      <w:r>
        <w:rPr>
          <w:rFonts w:hint="default" w:ascii="仿宋_GB2312" w:hAnsi="微软雅黑" w:eastAsia="仿宋_GB2312"/>
          <w:color w:val="000000"/>
          <w:sz w:val="32"/>
          <w:szCs w:val="32"/>
          <w:lang w:val="en-US" w:eastAsia="zh-CN"/>
        </w:rPr>
        <w:t>以班级为单位成立研究生综合测评工作小组，研究生综合测评工作小组由研究生辅导员、班</w:t>
      </w:r>
      <w:r>
        <w:rPr>
          <w:rFonts w:hint="eastAsia" w:ascii="仿宋_GB2312" w:hAnsi="微软雅黑" w:eastAsia="仿宋_GB2312"/>
          <w:color w:val="000000"/>
          <w:sz w:val="32"/>
          <w:szCs w:val="32"/>
          <w:lang w:val="en-US" w:eastAsia="zh-CN"/>
        </w:rPr>
        <w:t>长、学习委员</w:t>
      </w:r>
      <w:r>
        <w:rPr>
          <w:rFonts w:hint="default" w:ascii="仿宋_GB2312" w:hAnsi="微软雅黑" w:eastAsia="仿宋_GB2312"/>
          <w:color w:val="000000"/>
          <w:sz w:val="32"/>
          <w:szCs w:val="32"/>
          <w:lang w:val="en-US" w:eastAsia="zh-CN"/>
        </w:rPr>
        <w:t>以及学生代表组成，组长由研究生辅导员担任。</w:t>
      </w:r>
    </w:p>
    <w:p w14:paraId="6073AAC7">
      <w:pPr>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w:t>
      </w:r>
      <w:r>
        <w:rPr>
          <w:rFonts w:hint="default" w:ascii="仿宋_GB2312" w:hAnsi="微软雅黑" w:eastAsia="仿宋_GB2312"/>
          <w:color w:val="000000"/>
          <w:sz w:val="32"/>
          <w:szCs w:val="32"/>
          <w:lang w:val="en-US" w:eastAsia="zh-CN"/>
        </w:rPr>
        <w:t>二</w:t>
      </w:r>
      <w:r>
        <w:rPr>
          <w:rFonts w:hint="eastAsia" w:ascii="仿宋_GB2312" w:hAnsi="微软雅黑" w:eastAsia="仿宋_GB2312"/>
          <w:color w:val="000000"/>
          <w:sz w:val="32"/>
          <w:szCs w:val="32"/>
          <w:lang w:val="en-US" w:eastAsia="zh-CN"/>
        </w:rPr>
        <w:t>）</w:t>
      </w:r>
      <w:r>
        <w:rPr>
          <w:rFonts w:hint="default" w:ascii="仿宋_GB2312" w:hAnsi="微软雅黑" w:eastAsia="仿宋_GB2312"/>
          <w:color w:val="000000"/>
          <w:sz w:val="32"/>
          <w:szCs w:val="32"/>
          <w:lang w:val="en-US" w:eastAsia="zh-CN"/>
        </w:rPr>
        <w:t>以班级为单位组织学生学习考核文件，进行个人总结、自我评价以及同学互评等。</w:t>
      </w:r>
    </w:p>
    <w:p w14:paraId="0196D088">
      <w:pPr>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w:t>
      </w:r>
      <w:r>
        <w:rPr>
          <w:rFonts w:hint="default" w:ascii="仿宋_GB2312" w:hAnsi="微软雅黑" w:eastAsia="仿宋_GB2312"/>
          <w:color w:val="000000"/>
          <w:sz w:val="32"/>
          <w:szCs w:val="32"/>
          <w:lang w:val="en-US" w:eastAsia="zh-CN"/>
        </w:rPr>
        <w:t>三</w:t>
      </w:r>
      <w:r>
        <w:rPr>
          <w:rFonts w:hint="eastAsia" w:ascii="仿宋_GB2312" w:hAnsi="微软雅黑" w:eastAsia="仿宋_GB2312"/>
          <w:color w:val="000000"/>
          <w:sz w:val="32"/>
          <w:szCs w:val="32"/>
          <w:lang w:val="en-US" w:eastAsia="zh-CN"/>
        </w:rPr>
        <w:t>）</w:t>
      </w:r>
      <w:r>
        <w:rPr>
          <w:rFonts w:hint="default" w:ascii="仿宋_GB2312" w:hAnsi="微软雅黑" w:eastAsia="仿宋_GB2312"/>
          <w:color w:val="000000"/>
          <w:sz w:val="32"/>
          <w:szCs w:val="32"/>
          <w:lang w:val="en-US" w:eastAsia="zh-CN"/>
        </w:rPr>
        <w:t>每年综合测评时由学生本人提供年度申请加分的各级各类奖项项目证明。</w:t>
      </w:r>
    </w:p>
    <w:p w14:paraId="45528FD9">
      <w:pPr>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（四）</w:t>
      </w:r>
      <w:r>
        <w:rPr>
          <w:rFonts w:hint="default" w:ascii="仿宋_GB2312" w:hAnsi="微软雅黑" w:eastAsia="仿宋_GB2312"/>
          <w:color w:val="000000"/>
          <w:sz w:val="32"/>
          <w:szCs w:val="32"/>
          <w:lang w:val="en-US" w:eastAsia="zh-CN"/>
        </w:rPr>
        <w:t>所有附加分的材料均需</w:t>
      </w:r>
      <w:r>
        <w:rPr>
          <w:rFonts w:hint="eastAsia" w:ascii="仿宋_GB2312" w:hAnsi="微软雅黑" w:eastAsia="仿宋_GB2312"/>
          <w:color w:val="000000"/>
          <w:sz w:val="32"/>
          <w:szCs w:val="32"/>
          <w:lang w:val="en-US" w:eastAsia="zh-CN"/>
        </w:rPr>
        <w:t>辅导员或</w:t>
      </w:r>
      <w:r>
        <w:rPr>
          <w:rFonts w:hint="default" w:ascii="仿宋_GB2312" w:hAnsi="微软雅黑" w:eastAsia="仿宋_GB2312"/>
          <w:color w:val="000000"/>
          <w:sz w:val="32"/>
          <w:szCs w:val="32"/>
          <w:lang w:val="en-US" w:eastAsia="zh-CN"/>
        </w:rPr>
        <w:t>导师审核并签名后附在上交的综合测评材料中</w:t>
      </w:r>
      <w:r>
        <w:rPr>
          <w:rFonts w:hint="eastAsia" w:ascii="仿宋_GB2312" w:hAnsi="微软雅黑" w:eastAsia="仿宋_GB2312"/>
          <w:color w:val="000000"/>
          <w:sz w:val="32"/>
          <w:szCs w:val="32"/>
          <w:lang w:val="en-US" w:eastAsia="zh-CN"/>
        </w:rPr>
        <w:t>。</w:t>
      </w:r>
    </w:p>
    <w:p w14:paraId="163F879D">
      <w:pPr>
        <w:numPr>
          <w:ilvl w:val="0"/>
          <w:numId w:val="0"/>
        </w:numPr>
        <w:spacing w:line="560" w:lineRule="exact"/>
        <w:ind w:firstLine="640" w:firstLineChars="200"/>
        <w:jc w:val="both"/>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（五）本办法自发布之日起实施，未尽事宜由石油学院学生工作办公室负责解释。</w:t>
      </w:r>
    </w:p>
    <w:p w14:paraId="1648F651">
      <w:pPr>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br w:type="page"/>
      </w:r>
    </w:p>
    <w:p w14:paraId="20B0479D">
      <w:pPr>
        <w:numPr>
          <w:ilvl w:val="0"/>
          <w:numId w:val="0"/>
        </w:numPr>
        <w:spacing w:line="560" w:lineRule="exact"/>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附录：论文及成果加分表</w:t>
      </w:r>
    </w:p>
    <w:p w14:paraId="615726E2">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1.取得下列成绩，按如下规定分别加分：</w:t>
      </w:r>
    </w:p>
    <w:p w14:paraId="3780E553">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发表与本人所学专业有关的学术论文和获得专利授权，加分细则如下：SCI文章分区认定依据为校区图书馆检索报告，此检索报告由学生本人去校区图书馆开具并加盖校区图书馆公章。申请并获得公开号但并未授权的专利按照规定分值的1/2加分。</w:t>
      </w:r>
    </w:p>
    <w:p w14:paraId="08CD1987">
      <w:pPr>
        <w:bidi w:val="0"/>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学生为第一作者的情况按照下表进行加分：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0"/>
        <w:gridCol w:w="1172"/>
        <w:gridCol w:w="966"/>
        <w:gridCol w:w="942"/>
        <w:gridCol w:w="942"/>
        <w:gridCol w:w="942"/>
        <w:gridCol w:w="942"/>
        <w:gridCol w:w="945"/>
      </w:tblGrid>
      <w:tr w14:paraId="6564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vAlign w:val="center"/>
          </w:tcPr>
          <w:p w14:paraId="4A372468">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成果类别</w:t>
            </w:r>
          </w:p>
        </w:tc>
        <w:tc>
          <w:tcPr>
            <w:tcW w:w="1176" w:type="dxa"/>
            <w:vAlign w:val="center"/>
          </w:tcPr>
          <w:p w14:paraId="637E83A3">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总加分</w:t>
            </w:r>
          </w:p>
        </w:tc>
        <w:tc>
          <w:tcPr>
            <w:tcW w:w="943" w:type="dxa"/>
            <w:vAlign w:val="center"/>
          </w:tcPr>
          <w:p w14:paraId="6DCA2C51">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第一作者</w:t>
            </w:r>
          </w:p>
        </w:tc>
        <w:tc>
          <w:tcPr>
            <w:tcW w:w="943" w:type="dxa"/>
            <w:vAlign w:val="center"/>
          </w:tcPr>
          <w:p w14:paraId="5933B39F">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第二作者</w:t>
            </w:r>
          </w:p>
        </w:tc>
        <w:tc>
          <w:tcPr>
            <w:tcW w:w="943" w:type="dxa"/>
            <w:vAlign w:val="center"/>
          </w:tcPr>
          <w:p w14:paraId="12157EFD">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第三作者</w:t>
            </w:r>
          </w:p>
        </w:tc>
        <w:tc>
          <w:tcPr>
            <w:tcW w:w="943" w:type="dxa"/>
            <w:vAlign w:val="center"/>
          </w:tcPr>
          <w:p w14:paraId="3AF3F9A4">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第四作者</w:t>
            </w:r>
          </w:p>
        </w:tc>
        <w:tc>
          <w:tcPr>
            <w:tcW w:w="943" w:type="dxa"/>
            <w:vAlign w:val="center"/>
          </w:tcPr>
          <w:p w14:paraId="15EB8DE5">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第五作者</w:t>
            </w:r>
          </w:p>
        </w:tc>
        <w:tc>
          <w:tcPr>
            <w:tcW w:w="946" w:type="dxa"/>
            <w:vAlign w:val="center"/>
          </w:tcPr>
          <w:p w14:paraId="36515DBA">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第六作者</w:t>
            </w:r>
          </w:p>
        </w:tc>
      </w:tr>
      <w:tr w14:paraId="1770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9" w:type="dxa"/>
          </w:tcPr>
          <w:p w14:paraId="1173A717">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中科院JCR 1区</w:t>
            </w:r>
          </w:p>
        </w:tc>
        <w:tc>
          <w:tcPr>
            <w:tcW w:w="1176" w:type="dxa"/>
            <w:vAlign w:val="center"/>
          </w:tcPr>
          <w:p w14:paraId="4D36121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b/>
                <w:bCs/>
                <w:color w:val="000000"/>
                <w:sz w:val="30"/>
                <w:szCs w:val="30"/>
                <w:vertAlign w:val="baseline"/>
                <w:lang w:val="en-US" w:eastAsia="zh-CN"/>
              </w:rPr>
            </w:pPr>
            <w:r>
              <w:rPr>
                <w:rFonts w:ascii="仿宋_GB2312" w:hAnsi="微软雅黑" w:eastAsia="仿宋_GB2312" w:cs="仿宋_GB2312"/>
                <w:b/>
                <w:bCs/>
                <w:i w:val="0"/>
                <w:iCs w:val="0"/>
                <w:caps w:val="0"/>
                <w:color w:val="333333"/>
                <w:spacing w:val="0"/>
                <w:sz w:val="30"/>
                <w:szCs w:val="30"/>
              </w:rPr>
              <w:t>50</w:t>
            </w:r>
          </w:p>
        </w:tc>
        <w:tc>
          <w:tcPr>
            <w:tcW w:w="943" w:type="dxa"/>
            <w:vAlign w:val="center"/>
          </w:tcPr>
          <w:p w14:paraId="2F3BD4A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25</w:t>
            </w:r>
          </w:p>
        </w:tc>
        <w:tc>
          <w:tcPr>
            <w:tcW w:w="943" w:type="dxa"/>
            <w:vAlign w:val="center"/>
          </w:tcPr>
          <w:p w14:paraId="6463B4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12.5</w:t>
            </w:r>
          </w:p>
        </w:tc>
        <w:tc>
          <w:tcPr>
            <w:tcW w:w="943" w:type="dxa"/>
            <w:vAlign w:val="center"/>
          </w:tcPr>
          <w:p w14:paraId="1A4EECC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5</w:t>
            </w:r>
          </w:p>
        </w:tc>
        <w:tc>
          <w:tcPr>
            <w:tcW w:w="943" w:type="dxa"/>
            <w:vAlign w:val="center"/>
          </w:tcPr>
          <w:p w14:paraId="3E27CB3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3.75</w:t>
            </w:r>
          </w:p>
        </w:tc>
        <w:tc>
          <w:tcPr>
            <w:tcW w:w="943" w:type="dxa"/>
            <w:vAlign w:val="center"/>
          </w:tcPr>
          <w:p w14:paraId="0E96EEE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2.5</w:t>
            </w:r>
          </w:p>
        </w:tc>
        <w:tc>
          <w:tcPr>
            <w:tcW w:w="946" w:type="dxa"/>
            <w:vAlign w:val="center"/>
          </w:tcPr>
          <w:p w14:paraId="5EFD757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1.25</w:t>
            </w:r>
          </w:p>
        </w:tc>
      </w:tr>
      <w:tr w14:paraId="1BBB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9" w:type="dxa"/>
          </w:tcPr>
          <w:p w14:paraId="5EC0D952">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中科院JCR 2区</w:t>
            </w:r>
          </w:p>
        </w:tc>
        <w:tc>
          <w:tcPr>
            <w:tcW w:w="1176" w:type="dxa"/>
            <w:vAlign w:val="center"/>
          </w:tcPr>
          <w:p w14:paraId="1572C2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b/>
                <w:bCs/>
                <w:color w:val="000000"/>
                <w:sz w:val="30"/>
                <w:szCs w:val="30"/>
                <w:vertAlign w:val="baseline"/>
                <w:lang w:val="en-US" w:eastAsia="zh-CN"/>
              </w:rPr>
            </w:pPr>
            <w:r>
              <w:rPr>
                <w:rFonts w:ascii="仿宋_GB2312" w:hAnsi="微软雅黑" w:eastAsia="仿宋_GB2312" w:cs="仿宋_GB2312"/>
                <w:b/>
                <w:bCs/>
                <w:i w:val="0"/>
                <w:iCs w:val="0"/>
                <w:caps w:val="0"/>
                <w:color w:val="333333"/>
                <w:spacing w:val="0"/>
                <w:sz w:val="30"/>
                <w:szCs w:val="30"/>
              </w:rPr>
              <w:t>30</w:t>
            </w:r>
          </w:p>
        </w:tc>
        <w:tc>
          <w:tcPr>
            <w:tcW w:w="943" w:type="dxa"/>
            <w:vAlign w:val="center"/>
          </w:tcPr>
          <w:p w14:paraId="7204F8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15.25</w:t>
            </w:r>
          </w:p>
        </w:tc>
        <w:tc>
          <w:tcPr>
            <w:tcW w:w="943" w:type="dxa"/>
            <w:vAlign w:val="center"/>
          </w:tcPr>
          <w:p w14:paraId="70EA13D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7.7</w:t>
            </w:r>
          </w:p>
        </w:tc>
        <w:tc>
          <w:tcPr>
            <w:tcW w:w="943" w:type="dxa"/>
            <w:vAlign w:val="center"/>
          </w:tcPr>
          <w:p w14:paraId="3131779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3.15</w:t>
            </w:r>
          </w:p>
        </w:tc>
        <w:tc>
          <w:tcPr>
            <w:tcW w:w="943" w:type="dxa"/>
            <w:vAlign w:val="center"/>
          </w:tcPr>
          <w:p w14:paraId="636013D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2.35</w:t>
            </w:r>
          </w:p>
        </w:tc>
        <w:tc>
          <w:tcPr>
            <w:tcW w:w="943" w:type="dxa"/>
            <w:vAlign w:val="center"/>
          </w:tcPr>
          <w:p w14:paraId="7297FA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1.55</w:t>
            </w:r>
          </w:p>
        </w:tc>
        <w:tc>
          <w:tcPr>
            <w:tcW w:w="946" w:type="dxa"/>
            <w:tcBorders>
              <w:bottom w:val="nil"/>
            </w:tcBorders>
            <w:vAlign w:val="center"/>
          </w:tcPr>
          <w:p w14:paraId="7642ABA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p>
        </w:tc>
      </w:tr>
      <w:tr w14:paraId="75DE8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9" w:type="dxa"/>
          </w:tcPr>
          <w:p w14:paraId="69836376">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中科院JCR 3区</w:t>
            </w:r>
          </w:p>
        </w:tc>
        <w:tc>
          <w:tcPr>
            <w:tcW w:w="1176" w:type="dxa"/>
            <w:vAlign w:val="center"/>
          </w:tcPr>
          <w:p w14:paraId="6FC7C97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b/>
                <w:bCs/>
                <w:color w:val="000000"/>
                <w:sz w:val="30"/>
                <w:szCs w:val="30"/>
                <w:vertAlign w:val="baseline"/>
                <w:lang w:val="en-US" w:eastAsia="zh-CN"/>
              </w:rPr>
            </w:pPr>
            <w:r>
              <w:rPr>
                <w:rFonts w:ascii="仿宋_GB2312" w:hAnsi="微软雅黑" w:eastAsia="仿宋_GB2312" w:cs="仿宋_GB2312"/>
                <w:b/>
                <w:bCs/>
                <w:i w:val="0"/>
                <w:iCs w:val="0"/>
                <w:caps w:val="0"/>
                <w:color w:val="333333"/>
                <w:spacing w:val="0"/>
                <w:sz w:val="30"/>
                <w:szCs w:val="30"/>
              </w:rPr>
              <w:t>15</w:t>
            </w:r>
          </w:p>
        </w:tc>
        <w:tc>
          <w:tcPr>
            <w:tcW w:w="943" w:type="dxa"/>
            <w:vAlign w:val="center"/>
          </w:tcPr>
          <w:p w14:paraId="706E049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8</w:t>
            </w:r>
          </w:p>
        </w:tc>
        <w:tc>
          <w:tcPr>
            <w:tcW w:w="943" w:type="dxa"/>
            <w:vAlign w:val="center"/>
          </w:tcPr>
          <w:p w14:paraId="1A1210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4</w:t>
            </w:r>
          </w:p>
        </w:tc>
        <w:tc>
          <w:tcPr>
            <w:tcW w:w="943" w:type="dxa"/>
            <w:vAlign w:val="center"/>
          </w:tcPr>
          <w:p w14:paraId="2B8F3B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1.7</w:t>
            </w:r>
          </w:p>
        </w:tc>
        <w:tc>
          <w:tcPr>
            <w:tcW w:w="943" w:type="dxa"/>
            <w:vAlign w:val="center"/>
          </w:tcPr>
          <w:p w14:paraId="132EF9D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1.3</w:t>
            </w:r>
          </w:p>
        </w:tc>
        <w:tc>
          <w:tcPr>
            <w:tcW w:w="943" w:type="dxa"/>
            <w:tcBorders>
              <w:bottom w:val="nil"/>
              <w:right w:val="nil"/>
            </w:tcBorders>
            <w:vAlign w:val="center"/>
          </w:tcPr>
          <w:p w14:paraId="42A83A1C">
            <w:pPr>
              <w:spacing w:line="560" w:lineRule="exact"/>
              <w:jc w:val="center"/>
              <w:rPr>
                <w:rFonts w:hint="eastAsia" w:ascii="仿宋_GB2312" w:hAnsi="微软雅黑" w:eastAsia="仿宋_GB2312"/>
                <w:color w:val="000000"/>
                <w:sz w:val="30"/>
                <w:szCs w:val="30"/>
                <w:vertAlign w:val="baseline"/>
                <w:lang w:val="en-US" w:eastAsia="zh-CN"/>
              </w:rPr>
            </w:pPr>
          </w:p>
        </w:tc>
        <w:tc>
          <w:tcPr>
            <w:tcW w:w="946" w:type="dxa"/>
            <w:tcBorders>
              <w:top w:val="nil"/>
              <w:left w:val="nil"/>
              <w:bottom w:val="nil"/>
              <w:right w:val="single" w:color="auto" w:sz="4" w:space="0"/>
            </w:tcBorders>
            <w:vAlign w:val="center"/>
          </w:tcPr>
          <w:p w14:paraId="4536C6D4">
            <w:pPr>
              <w:spacing w:line="560" w:lineRule="exact"/>
              <w:jc w:val="center"/>
              <w:rPr>
                <w:rFonts w:hint="eastAsia" w:ascii="仿宋_GB2312" w:hAnsi="微软雅黑" w:eastAsia="仿宋_GB2312"/>
                <w:color w:val="000000"/>
                <w:sz w:val="30"/>
                <w:szCs w:val="30"/>
                <w:vertAlign w:val="baseline"/>
                <w:lang w:val="en-US" w:eastAsia="zh-CN"/>
              </w:rPr>
            </w:pPr>
          </w:p>
        </w:tc>
      </w:tr>
      <w:tr w14:paraId="26C4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9" w:type="dxa"/>
          </w:tcPr>
          <w:p w14:paraId="441EB8FC">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中科院JCR 4区</w:t>
            </w:r>
          </w:p>
        </w:tc>
        <w:tc>
          <w:tcPr>
            <w:tcW w:w="1176" w:type="dxa"/>
            <w:vAlign w:val="center"/>
          </w:tcPr>
          <w:p w14:paraId="500D974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default" w:ascii="仿宋_GB2312" w:hAnsi="微软雅黑" w:eastAsia="仿宋_GB2312"/>
                <w:b/>
                <w:bCs/>
                <w:color w:val="000000"/>
                <w:sz w:val="30"/>
                <w:szCs w:val="30"/>
                <w:vertAlign w:val="baseline"/>
                <w:lang w:val="en-US" w:eastAsia="zh-CN"/>
              </w:rPr>
            </w:pPr>
            <w:r>
              <w:rPr>
                <w:rFonts w:hint="eastAsia" w:ascii="仿宋_GB2312" w:hAnsi="微软雅黑" w:eastAsia="仿宋_GB2312"/>
                <w:b/>
                <w:bCs/>
                <w:color w:val="000000"/>
                <w:sz w:val="30"/>
                <w:szCs w:val="30"/>
                <w:vertAlign w:val="baseline"/>
                <w:lang w:val="en-US" w:eastAsia="zh-CN"/>
              </w:rPr>
              <w:t>10</w:t>
            </w:r>
          </w:p>
        </w:tc>
        <w:tc>
          <w:tcPr>
            <w:tcW w:w="943" w:type="dxa"/>
            <w:vAlign w:val="center"/>
          </w:tcPr>
          <w:p w14:paraId="2672771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5.75</w:t>
            </w:r>
          </w:p>
        </w:tc>
        <w:tc>
          <w:tcPr>
            <w:tcW w:w="943" w:type="dxa"/>
            <w:vAlign w:val="center"/>
          </w:tcPr>
          <w:p w14:paraId="5D7C4AD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3</w:t>
            </w:r>
          </w:p>
        </w:tc>
        <w:tc>
          <w:tcPr>
            <w:tcW w:w="943" w:type="dxa"/>
            <w:vAlign w:val="center"/>
          </w:tcPr>
          <w:p w14:paraId="1AE249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1.25</w:t>
            </w:r>
          </w:p>
        </w:tc>
        <w:tc>
          <w:tcPr>
            <w:tcW w:w="943" w:type="dxa"/>
            <w:tcBorders>
              <w:bottom w:val="nil"/>
              <w:right w:val="nil"/>
            </w:tcBorders>
            <w:vAlign w:val="center"/>
          </w:tcPr>
          <w:p w14:paraId="2A71EBAB">
            <w:pPr>
              <w:spacing w:line="560" w:lineRule="exact"/>
              <w:jc w:val="center"/>
              <w:rPr>
                <w:rFonts w:hint="eastAsia" w:ascii="仿宋_GB2312" w:hAnsi="微软雅黑" w:eastAsia="仿宋_GB2312"/>
                <w:color w:val="000000"/>
                <w:sz w:val="30"/>
                <w:szCs w:val="30"/>
                <w:vertAlign w:val="baseline"/>
                <w:lang w:val="en-US" w:eastAsia="zh-CN"/>
              </w:rPr>
            </w:pPr>
          </w:p>
        </w:tc>
        <w:tc>
          <w:tcPr>
            <w:tcW w:w="943" w:type="dxa"/>
            <w:tcBorders>
              <w:top w:val="nil"/>
              <w:left w:val="nil"/>
              <w:bottom w:val="nil"/>
              <w:right w:val="nil"/>
            </w:tcBorders>
            <w:vAlign w:val="center"/>
          </w:tcPr>
          <w:p w14:paraId="6E790859">
            <w:pPr>
              <w:spacing w:line="560" w:lineRule="exact"/>
              <w:jc w:val="center"/>
              <w:rPr>
                <w:rFonts w:hint="eastAsia" w:ascii="仿宋_GB2312" w:hAnsi="微软雅黑" w:eastAsia="仿宋_GB2312"/>
                <w:color w:val="000000"/>
                <w:sz w:val="30"/>
                <w:szCs w:val="30"/>
                <w:vertAlign w:val="baseline"/>
                <w:lang w:val="en-US" w:eastAsia="zh-CN"/>
              </w:rPr>
            </w:pPr>
          </w:p>
        </w:tc>
        <w:tc>
          <w:tcPr>
            <w:tcW w:w="946" w:type="dxa"/>
            <w:tcBorders>
              <w:top w:val="nil"/>
              <w:left w:val="nil"/>
              <w:bottom w:val="nil"/>
              <w:right w:val="single" w:color="auto" w:sz="4" w:space="0"/>
            </w:tcBorders>
            <w:vAlign w:val="center"/>
          </w:tcPr>
          <w:p w14:paraId="3C0095AD">
            <w:pPr>
              <w:spacing w:line="560" w:lineRule="exact"/>
              <w:jc w:val="center"/>
              <w:rPr>
                <w:rFonts w:hint="eastAsia" w:ascii="仿宋_GB2312" w:hAnsi="微软雅黑" w:eastAsia="仿宋_GB2312"/>
                <w:color w:val="000000"/>
                <w:sz w:val="30"/>
                <w:szCs w:val="30"/>
                <w:vertAlign w:val="baseline"/>
                <w:lang w:val="en-US" w:eastAsia="zh-CN"/>
              </w:rPr>
            </w:pPr>
          </w:p>
        </w:tc>
      </w:tr>
      <w:tr w14:paraId="22CCE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9" w:type="dxa"/>
          </w:tcPr>
          <w:p w14:paraId="364F053D">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EI</w:t>
            </w:r>
          </w:p>
        </w:tc>
        <w:tc>
          <w:tcPr>
            <w:tcW w:w="1176" w:type="dxa"/>
            <w:vAlign w:val="center"/>
          </w:tcPr>
          <w:p w14:paraId="317A96AA">
            <w:pPr>
              <w:spacing w:line="560" w:lineRule="exact"/>
              <w:jc w:val="center"/>
              <w:rPr>
                <w:rFonts w:hint="default" w:ascii="仿宋_GB2312" w:hAnsi="微软雅黑" w:eastAsia="仿宋_GB2312"/>
                <w:b/>
                <w:bCs/>
                <w:color w:val="000000"/>
                <w:sz w:val="30"/>
                <w:szCs w:val="30"/>
                <w:vertAlign w:val="baseline"/>
                <w:lang w:val="en-US" w:eastAsia="zh-CN"/>
              </w:rPr>
            </w:pPr>
            <w:r>
              <w:rPr>
                <w:rFonts w:hint="eastAsia" w:ascii="仿宋_GB2312" w:hAnsi="微软雅黑" w:eastAsia="仿宋_GB2312"/>
                <w:b/>
                <w:bCs/>
                <w:color w:val="000000"/>
                <w:sz w:val="30"/>
                <w:szCs w:val="30"/>
                <w:vertAlign w:val="baseline"/>
                <w:lang w:val="en-US" w:eastAsia="zh-CN"/>
              </w:rPr>
              <w:t>5</w:t>
            </w:r>
          </w:p>
        </w:tc>
        <w:tc>
          <w:tcPr>
            <w:tcW w:w="943" w:type="dxa"/>
            <w:vAlign w:val="center"/>
          </w:tcPr>
          <w:p w14:paraId="0BA73953">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3.5</w:t>
            </w:r>
          </w:p>
        </w:tc>
        <w:tc>
          <w:tcPr>
            <w:tcW w:w="943" w:type="dxa"/>
            <w:vAlign w:val="center"/>
          </w:tcPr>
          <w:p w14:paraId="03AA4F55">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1.5</w:t>
            </w:r>
          </w:p>
        </w:tc>
        <w:tc>
          <w:tcPr>
            <w:tcW w:w="943" w:type="dxa"/>
            <w:tcBorders>
              <w:bottom w:val="nil"/>
              <w:right w:val="nil"/>
            </w:tcBorders>
            <w:vAlign w:val="center"/>
          </w:tcPr>
          <w:p w14:paraId="7F31568C">
            <w:pPr>
              <w:spacing w:line="560" w:lineRule="exact"/>
              <w:jc w:val="center"/>
              <w:rPr>
                <w:rFonts w:hint="eastAsia" w:ascii="仿宋_GB2312" w:hAnsi="微软雅黑" w:eastAsia="仿宋_GB2312"/>
                <w:color w:val="000000"/>
                <w:sz w:val="30"/>
                <w:szCs w:val="30"/>
                <w:vertAlign w:val="baseline"/>
                <w:lang w:val="en-US" w:eastAsia="zh-CN"/>
              </w:rPr>
            </w:pPr>
          </w:p>
        </w:tc>
        <w:tc>
          <w:tcPr>
            <w:tcW w:w="943" w:type="dxa"/>
            <w:tcBorders>
              <w:top w:val="nil"/>
              <w:left w:val="nil"/>
              <w:bottom w:val="nil"/>
              <w:right w:val="nil"/>
            </w:tcBorders>
            <w:vAlign w:val="center"/>
          </w:tcPr>
          <w:p w14:paraId="2CD50D4E">
            <w:pPr>
              <w:spacing w:line="560" w:lineRule="exact"/>
              <w:jc w:val="center"/>
              <w:rPr>
                <w:rFonts w:hint="eastAsia" w:ascii="仿宋_GB2312" w:hAnsi="微软雅黑" w:eastAsia="仿宋_GB2312"/>
                <w:color w:val="000000"/>
                <w:sz w:val="30"/>
                <w:szCs w:val="30"/>
                <w:vertAlign w:val="baseline"/>
                <w:lang w:val="en-US" w:eastAsia="zh-CN"/>
              </w:rPr>
            </w:pPr>
          </w:p>
        </w:tc>
        <w:tc>
          <w:tcPr>
            <w:tcW w:w="943" w:type="dxa"/>
            <w:tcBorders>
              <w:top w:val="nil"/>
              <w:left w:val="nil"/>
              <w:bottom w:val="nil"/>
              <w:right w:val="nil"/>
            </w:tcBorders>
            <w:vAlign w:val="center"/>
          </w:tcPr>
          <w:p w14:paraId="7103F2D9">
            <w:pPr>
              <w:spacing w:line="560" w:lineRule="exact"/>
              <w:jc w:val="center"/>
              <w:rPr>
                <w:rFonts w:hint="eastAsia" w:ascii="仿宋_GB2312" w:hAnsi="微软雅黑" w:eastAsia="仿宋_GB2312"/>
                <w:color w:val="000000"/>
                <w:sz w:val="30"/>
                <w:szCs w:val="30"/>
                <w:vertAlign w:val="baseline"/>
                <w:lang w:val="en-US" w:eastAsia="zh-CN"/>
              </w:rPr>
            </w:pPr>
          </w:p>
        </w:tc>
        <w:tc>
          <w:tcPr>
            <w:tcW w:w="946" w:type="dxa"/>
            <w:tcBorders>
              <w:top w:val="nil"/>
              <w:left w:val="nil"/>
              <w:bottom w:val="nil"/>
              <w:right w:val="single" w:color="auto" w:sz="4" w:space="0"/>
            </w:tcBorders>
            <w:vAlign w:val="center"/>
          </w:tcPr>
          <w:p w14:paraId="5F88CF95">
            <w:pPr>
              <w:spacing w:line="560" w:lineRule="exact"/>
              <w:jc w:val="center"/>
              <w:rPr>
                <w:rFonts w:hint="eastAsia" w:ascii="仿宋_GB2312" w:hAnsi="微软雅黑" w:eastAsia="仿宋_GB2312"/>
                <w:color w:val="000000"/>
                <w:sz w:val="30"/>
                <w:szCs w:val="30"/>
                <w:vertAlign w:val="baseline"/>
                <w:lang w:val="en-US" w:eastAsia="zh-CN"/>
              </w:rPr>
            </w:pPr>
          </w:p>
        </w:tc>
      </w:tr>
      <w:tr w14:paraId="35D6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9" w:type="dxa"/>
          </w:tcPr>
          <w:p w14:paraId="432ECC33">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中文核心期刊</w:t>
            </w:r>
          </w:p>
        </w:tc>
        <w:tc>
          <w:tcPr>
            <w:tcW w:w="1176" w:type="dxa"/>
            <w:vAlign w:val="center"/>
          </w:tcPr>
          <w:p w14:paraId="6217ED05">
            <w:pPr>
              <w:spacing w:line="560" w:lineRule="exact"/>
              <w:jc w:val="center"/>
              <w:rPr>
                <w:rFonts w:hint="default" w:ascii="仿宋_GB2312" w:hAnsi="微软雅黑" w:eastAsia="仿宋_GB2312"/>
                <w:b/>
                <w:bCs/>
                <w:color w:val="000000"/>
                <w:sz w:val="30"/>
                <w:szCs w:val="30"/>
                <w:vertAlign w:val="baseline"/>
                <w:lang w:val="en-US" w:eastAsia="zh-CN"/>
              </w:rPr>
            </w:pPr>
            <w:r>
              <w:rPr>
                <w:rFonts w:hint="eastAsia" w:ascii="仿宋_GB2312" w:hAnsi="微软雅黑" w:eastAsia="仿宋_GB2312"/>
                <w:b/>
                <w:bCs/>
                <w:color w:val="000000"/>
                <w:sz w:val="30"/>
                <w:szCs w:val="30"/>
                <w:vertAlign w:val="baseline"/>
                <w:lang w:val="en-US" w:eastAsia="zh-CN"/>
              </w:rPr>
              <w:t>3</w:t>
            </w:r>
          </w:p>
        </w:tc>
        <w:tc>
          <w:tcPr>
            <w:tcW w:w="943" w:type="dxa"/>
            <w:tcBorders>
              <w:bottom w:val="single" w:color="auto" w:sz="4" w:space="0"/>
            </w:tcBorders>
            <w:vAlign w:val="center"/>
          </w:tcPr>
          <w:p w14:paraId="28E84C4F">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2</w:t>
            </w:r>
          </w:p>
        </w:tc>
        <w:tc>
          <w:tcPr>
            <w:tcW w:w="943" w:type="dxa"/>
            <w:tcBorders>
              <w:bottom w:val="single" w:color="auto" w:sz="4" w:space="0"/>
              <w:right w:val="single" w:color="auto" w:sz="4" w:space="0"/>
            </w:tcBorders>
            <w:vAlign w:val="center"/>
          </w:tcPr>
          <w:p w14:paraId="7B85D9E6">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1</w:t>
            </w:r>
          </w:p>
        </w:tc>
        <w:tc>
          <w:tcPr>
            <w:tcW w:w="943" w:type="dxa"/>
            <w:tcBorders>
              <w:top w:val="nil"/>
              <w:left w:val="single" w:color="auto" w:sz="4" w:space="0"/>
              <w:bottom w:val="nil"/>
              <w:right w:val="nil"/>
            </w:tcBorders>
            <w:vAlign w:val="center"/>
          </w:tcPr>
          <w:p w14:paraId="1383DD51">
            <w:pPr>
              <w:spacing w:line="560" w:lineRule="exact"/>
              <w:jc w:val="center"/>
              <w:rPr>
                <w:rFonts w:hint="eastAsia" w:ascii="仿宋_GB2312" w:hAnsi="微软雅黑" w:eastAsia="仿宋_GB2312"/>
                <w:color w:val="000000"/>
                <w:sz w:val="30"/>
                <w:szCs w:val="30"/>
                <w:vertAlign w:val="baseline"/>
                <w:lang w:val="en-US" w:eastAsia="zh-CN"/>
              </w:rPr>
            </w:pPr>
          </w:p>
        </w:tc>
        <w:tc>
          <w:tcPr>
            <w:tcW w:w="943" w:type="dxa"/>
            <w:tcBorders>
              <w:top w:val="nil"/>
              <w:left w:val="nil"/>
              <w:bottom w:val="nil"/>
              <w:right w:val="nil"/>
            </w:tcBorders>
            <w:vAlign w:val="center"/>
          </w:tcPr>
          <w:p w14:paraId="18FC9EDA">
            <w:pPr>
              <w:spacing w:line="560" w:lineRule="exact"/>
              <w:jc w:val="center"/>
              <w:rPr>
                <w:rFonts w:hint="eastAsia" w:ascii="仿宋_GB2312" w:hAnsi="微软雅黑" w:eastAsia="仿宋_GB2312"/>
                <w:color w:val="000000"/>
                <w:sz w:val="30"/>
                <w:szCs w:val="30"/>
                <w:vertAlign w:val="baseline"/>
                <w:lang w:val="en-US" w:eastAsia="zh-CN"/>
              </w:rPr>
            </w:pPr>
          </w:p>
        </w:tc>
        <w:tc>
          <w:tcPr>
            <w:tcW w:w="943" w:type="dxa"/>
            <w:tcBorders>
              <w:top w:val="nil"/>
              <w:left w:val="nil"/>
              <w:bottom w:val="nil"/>
              <w:right w:val="nil"/>
            </w:tcBorders>
            <w:vAlign w:val="center"/>
          </w:tcPr>
          <w:p w14:paraId="58171D20">
            <w:pPr>
              <w:spacing w:line="560" w:lineRule="exact"/>
              <w:jc w:val="center"/>
              <w:rPr>
                <w:rFonts w:hint="eastAsia" w:ascii="仿宋_GB2312" w:hAnsi="微软雅黑" w:eastAsia="仿宋_GB2312"/>
                <w:color w:val="000000"/>
                <w:sz w:val="30"/>
                <w:szCs w:val="30"/>
                <w:vertAlign w:val="baseline"/>
                <w:lang w:val="en-US" w:eastAsia="zh-CN"/>
              </w:rPr>
            </w:pPr>
          </w:p>
        </w:tc>
        <w:tc>
          <w:tcPr>
            <w:tcW w:w="946" w:type="dxa"/>
            <w:tcBorders>
              <w:top w:val="nil"/>
              <w:left w:val="nil"/>
              <w:bottom w:val="nil"/>
              <w:right w:val="single" w:color="auto" w:sz="4" w:space="0"/>
            </w:tcBorders>
            <w:vAlign w:val="center"/>
          </w:tcPr>
          <w:p w14:paraId="3621613C">
            <w:pPr>
              <w:spacing w:line="560" w:lineRule="exact"/>
              <w:jc w:val="center"/>
              <w:rPr>
                <w:rFonts w:hint="eastAsia" w:ascii="仿宋_GB2312" w:hAnsi="微软雅黑" w:eastAsia="仿宋_GB2312"/>
                <w:color w:val="000000"/>
                <w:sz w:val="30"/>
                <w:szCs w:val="30"/>
                <w:vertAlign w:val="baseline"/>
                <w:lang w:val="en-US" w:eastAsia="zh-CN"/>
              </w:rPr>
            </w:pPr>
          </w:p>
        </w:tc>
      </w:tr>
      <w:tr w14:paraId="3945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9" w:type="dxa"/>
          </w:tcPr>
          <w:p w14:paraId="33C060B8">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其他公开刊物（有正式刊号）</w:t>
            </w:r>
          </w:p>
        </w:tc>
        <w:tc>
          <w:tcPr>
            <w:tcW w:w="1176" w:type="dxa"/>
            <w:vAlign w:val="center"/>
          </w:tcPr>
          <w:p w14:paraId="60C944F3">
            <w:pPr>
              <w:spacing w:line="560" w:lineRule="exact"/>
              <w:jc w:val="center"/>
              <w:rPr>
                <w:rFonts w:hint="default" w:ascii="仿宋_GB2312" w:hAnsi="微软雅黑" w:eastAsia="仿宋_GB2312"/>
                <w:b/>
                <w:bCs/>
                <w:color w:val="000000"/>
                <w:sz w:val="30"/>
                <w:szCs w:val="30"/>
                <w:vertAlign w:val="baseline"/>
                <w:lang w:val="en-US" w:eastAsia="zh-CN"/>
              </w:rPr>
            </w:pPr>
            <w:r>
              <w:rPr>
                <w:rFonts w:hint="eastAsia" w:ascii="仿宋_GB2312" w:hAnsi="微软雅黑" w:eastAsia="仿宋_GB2312"/>
                <w:b/>
                <w:bCs/>
                <w:color w:val="000000"/>
                <w:sz w:val="30"/>
                <w:szCs w:val="30"/>
                <w:vertAlign w:val="baseline"/>
                <w:lang w:val="en-US" w:eastAsia="zh-CN"/>
              </w:rPr>
              <w:t>1</w:t>
            </w:r>
          </w:p>
        </w:tc>
        <w:tc>
          <w:tcPr>
            <w:tcW w:w="943" w:type="dxa"/>
            <w:tcBorders>
              <w:top w:val="single" w:color="auto" w:sz="4" w:space="0"/>
              <w:bottom w:val="single" w:color="auto" w:sz="4" w:space="0"/>
              <w:right w:val="single" w:color="auto" w:sz="4" w:space="0"/>
            </w:tcBorders>
            <w:vAlign w:val="center"/>
          </w:tcPr>
          <w:p w14:paraId="22B31640">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1</w:t>
            </w:r>
          </w:p>
        </w:tc>
        <w:tc>
          <w:tcPr>
            <w:tcW w:w="943" w:type="dxa"/>
            <w:tcBorders>
              <w:top w:val="single" w:color="auto" w:sz="4" w:space="0"/>
              <w:left w:val="single" w:color="auto" w:sz="4" w:space="0"/>
              <w:bottom w:val="single" w:color="auto" w:sz="4" w:space="0"/>
              <w:right w:val="nil"/>
            </w:tcBorders>
            <w:vAlign w:val="center"/>
          </w:tcPr>
          <w:p w14:paraId="3DA163D1">
            <w:pPr>
              <w:spacing w:line="560" w:lineRule="exact"/>
              <w:jc w:val="center"/>
              <w:rPr>
                <w:rFonts w:hint="eastAsia" w:ascii="仿宋_GB2312" w:hAnsi="微软雅黑" w:eastAsia="仿宋_GB2312"/>
                <w:color w:val="000000"/>
                <w:sz w:val="30"/>
                <w:szCs w:val="30"/>
                <w:vertAlign w:val="baseline"/>
                <w:lang w:val="en-US" w:eastAsia="zh-CN"/>
              </w:rPr>
            </w:pPr>
          </w:p>
        </w:tc>
        <w:tc>
          <w:tcPr>
            <w:tcW w:w="943" w:type="dxa"/>
            <w:tcBorders>
              <w:top w:val="nil"/>
              <w:left w:val="nil"/>
              <w:bottom w:val="nil"/>
              <w:right w:val="nil"/>
            </w:tcBorders>
            <w:vAlign w:val="center"/>
          </w:tcPr>
          <w:p w14:paraId="7EBE1AFF">
            <w:pPr>
              <w:spacing w:line="560" w:lineRule="exact"/>
              <w:jc w:val="center"/>
              <w:rPr>
                <w:rFonts w:hint="eastAsia" w:ascii="仿宋_GB2312" w:hAnsi="微软雅黑" w:eastAsia="仿宋_GB2312"/>
                <w:color w:val="000000"/>
                <w:sz w:val="30"/>
                <w:szCs w:val="30"/>
                <w:vertAlign w:val="baseline"/>
                <w:lang w:val="en-US" w:eastAsia="zh-CN"/>
              </w:rPr>
            </w:pPr>
          </w:p>
        </w:tc>
        <w:tc>
          <w:tcPr>
            <w:tcW w:w="943" w:type="dxa"/>
            <w:tcBorders>
              <w:top w:val="nil"/>
              <w:left w:val="nil"/>
              <w:bottom w:val="nil"/>
              <w:right w:val="nil"/>
            </w:tcBorders>
            <w:vAlign w:val="center"/>
          </w:tcPr>
          <w:p w14:paraId="441E7BD6">
            <w:pPr>
              <w:spacing w:line="560" w:lineRule="exact"/>
              <w:jc w:val="center"/>
              <w:rPr>
                <w:rFonts w:hint="eastAsia" w:ascii="仿宋_GB2312" w:hAnsi="微软雅黑" w:eastAsia="仿宋_GB2312"/>
                <w:color w:val="000000"/>
                <w:sz w:val="30"/>
                <w:szCs w:val="30"/>
                <w:vertAlign w:val="baseline"/>
                <w:lang w:val="en-US" w:eastAsia="zh-CN"/>
              </w:rPr>
            </w:pPr>
          </w:p>
        </w:tc>
        <w:tc>
          <w:tcPr>
            <w:tcW w:w="943" w:type="dxa"/>
            <w:tcBorders>
              <w:top w:val="nil"/>
              <w:left w:val="nil"/>
              <w:bottom w:val="nil"/>
              <w:right w:val="nil"/>
            </w:tcBorders>
            <w:vAlign w:val="center"/>
          </w:tcPr>
          <w:p w14:paraId="674B7EF5">
            <w:pPr>
              <w:spacing w:line="560" w:lineRule="exact"/>
              <w:jc w:val="center"/>
              <w:rPr>
                <w:rFonts w:hint="eastAsia" w:ascii="仿宋_GB2312" w:hAnsi="微软雅黑" w:eastAsia="仿宋_GB2312"/>
                <w:color w:val="000000"/>
                <w:sz w:val="30"/>
                <w:szCs w:val="30"/>
                <w:vertAlign w:val="baseline"/>
                <w:lang w:val="en-US" w:eastAsia="zh-CN"/>
              </w:rPr>
            </w:pPr>
          </w:p>
        </w:tc>
        <w:tc>
          <w:tcPr>
            <w:tcW w:w="946" w:type="dxa"/>
            <w:tcBorders>
              <w:top w:val="nil"/>
              <w:left w:val="nil"/>
              <w:bottom w:val="nil"/>
              <w:right w:val="single" w:color="auto" w:sz="4" w:space="0"/>
            </w:tcBorders>
            <w:vAlign w:val="center"/>
          </w:tcPr>
          <w:p w14:paraId="0F420223">
            <w:pPr>
              <w:spacing w:line="560" w:lineRule="exact"/>
              <w:jc w:val="center"/>
              <w:rPr>
                <w:rFonts w:hint="eastAsia" w:ascii="仿宋_GB2312" w:hAnsi="微软雅黑" w:eastAsia="仿宋_GB2312"/>
                <w:color w:val="000000"/>
                <w:sz w:val="30"/>
                <w:szCs w:val="30"/>
                <w:vertAlign w:val="baseline"/>
                <w:lang w:val="en-US" w:eastAsia="zh-CN"/>
              </w:rPr>
            </w:pPr>
          </w:p>
        </w:tc>
      </w:tr>
      <w:tr w14:paraId="7C63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9" w:type="dxa"/>
          </w:tcPr>
          <w:p w14:paraId="2F9F2E9D">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国家发明专利</w:t>
            </w:r>
          </w:p>
        </w:tc>
        <w:tc>
          <w:tcPr>
            <w:tcW w:w="1176" w:type="dxa"/>
            <w:vAlign w:val="center"/>
          </w:tcPr>
          <w:p w14:paraId="5B338639">
            <w:pPr>
              <w:spacing w:line="560" w:lineRule="exact"/>
              <w:jc w:val="center"/>
              <w:rPr>
                <w:rFonts w:hint="default" w:ascii="仿宋_GB2312" w:hAnsi="微软雅黑" w:eastAsia="仿宋_GB2312"/>
                <w:b/>
                <w:bCs/>
                <w:color w:val="000000"/>
                <w:sz w:val="30"/>
                <w:szCs w:val="30"/>
                <w:vertAlign w:val="baseline"/>
                <w:lang w:val="en-US" w:eastAsia="zh-CN"/>
              </w:rPr>
            </w:pPr>
            <w:r>
              <w:rPr>
                <w:rFonts w:hint="eastAsia" w:ascii="仿宋_GB2312" w:hAnsi="微软雅黑" w:eastAsia="仿宋_GB2312"/>
                <w:b/>
                <w:bCs/>
                <w:color w:val="000000"/>
                <w:sz w:val="30"/>
                <w:szCs w:val="30"/>
                <w:vertAlign w:val="baseline"/>
                <w:lang w:val="en-US" w:eastAsia="zh-CN"/>
              </w:rPr>
              <w:t>10</w:t>
            </w:r>
          </w:p>
        </w:tc>
        <w:tc>
          <w:tcPr>
            <w:tcW w:w="943" w:type="dxa"/>
            <w:tcBorders>
              <w:top w:val="single" w:color="auto" w:sz="4" w:space="0"/>
            </w:tcBorders>
            <w:vAlign w:val="center"/>
          </w:tcPr>
          <w:p w14:paraId="0EEC7A73">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7</w:t>
            </w:r>
          </w:p>
        </w:tc>
        <w:tc>
          <w:tcPr>
            <w:tcW w:w="943" w:type="dxa"/>
            <w:tcBorders>
              <w:top w:val="single" w:color="auto" w:sz="4" w:space="0"/>
              <w:right w:val="single" w:color="auto" w:sz="4" w:space="0"/>
            </w:tcBorders>
            <w:vAlign w:val="center"/>
          </w:tcPr>
          <w:p w14:paraId="3BC43D57">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3</w:t>
            </w:r>
          </w:p>
        </w:tc>
        <w:tc>
          <w:tcPr>
            <w:tcW w:w="943" w:type="dxa"/>
            <w:tcBorders>
              <w:top w:val="nil"/>
              <w:left w:val="single" w:color="auto" w:sz="4" w:space="0"/>
              <w:bottom w:val="single" w:color="auto" w:sz="4" w:space="0"/>
              <w:right w:val="nil"/>
            </w:tcBorders>
            <w:vAlign w:val="center"/>
          </w:tcPr>
          <w:p w14:paraId="6490396D">
            <w:pPr>
              <w:spacing w:line="560" w:lineRule="exact"/>
              <w:jc w:val="center"/>
              <w:rPr>
                <w:rFonts w:hint="eastAsia" w:ascii="仿宋_GB2312" w:hAnsi="微软雅黑" w:eastAsia="仿宋_GB2312"/>
                <w:color w:val="000000"/>
                <w:sz w:val="30"/>
                <w:szCs w:val="30"/>
                <w:vertAlign w:val="baseline"/>
                <w:lang w:val="en-US" w:eastAsia="zh-CN"/>
              </w:rPr>
            </w:pPr>
          </w:p>
        </w:tc>
        <w:tc>
          <w:tcPr>
            <w:tcW w:w="943" w:type="dxa"/>
            <w:tcBorders>
              <w:top w:val="nil"/>
              <w:left w:val="nil"/>
              <w:bottom w:val="single" w:color="auto" w:sz="4" w:space="0"/>
              <w:right w:val="nil"/>
            </w:tcBorders>
            <w:vAlign w:val="center"/>
          </w:tcPr>
          <w:p w14:paraId="7F8A7999">
            <w:pPr>
              <w:spacing w:line="560" w:lineRule="exact"/>
              <w:jc w:val="center"/>
              <w:rPr>
                <w:rFonts w:hint="eastAsia" w:ascii="仿宋_GB2312" w:hAnsi="微软雅黑" w:eastAsia="仿宋_GB2312"/>
                <w:color w:val="000000"/>
                <w:sz w:val="30"/>
                <w:szCs w:val="30"/>
                <w:vertAlign w:val="baseline"/>
                <w:lang w:val="en-US" w:eastAsia="zh-CN"/>
              </w:rPr>
            </w:pPr>
          </w:p>
        </w:tc>
        <w:tc>
          <w:tcPr>
            <w:tcW w:w="943" w:type="dxa"/>
            <w:tcBorders>
              <w:top w:val="nil"/>
              <w:left w:val="nil"/>
              <w:bottom w:val="single" w:color="auto" w:sz="4" w:space="0"/>
              <w:right w:val="nil"/>
            </w:tcBorders>
            <w:vAlign w:val="center"/>
          </w:tcPr>
          <w:p w14:paraId="0797D607">
            <w:pPr>
              <w:spacing w:line="560" w:lineRule="exact"/>
              <w:jc w:val="center"/>
              <w:rPr>
                <w:rFonts w:hint="eastAsia" w:ascii="仿宋_GB2312" w:hAnsi="微软雅黑" w:eastAsia="仿宋_GB2312"/>
                <w:color w:val="000000"/>
                <w:sz w:val="30"/>
                <w:szCs w:val="30"/>
                <w:vertAlign w:val="baseline"/>
                <w:lang w:val="en-US" w:eastAsia="zh-CN"/>
              </w:rPr>
            </w:pPr>
          </w:p>
        </w:tc>
        <w:tc>
          <w:tcPr>
            <w:tcW w:w="946" w:type="dxa"/>
            <w:tcBorders>
              <w:top w:val="nil"/>
              <w:left w:val="nil"/>
              <w:bottom w:val="single" w:color="auto" w:sz="4" w:space="0"/>
              <w:right w:val="single" w:color="auto" w:sz="4" w:space="0"/>
            </w:tcBorders>
            <w:vAlign w:val="center"/>
          </w:tcPr>
          <w:p w14:paraId="271AB1D3">
            <w:pPr>
              <w:spacing w:line="560" w:lineRule="exact"/>
              <w:jc w:val="center"/>
              <w:rPr>
                <w:rFonts w:hint="eastAsia" w:ascii="仿宋_GB2312" w:hAnsi="微软雅黑" w:eastAsia="仿宋_GB2312"/>
                <w:color w:val="000000"/>
                <w:sz w:val="30"/>
                <w:szCs w:val="30"/>
                <w:vertAlign w:val="baseline"/>
                <w:lang w:val="en-US" w:eastAsia="zh-CN"/>
              </w:rPr>
            </w:pPr>
          </w:p>
        </w:tc>
      </w:tr>
    </w:tbl>
    <w:p w14:paraId="24F6BE0A">
      <w:pPr>
        <w:bidi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注：空白处均不加分；文章中排第一的为第一作者，依次往后。</w:t>
      </w:r>
    </w:p>
    <w:p w14:paraId="41D29F85">
      <w:pPr>
        <w:bidi w:val="0"/>
        <w:ind w:firstLine="640" w:firstLineChars="200"/>
        <w:rPr>
          <w:rFonts w:hint="eastAsia" w:ascii="黑体" w:hAnsi="黑体" w:eastAsia="黑体" w:cs="黑体"/>
          <w:sz w:val="32"/>
          <w:szCs w:val="32"/>
          <w:lang w:val="en-US" w:eastAsia="zh-CN"/>
        </w:rPr>
      </w:pPr>
    </w:p>
    <w:p w14:paraId="69966200">
      <w:pPr>
        <w:bidi w:val="0"/>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导师为第一作者的情况按照下表进行加分：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9"/>
        <w:gridCol w:w="1176"/>
        <w:gridCol w:w="943"/>
        <w:gridCol w:w="943"/>
        <w:gridCol w:w="943"/>
        <w:gridCol w:w="943"/>
        <w:gridCol w:w="943"/>
        <w:gridCol w:w="946"/>
      </w:tblGrid>
      <w:tr w14:paraId="20F6A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vAlign w:val="center"/>
          </w:tcPr>
          <w:p w14:paraId="079387A3">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成果类别</w:t>
            </w:r>
          </w:p>
        </w:tc>
        <w:tc>
          <w:tcPr>
            <w:tcW w:w="1176" w:type="dxa"/>
            <w:vAlign w:val="center"/>
          </w:tcPr>
          <w:p w14:paraId="76346DDE">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总加分</w:t>
            </w:r>
          </w:p>
        </w:tc>
        <w:tc>
          <w:tcPr>
            <w:tcW w:w="943" w:type="dxa"/>
            <w:vAlign w:val="center"/>
          </w:tcPr>
          <w:p w14:paraId="78EC4EE3">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导师一作</w:t>
            </w:r>
          </w:p>
        </w:tc>
        <w:tc>
          <w:tcPr>
            <w:tcW w:w="943" w:type="dxa"/>
            <w:vAlign w:val="center"/>
          </w:tcPr>
          <w:p w14:paraId="0FE446BF">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第二作者</w:t>
            </w:r>
          </w:p>
        </w:tc>
        <w:tc>
          <w:tcPr>
            <w:tcW w:w="943" w:type="dxa"/>
            <w:vAlign w:val="center"/>
          </w:tcPr>
          <w:p w14:paraId="37409FD8">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第三作者</w:t>
            </w:r>
          </w:p>
        </w:tc>
        <w:tc>
          <w:tcPr>
            <w:tcW w:w="943" w:type="dxa"/>
            <w:vAlign w:val="center"/>
          </w:tcPr>
          <w:p w14:paraId="1FEEBC84">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第四作者</w:t>
            </w:r>
          </w:p>
        </w:tc>
        <w:tc>
          <w:tcPr>
            <w:tcW w:w="943" w:type="dxa"/>
            <w:vAlign w:val="center"/>
          </w:tcPr>
          <w:p w14:paraId="32B09E19">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第五作者</w:t>
            </w:r>
          </w:p>
        </w:tc>
        <w:tc>
          <w:tcPr>
            <w:tcW w:w="946" w:type="dxa"/>
            <w:vAlign w:val="center"/>
          </w:tcPr>
          <w:p w14:paraId="44C32960">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第六作者</w:t>
            </w:r>
          </w:p>
        </w:tc>
      </w:tr>
      <w:tr w14:paraId="25F6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9" w:type="dxa"/>
          </w:tcPr>
          <w:p w14:paraId="3AD20C5A">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中科院JCR 1区</w:t>
            </w:r>
          </w:p>
        </w:tc>
        <w:tc>
          <w:tcPr>
            <w:tcW w:w="1176" w:type="dxa"/>
            <w:vAlign w:val="center"/>
          </w:tcPr>
          <w:p w14:paraId="500A1D6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b/>
                <w:bCs/>
                <w:color w:val="000000"/>
                <w:sz w:val="30"/>
                <w:szCs w:val="30"/>
                <w:vertAlign w:val="baseline"/>
                <w:lang w:val="en-US" w:eastAsia="zh-CN"/>
              </w:rPr>
            </w:pPr>
            <w:r>
              <w:rPr>
                <w:rFonts w:ascii="仿宋_GB2312" w:hAnsi="微软雅黑" w:eastAsia="仿宋_GB2312" w:cs="仿宋_GB2312"/>
                <w:b/>
                <w:bCs/>
                <w:i w:val="0"/>
                <w:iCs w:val="0"/>
                <w:caps w:val="0"/>
                <w:color w:val="333333"/>
                <w:spacing w:val="0"/>
                <w:sz w:val="30"/>
                <w:szCs w:val="30"/>
              </w:rPr>
              <w:t>50</w:t>
            </w:r>
          </w:p>
        </w:tc>
        <w:tc>
          <w:tcPr>
            <w:tcW w:w="943" w:type="dxa"/>
            <w:vAlign w:val="center"/>
          </w:tcPr>
          <w:p w14:paraId="634FFD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s="仿宋_GB2312"/>
                <w:i w:val="0"/>
                <w:iCs w:val="0"/>
                <w:caps w:val="0"/>
                <w:color w:val="333333"/>
                <w:spacing w:val="0"/>
                <w:sz w:val="30"/>
                <w:szCs w:val="30"/>
                <w:lang w:val="en-US" w:eastAsia="zh-CN"/>
              </w:rPr>
              <w:t>—</w:t>
            </w:r>
          </w:p>
        </w:tc>
        <w:tc>
          <w:tcPr>
            <w:tcW w:w="943" w:type="dxa"/>
            <w:vAlign w:val="center"/>
          </w:tcPr>
          <w:p w14:paraId="3B26C0D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s="仿宋_GB2312"/>
                <w:i w:val="0"/>
                <w:iCs w:val="0"/>
                <w:caps w:val="0"/>
                <w:color w:val="333333"/>
                <w:spacing w:val="0"/>
                <w:sz w:val="30"/>
                <w:szCs w:val="30"/>
                <w:lang w:val="en-US" w:eastAsia="zh-CN"/>
              </w:rPr>
              <w:t>20</w:t>
            </w:r>
          </w:p>
        </w:tc>
        <w:tc>
          <w:tcPr>
            <w:tcW w:w="3775" w:type="dxa"/>
            <w:gridSpan w:val="4"/>
            <w:vAlign w:val="center"/>
          </w:tcPr>
          <w:p w14:paraId="267E294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共5分</w:t>
            </w:r>
          </w:p>
        </w:tc>
      </w:tr>
      <w:tr w14:paraId="181F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9" w:type="dxa"/>
          </w:tcPr>
          <w:p w14:paraId="1EFD3635">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中科院JCR 2区</w:t>
            </w:r>
          </w:p>
        </w:tc>
        <w:tc>
          <w:tcPr>
            <w:tcW w:w="1176" w:type="dxa"/>
            <w:vAlign w:val="center"/>
          </w:tcPr>
          <w:p w14:paraId="691037A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b/>
                <w:bCs/>
                <w:color w:val="000000"/>
                <w:sz w:val="30"/>
                <w:szCs w:val="30"/>
                <w:vertAlign w:val="baseline"/>
                <w:lang w:val="en-US" w:eastAsia="zh-CN"/>
              </w:rPr>
            </w:pPr>
            <w:r>
              <w:rPr>
                <w:rFonts w:ascii="仿宋_GB2312" w:hAnsi="微软雅黑" w:eastAsia="仿宋_GB2312" w:cs="仿宋_GB2312"/>
                <w:b/>
                <w:bCs/>
                <w:i w:val="0"/>
                <w:iCs w:val="0"/>
                <w:caps w:val="0"/>
                <w:color w:val="333333"/>
                <w:spacing w:val="0"/>
                <w:sz w:val="30"/>
                <w:szCs w:val="30"/>
              </w:rPr>
              <w:t>30</w:t>
            </w:r>
          </w:p>
        </w:tc>
        <w:tc>
          <w:tcPr>
            <w:tcW w:w="943" w:type="dxa"/>
            <w:vAlign w:val="center"/>
          </w:tcPr>
          <w:p w14:paraId="2C20C10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w:t>
            </w:r>
          </w:p>
        </w:tc>
        <w:tc>
          <w:tcPr>
            <w:tcW w:w="943" w:type="dxa"/>
            <w:vAlign w:val="center"/>
          </w:tcPr>
          <w:p w14:paraId="4D5064C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s="仿宋_GB2312"/>
                <w:i w:val="0"/>
                <w:iCs w:val="0"/>
                <w:caps w:val="0"/>
                <w:color w:val="333333"/>
                <w:spacing w:val="0"/>
                <w:sz w:val="30"/>
                <w:szCs w:val="30"/>
                <w:lang w:val="en-US" w:eastAsia="zh-CN"/>
              </w:rPr>
              <w:t>12</w:t>
            </w:r>
          </w:p>
        </w:tc>
        <w:tc>
          <w:tcPr>
            <w:tcW w:w="2829" w:type="dxa"/>
            <w:gridSpan w:val="3"/>
            <w:tcBorders>
              <w:right w:val="single" w:color="auto" w:sz="4" w:space="0"/>
            </w:tcBorders>
            <w:vAlign w:val="center"/>
          </w:tcPr>
          <w:p w14:paraId="4F1F3A9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共3分</w:t>
            </w:r>
          </w:p>
        </w:tc>
        <w:tc>
          <w:tcPr>
            <w:tcW w:w="946" w:type="dxa"/>
            <w:tcBorders>
              <w:top w:val="nil"/>
              <w:left w:val="single" w:color="auto" w:sz="4" w:space="0"/>
              <w:bottom w:val="nil"/>
              <w:right w:val="single" w:color="auto" w:sz="4" w:space="0"/>
            </w:tcBorders>
            <w:vAlign w:val="center"/>
          </w:tcPr>
          <w:p w14:paraId="00DCC9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p>
        </w:tc>
      </w:tr>
      <w:tr w14:paraId="647A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9" w:type="dxa"/>
          </w:tcPr>
          <w:p w14:paraId="62BF4C20">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中科院JCR 3区</w:t>
            </w:r>
          </w:p>
        </w:tc>
        <w:tc>
          <w:tcPr>
            <w:tcW w:w="1176" w:type="dxa"/>
            <w:vAlign w:val="center"/>
          </w:tcPr>
          <w:p w14:paraId="75A1C7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b/>
                <w:bCs/>
                <w:color w:val="000000"/>
                <w:sz w:val="30"/>
                <w:szCs w:val="30"/>
                <w:vertAlign w:val="baseline"/>
                <w:lang w:val="en-US" w:eastAsia="zh-CN"/>
              </w:rPr>
            </w:pPr>
            <w:r>
              <w:rPr>
                <w:rFonts w:ascii="仿宋_GB2312" w:hAnsi="微软雅黑" w:eastAsia="仿宋_GB2312" w:cs="仿宋_GB2312"/>
                <w:b/>
                <w:bCs/>
                <w:i w:val="0"/>
                <w:iCs w:val="0"/>
                <w:caps w:val="0"/>
                <w:color w:val="333333"/>
                <w:spacing w:val="0"/>
                <w:sz w:val="30"/>
                <w:szCs w:val="30"/>
              </w:rPr>
              <w:t>15</w:t>
            </w:r>
          </w:p>
        </w:tc>
        <w:tc>
          <w:tcPr>
            <w:tcW w:w="943" w:type="dxa"/>
            <w:vAlign w:val="center"/>
          </w:tcPr>
          <w:p w14:paraId="187630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w:t>
            </w:r>
          </w:p>
        </w:tc>
        <w:tc>
          <w:tcPr>
            <w:tcW w:w="943" w:type="dxa"/>
            <w:vAlign w:val="center"/>
          </w:tcPr>
          <w:p w14:paraId="0F2C8D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s="仿宋_GB2312"/>
                <w:i w:val="0"/>
                <w:iCs w:val="0"/>
                <w:caps w:val="0"/>
                <w:color w:val="333333"/>
                <w:spacing w:val="0"/>
                <w:sz w:val="30"/>
                <w:szCs w:val="30"/>
                <w:lang w:val="en-US" w:eastAsia="zh-CN"/>
              </w:rPr>
              <w:t>6</w:t>
            </w:r>
          </w:p>
        </w:tc>
        <w:tc>
          <w:tcPr>
            <w:tcW w:w="1886" w:type="dxa"/>
            <w:gridSpan w:val="2"/>
            <w:tcBorders>
              <w:right w:val="single" w:color="auto" w:sz="4" w:space="0"/>
            </w:tcBorders>
            <w:vAlign w:val="center"/>
          </w:tcPr>
          <w:p w14:paraId="4C013A9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共1.5分</w:t>
            </w:r>
          </w:p>
        </w:tc>
        <w:tc>
          <w:tcPr>
            <w:tcW w:w="943" w:type="dxa"/>
            <w:tcBorders>
              <w:top w:val="single" w:color="auto" w:sz="4" w:space="0"/>
              <w:left w:val="single" w:color="auto" w:sz="4" w:space="0"/>
              <w:bottom w:val="nil"/>
              <w:right w:val="nil"/>
            </w:tcBorders>
            <w:vAlign w:val="center"/>
          </w:tcPr>
          <w:p w14:paraId="07D03E1C">
            <w:pPr>
              <w:spacing w:line="560" w:lineRule="exact"/>
              <w:jc w:val="center"/>
              <w:rPr>
                <w:rFonts w:hint="eastAsia" w:ascii="仿宋_GB2312" w:hAnsi="微软雅黑" w:eastAsia="仿宋_GB2312"/>
                <w:color w:val="000000"/>
                <w:sz w:val="30"/>
                <w:szCs w:val="30"/>
                <w:vertAlign w:val="baseline"/>
                <w:lang w:val="en-US" w:eastAsia="zh-CN"/>
              </w:rPr>
            </w:pPr>
          </w:p>
        </w:tc>
        <w:tc>
          <w:tcPr>
            <w:tcW w:w="946" w:type="dxa"/>
            <w:tcBorders>
              <w:top w:val="nil"/>
              <w:left w:val="nil"/>
              <w:bottom w:val="nil"/>
              <w:right w:val="single" w:color="auto" w:sz="4" w:space="0"/>
            </w:tcBorders>
            <w:vAlign w:val="center"/>
          </w:tcPr>
          <w:p w14:paraId="6BA21278">
            <w:pPr>
              <w:spacing w:line="560" w:lineRule="exact"/>
              <w:jc w:val="center"/>
              <w:rPr>
                <w:rFonts w:hint="eastAsia" w:ascii="仿宋_GB2312" w:hAnsi="微软雅黑" w:eastAsia="仿宋_GB2312"/>
                <w:color w:val="000000"/>
                <w:sz w:val="30"/>
                <w:szCs w:val="30"/>
                <w:vertAlign w:val="baseline"/>
                <w:lang w:val="en-US" w:eastAsia="zh-CN"/>
              </w:rPr>
            </w:pPr>
          </w:p>
        </w:tc>
      </w:tr>
      <w:tr w14:paraId="03B1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9" w:type="dxa"/>
          </w:tcPr>
          <w:p w14:paraId="5FF9E920">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中科院JCR 4区</w:t>
            </w:r>
          </w:p>
        </w:tc>
        <w:tc>
          <w:tcPr>
            <w:tcW w:w="1176" w:type="dxa"/>
            <w:vAlign w:val="center"/>
          </w:tcPr>
          <w:p w14:paraId="7740D49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default" w:ascii="仿宋_GB2312" w:hAnsi="微软雅黑" w:eastAsia="仿宋_GB2312"/>
                <w:b/>
                <w:bCs/>
                <w:color w:val="000000"/>
                <w:sz w:val="30"/>
                <w:szCs w:val="30"/>
                <w:vertAlign w:val="baseline"/>
                <w:lang w:val="en-US" w:eastAsia="zh-CN"/>
              </w:rPr>
            </w:pPr>
            <w:r>
              <w:rPr>
                <w:rFonts w:hint="eastAsia" w:ascii="仿宋_GB2312" w:hAnsi="微软雅黑" w:eastAsia="仿宋_GB2312"/>
                <w:b/>
                <w:bCs/>
                <w:color w:val="000000"/>
                <w:sz w:val="30"/>
                <w:szCs w:val="30"/>
                <w:vertAlign w:val="baseline"/>
                <w:lang w:val="en-US" w:eastAsia="zh-CN"/>
              </w:rPr>
              <w:t>10</w:t>
            </w:r>
          </w:p>
        </w:tc>
        <w:tc>
          <w:tcPr>
            <w:tcW w:w="943" w:type="dxa"/>
            <w:vAlign w:val="center"/>
          </w:tcPr>
          <w:p w14:paraId="613367A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w:t>
            </w:r>
          </w:p>
        </w:tc>
        <w:tc>
          <w:tcPr>
            <w:tcW w:w="943" w:type="dxa"/>
            <w:tcBorders>
              <w:bottom w:val="single" w:color="auto" w:sz="4" w:space="0"/>
            </w:tcBorders>
            <w:vAlign w:val="center"/>
          </w:tcPr>
          <w:p w14:paraId="3F628D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s="仿宋_GB2312"/>
                <w:i w:val="0"/>
                <w:iCs w:val="0"/>
                <w:caps w:val="0"/>
                <w:color w:val="333333"/>
                <w:spacing w:val="0"/>
                <w:sz w:val="30"/>
                <w:szCs w:val="30"/>
                <w:lang w:val="en-US" w:eastAsia="zh-CN"/>
              </w:rPr>
              <w:t>4</w:t>
            </w:r>
          </w:p>
        </w:tc>
        <w:tc>
          <w:tcPr>
            <w:tcW w:w="943" w:type="dxa"/>
            <w:tcBorders>
              <w:bottom w:val="single" w:color="auto" w:sz="4" w:space="0"/>
              <w:right w:val="single" w:color="auto" w:sz="4" w:space="0"/>
            </w:tcBorders>
            <w:vAlign w:val="center"/>
          </w:tcPr>
          <w:p w14:paraId="4973E39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1</w:t>
            </w:r>
          </w:p>
        </w:tc>
        <w:tc>
          <w:tcPr>
            <w:tcW w:w="943" w:type="dxa"/>
            <w:tcBorders>
              <w:top w:val="nil"/>
              <w:left w:val="single" w:color="auto" w:sz="4" w:space="0"/>
              <w:bottom w:val="nil"/>
              <w:right w:val="nil"/>
            </w:tcBorders>
            <w:vAlign w:val="center"/>
          </w:tcPr>
          <w:p w14:paraId="4D3FFEB3">
            <w:pPr>
              <w:spacing w:line="560" w:lineRule="exact"/>
              <w:jc w:val="center"/>
              <w:rPr>
                <w:rFonts w:hint="eastAsia" w:ascii="仿宋_GB2312" w:hAnsi="微软雅黑" w:eastAsia="仿宋_GB2312"/>
                <w:color w:val="000000"/>
                <w:sz w:val="30"/>
                <w:szCs w:val="30"/>
                <w:vertAlign w:val="baseline"/>
                <w:lang w:val="en-US" w:eastAsia="zh-CN"/>
              </w:rPr>
            </w:pPr>
          </w:p>
        </w:tc>
        <w:tc>
          <w:tcPr>
            <w:tcW w:w="943" w:type="dxa"/>
            <w:tcBorders>
              <w:top w:val="nil"/>
              <w:left w:val="nil"/>
              <w:bottom w:val="nil"/>
              <w:right w:val="nil"/>
            </w:tcBorders>
            <w:vAlign w:val="center"/>
          </w:tcPr>
          <w:p w14:paraId="5C971B34">
            <w:pPr>
              <w:spacing w:line="560" w:lineRule="exact"/>
              <w:jc w:val="center"/>
              <w:rPr>
                <w:rFonts w:hint="eastAsia" w:ascii="仿宋_GB2312" w:hAnsi="微软雅黑" w:eastAsia="仿宋_GB2312"/>
                <w:color w:val="000000"/>
                <w:sz w:val="30"/>
                <w:szCs w:val="30"/>
                <w:vertAlign w:val="baseline"/>
                <w:lang w:val="en-US" w:eastAsia="zh-CN"/>
              </w:rPr>
            </w:pPr>
          </w:p>
        </w:tc>
        <w:tc>
          <w:tcPr>
            <w:tcW w:w="946" w:type="dxa"/>
            <w:tcBorders>
              <w:top w:val="nil"/>
              <w:left w:val="nil"/>
              <w:bottom w:val="nil"/>
              <w:right w:val="single" w:color="auto" w:sz="4" w:space="0"/>
            </w:tcBorders>
            <w:vAlign w:val="center"/>
          </w:tcPr>
          <w:p w14:paraId="16FD1594">
            <w:pPr>
              <w:spacing w:line="560" w:lineRule="exact"/>
              <w:jc w:val="center"/>
              <w:rPr>
                <w:rFonts w:hint="eastAsia" w:ascii="仿宋_GB2312" w:hAnsi="微软雅黑" w:eastAsia="仿宋_GB2312"/>
                <w:color w:val="000000"/>
                <w:sz w:val="30"/>
                <w:szCs w:val="30"/>
                <w:vertAlign w:val="baseline"/>
                <w:lang w:val="en-US" w:eastAsia="zh-CN"/>
              </w:rPr>
            </w:pPr>
          </w:p>
        </w:tc>
      </w:tr>
      <w:tr w14:paraId="5025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9" w:type="dxa"/>
          </w:tcPr>
          <w:p w14:paraId="61D394A5">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EI</w:t>
            </w:r>
          </w:p>
        </w:tc>
        <w:tc>
          <w:tcPr>
            <w:tcW w:w="1176" w:type="dxa"/>
            <w:vAlign w:val="center"/>
          </w:tcPr>
          <w:p w14:paraId="0144A969">
            <w:pPr>
              <w:spacing w:line="560" w:lineRule="exact"/>
              <w:jc w:val="center"/>
              <w:rPr>
                <w:rFonts w:hint="default" w:ascii="仿宋_GB2312" w:hAnsi="微软雅黑" w:eastAsia="仿宋_GB2312"/>
                <w:b/>
                <w:bCs/>
                <w:color w:val="000000"/>
                <w:sz w:val="30"/>
                <w:szCs w:val="30"/>
                <w:vertAlign w:val="baseline"/>
                <w:lang w:val="en-US" w:eastAsia="zh-CN"/>
              </w:rPr>
            </w:pPr>
            <w:r>
              <w:rPr>
                <w:rFonts w:hint="eastAsia" w:ascii="仿宋_GB2312" w:hAnsi="微软雅黑" w:eastAsia="仿宋_GB2312"/>
                <w:b/>
                <w:bCs/>
                <w:color w:val="000000"/>
                <w:sz w:val="30"/>
                <w:szCs w:val="30"/>
                <w:vertAlign w:val="baseline"/>
                <w:lang w:val="en-US" w:eastAsia="zh-CN"/>
              </w:rPr>
              <w:t>5</w:t>
            </w:r>
          </w:p>
        </w:tc>
        <w:tc>
          <w:tcPr>
            <w:tcW w:w="943" w:type="dxa"/>
            <w:vAlign w:val="center"/>
          </w:tcPr>
          <w:p w14:paraId="6C3026FC">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w:t>
            </w:r>
          </w:p>
        </w:tc>
        <w:tc>
          <w:tcPr>
            <w:tcW w:w="943" w:type="dxa"/>
            <w:tcBorders>
              <w:top w:val="single" w:color="auto" w:sz="4" w:space="0"/>
              <w:right w:val="single" w:color="auto" w:sz="4" w:space="0"/>
            </w:tcBorders>
            <w:vAlign w:val="center"/>
          </w:tcPr>
          <w:p w14:paraId="77F75C02">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2</w:t>
            </w:r>
          </w:p>
        </w:tc>
        <w:tc>
          <w:tcPr>
            <w:tcW w:w="943" w:type="dxa"/>
            <w:tcBorders>
              <w:top w:val="single" w:color="auto" w:sz="4" w:space="0"/>
              <w:left w:val="single" w:color="auto" w:sz="4" w:space="0"/>
              <w:bottom w:val="nil"/>
              <w:right w:val="nil"/>
            </w:tcBorders>
            <w:vAlign w:val="center"/>
          </w:tcPr>
          <w:p w14:paraId="116D29F1">
            <w:pPr>
              <w:spacing w:line="560" w:lineRule="exact"/>
              <w:jc w:val="center"/>
              <w:rPr>
                <w:rFonts w:hint="eastAsia" w:ascii="仿宋_GB2312" w:hAnsi="微软雅黑" w:eastAsia="仿宋_GB2312"/>
                <w:color w:val="000000"/>
                <w:sz w:val="30"/>
                <w:szCs w:val="30"/>
                <w:vertAlign w:val="baseline"/>
                <w:lang w:val="en-US" w:eastAsia="zh-CN"/>
              </w:rPr>
            </w:pPr>
          </w:p>
        </w:tc>
        <w:tc>
          <w:tcPr>
            <w:tcW w:w="943" w:type="dxa"/>
            <w:tcBorders>
              <w:top w:val="nil"/>
              <w:left w:val="nil"/>
              <w:bottom w:val="nil"/>
              <w:right w:val="nil"/>
            </w:tcBorders>
            <w:vAlign w:val="center"/>
          </w:tcPr>
          <w:p w14:paraId="12AB18B4">
            <w:pPr>
              <w:spacing w:line="560" w:lineRule="exact"/>
              <w:jc w:val="center"/>
              <w:rPr>
                <w:rFonts w:hint="eastAsia" w:ascii="仿宋_GB2312" w:hAnsi="微软雅黑" w:eastAsia="仿宋_GB2312"/>
                <w:color w:val="000000"/>
                <w:sz w:val="30"/>
                <w:szCs w:val="30"/>
                <w:vertAlign w:val="baseline"/>
                <w:lang w:val="en-US" w:eastAsia="zh-CN"/>
              </w:rPr>
            </w:pPr>
          </w:p>
        </w:tc>
        <w:tc>
          <w:tcPr>
            <w:tcW w:w="943" w:type="dxa"/>
            <w:tcBorders>
              <w:top w:val="nil"/>
              <w:left w:val="nil"/>
              <w:bottom w:val="nil"/>
              <w:right w:val="nil"/>
            </w:tcBorders>
            <w:vAlign w:val="center"/>
          </w:tcPr>
          <w:p w14:paraId="04576551">
            <w:pPr>
              <w:spacing w:line="560" w:lineRule="exact"/>
              <w:jc w:val="center"/>
              <w:rPr>
                <w:rFonts w:hint="eastAsia" w:ascii="仿宋_GB2312" w:hAnsi="微软雅黑" w:eastAsia="仿宋_GB2312"/>
                <w:color w:val="000000"/>
                <w:sz w:val="30"/>
                <w:szCs w:val="30"/>
                <w:vertAlign w:val="baseline"/>
                <w:lang w:val="en-US" w:eastAsia="zh-CN"/>
              </w:rPr>
            </w:pPr>
          </w:p>
        </w:tc>
        <w:tc>
          <w:tcPr>
            <w:tcW w:w="946" w:type="dxa"/>
            <w:tcBorders>
              <w:top w:val="nil"/>
              <w:left w:val="nil"/>
              <w:bottom w:val="nil"/>
              <w:right w:val="single" w:color="auto" w:sz="4" w:space="0"/>
            </w:tcBorders>
            <w:vAlign w:val="center"/>
          </w:tcPr>
          <w:p w14:paraId="6D9EBD19">
            <w:pPr>
              <w:spacing w:line="560" w:lineRule="exact"/>
              <w:jc w:val="center"/>
              <w:rPr>
                <w:rFonts w:hint="eastAsia" w:ascii="仿宋_GB2312" w:hAnsi="微软雅黑" w:eastAsia="仿宋_GB2312"/>
                <w:color w:val="000000"/>
                <w:sz w:val="30"/>
                <w:szCs w:val="30"/>
                <w:vertAlign w:val="baseline"/>
                <w:lang w:val="en-US" w:eastAsia="zh-CN"/>
              </w:rPr>
            </w:pPr>
          </w:p>
        </w:tc>
      </w:tr>
      <w:tr w14:paraId="55CBC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9" w:type="dxa"/>
          </w:tcPr>
          <w:p w14:paraId="482A7309">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中文核心期刊</w:t>
            </w:r>
          </w:p>
        </w:tc>
        <w:tc>
          <w:tcPr>
            <w:tcW w:w="1176" w:type="dxa"/>
            <w:vAlign w:val="center"/>
          </w:tcPr>
          <w:p w14:paraId="157580E6">
            <w:pPr>
              <w:spacing w:line="560" w:lineRule="exact"/>
              <w:jc w:val="center"/>
              <w:rPr>
                <w:rFonts w:hint="default" w:ascii="仿宋_GB2312" w:hAnsi="微软雅黑" w:eastAsia="仿宋_GB2312"/>
                <w:b/>
                <w:bCs/>
                <w:color w:val="000000"/>
                <w:sz w:val="30"/>
                <w:szCs w:val="30"/>
                <w:vertAlign w:val="baseline"/>
                <w:lang w:val="en-US" w:eastAsia="zh-CN"/>
              </w:rPr>
            </w:pPr>
            <w:r>
              <w:rPr>
                <w:rFonts w:hint="eastAsia" w:ascii="仿宋_GB2312" w:hAnsi="微软雅黑" w:eastAsia="仿宋_GB2312"/>
                <w:b/>
                <w:bCs/>
                <w:color w:val="000000"/>
                <w:sz w:val="30"/>
                <w:szCs w:val="30"/>
                <w:vertAlign w:val="baseline"/>
                <w:lang w:val="en-US" w:eastAsia="zh-CN"/>
              </w:rPr>
              <w:t>3</w:t>
            </w:r>
          </w:p>
        </w:tc>
        <w:tc>
          <w:tcPr>
            <w:tcW w:w="943" w:type="dxa"/>
            <w:tcBorders>
              <w:bottom w:val="single" w:color="auto" w:sz="4" w:space="0"/>
            </w:tcBorders>
            <w:vAlign w:val="center"/>
          </w:tcPr>
          <w:p w14:paraId="38CFF57E">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w:t>
            </w:r>
          </w:p>
        </w:tc>
        <w:tc>
          <w:tcPr>
            <w:tcW w:w="943" w:type="dxa"/>
            <w:tcBorders>
              <w:bottom w:val="single" w:color="auto" w:sz="4" w:space="0"/>
              <w:right w:val="single" w:color="auto" w:sz="4" w:space="0"/>
            </w:tcBorders>
            <w:vAlign w:val="center"/>
          </w:tcPr>
          <w:p w14:paraId="04AD16EE">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1.2</w:t>
            </w:r>
          </w:p>
        </w:tc>
        <w:tc>
          <w:tcPr>
            <w:tcW w:w="943" w:type="dxa"/>
            <w:tcBorders>
              <w:top w:val="nil"/>
              <w:left w:val="single" w:color="auto" w:sz="4" w:space="0"/>
              <w:bottom w:val="nil"/>
              <w:right w:val="nil"/>
            </w:tcBorders>
            <w:vAlign w:val="center"/>
          </w:tcPr>
          <w:p w14:paraId="253251FA">
            <w:pPr>
              <w:spacing w:line="560" w:lineRule="exact"/>
              <w:jc w:val="center"/>
              <w:rPr>
                <w:rFonts w:hint="eastAsia" w:ascii="仿宋_GB2312" w:hAnsi="微软雅黑" w:eastAsia="仿宋_GB2312"/>
                <w:color w:val="000000"/>
                <w:sz w:val="30"/>
                <w:szCs w:val="30"/>
                <w:vertAlign w:val="baseline"/>
                <w:lang w:val="en-US" w:eastAsia="zh-CN"/>
              </w:rPr>
            </w:pPr>
          </w:p>
        </w:tc>
        <w:tc>
          <w:tcPr>
            <w:tcW w:w="943" w:type="dxa"/>
            <w:tcBorders>
              <w:top w:val="nil"/>
              <w:left w:val="nil"/>
              <w:bottom w:val="nil"/>
              <w:right w:val="nil"/>
            </w:tcBorders>
            <w:vAlign w:val="center"/>
          </w:tcPr>
          <w:p w14:paraId="60CB3774">
            <w:pPr>
              <w:spacing w:line="560" w:lineRule="exact"/>
              <w:jc w:val="center"/>
              <w:rPr>
                <w:rFonts w:hint="eastAsia" w:ascii="仿宋_GB2312" w:hAnsi="微软雅黑" w:eastAsia="仿宋_GB2312"/>
                <w:color w:val="000000"/>
                <w:sz w:val="30"/>
                <w:szCs w:val="30"/>
                <w:vertAlign w:val="baseline"/>
                <w:lang w:val="en-US" w:eastAsia="zh-CN"/>
              </w:rPr>
            </w:pPr>
          </w:p>
        </w:tc>
        <w:tc>
          <w:tcPr>
            <w:tcW w:w="943" w:type="dxa"/>
            <w:tcBorders>
              <w:top w:val="nil"/>
              <w:left w:val="nil"/>
              <w:bottom w:val="nil"/>
              <w:right w:val="nil"/>
            </w:tcBorders>
            <w:vAlign w:val="center"/>
          </w:tcPr>
          <w:p w14:paraId="77A3CDE5">
            <w:pPr>
              <w:spacing w:line="560" w:lineRule="exact"/>
              <w:jc w:val="center"/>
              <w:rPr>
                <w:rFonts w:hint="eastAsia" w:ascii="仿宋_GB2312" w:hAnsi="微软雅黑" w:eastAsia="仿宋_GB2312"/>
                <w:color w:val="000000"/>
                <w:sz w:val="30"/>
                <w:szCs w:val="30"/>
                <w:vertAlign w:val="baseline"/>
                <w:lang w:val="en-US" w:eastAsia="zh-CN"/>
              </w:rPr>
            </w:pPr>
          </w:p>
        </w:tc>
        <w:tc>
          <w:tcPr>
            <w:tcW w:w="946" w:type="dxa"/>
            <w:tcBorders>
              <w:top w:val="nil"/>
              <w:left w:val="nil"/>
              <w:bottom w:val="nil"/>
              <w:right w:val="single" w:color="auto" w:sz="4" w:space="0"/>
            </w:tcBorders>
            <w:vAlign w:val="center"/>
          </w:tcPr>
          <w:p w14:paraId="33FE677B">
            <w:pPr>
              <w:spacing w:line="560" w:lineRule="exact"/>
              <w:jc w:val="center"/>
              <w:rPr>
                <w:rFonts w:hint="eastAsia" w:ascii="仿宋_GB2312" w:hAnsi="微软雅黑" w:eastAsia="仿宋_GB2312"/>
                <w:color w:val="000000"/>
                <w:sz w:val="30"/>
                <w:szCs w:val="30"/>
                <w:vertAlign w:val="baseline"/>
                <w:lang w:val="en-US" w:eastAsia="zh-CN"/>
              </w:rPr>
            </w:pPr>
          </w:p>
        </w:tc>
      </w:tr>
      <w:tr w14:paraId="6152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9" w:type="dxa"/>
          </w:tcPr>
          <w:p w14:paraId="61C33A52">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其他公开刊物（有正式刊号）</w:t>
            </w:r>
          </w:p>
        </w:tc>
        <w:tc>
          <w:tcPr>
            <w:tcW w:w="1176" w:type="dxa"/>
            <w:vAlign w:val="center"/>
          </w:tcPr>
          <w:p w14:paraId="5F6BA13B">
            <w:pPr>
              <w:spacing w:line="560" w:lineRule="exact"/>
              <w:jc w:val="center"/>
              <w:rPr>
                <w:rFonts w:hint="default" w:ascii="仿宋_GB2312" w:hAnsi="微软雅黑" w:eastAsia="仿宋_GB2312"/>
                <w:b/>
                <w:bCs/>
                <w:color w:val="000000"/>
                <w:sz w:val="30"/>
                <w:szCs w:val="30"/>
                <w:vertAlign w:val="baseline"/>
                <w:lang w:val="en-US" w:eastAsia="zh-CN"/>
              </w:rPr>
            </w:pPr>
            <w:r>
              <w:rPr>
                <w:rFonts w:hint="eastAsia" w:ascii="仿宋_GB2312" w:hAnsi="微软雅黑" w:eastAsia="仿宋_GB2312"/>
                <w:b/>
                <w:bCs/>
                <w:color w:val="000000"/>
                <w:sz w:val="30"/>
                <w:szCs w:val="30"/>
                <w:vertAlign w:val="baseline"/>
                <w:lang w:val="en-US" w:eastAsia="zh-CN"/>
              </w:rPr>
              <w:t>1</w:t>
            </w:r>
          </w:p>
        </w:tc>
        <w:tc>
          <w:tcPr>
            <w:tcW w:w="943" w:type="dxa"/>
            <w:tcBorders>
              <w:top w:val="single" w:color="auto" w:sz="4" w:space="0"/>
              <w:bottom w:val="single" w:color="auto" w:sz="4" w:space="0"/>
              <w:right w:val="single" w:color="auto" w:sz="4" w:space="0"/>
            </w:tcBorders>
            <w:vAlign w:val="center"/>
          </w:tcPr>
          <w:p w14:paraId="75975169">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w:t>
            </w:r>
          </w:p>
        </w:tc>
        <w:tc>
          <w:tcPr>
            <w:tcW w:w="943" w:type="dxa"/>
            <w:tcBorders>
              <w:top w:val="single" w:color="auto" w:sz="4" w:space="0"/>
              <w:left w:val="single" w:color="auto" w:sz="4" w:space="0"/>
              <w:bottom w:val="single" w:color="auto" w:sz="4" w:space="0"/>
              <w:right w:val="nil"/>
            </w:tcBorders>
            <w:vAlign w:val="center"/>
          </w:tcPr>
          <w:p w14:paraId="786CF43B">
            <w:pPr>
              <w:spacing w:line="560" w:lineRule="exact"/>
              <w:jc w:val="center"/>
              <w:rPr>
                <w:rFonts w:hint="eastAsia" w:ascii="仿宋_GB2312" w:hAnsi="微软雅黑" w:eastAsia="仿宋_GB2312"/>
                <w:color w:val="000000"/>
                <w:sz w:val="30"/>
                <w:szCs w:val="30"/>
                <w:vertAlign w:val="baseline"/>
                <w:lang w:val="en-US" w:eastAsia="zh-CN"/>
              </w:rPr>
            </w:pPr>
          </w:p>
        </w:tc>
        <w:tc>
          <w:tcPr>
            <w:tcW w:w="943" w:type="dxa"/>
            <w:tcBorders>
              <w:top w:val="nil"/>
              <w:left w:val="nil"/>
              <w:bottom w:val="nil"/>
              <w:right w:val="nil"/>
            </w:tcBorders>
            <w:vAlign w:val="center"/>
          </w:tcPr>
          <w:p w14:paraId="6A16EE6F">
            <w:pPr>
              <w:spacing w:line="560" w:lineRule="exact"/>
              <w:jc w:val="center"/>
              <w:rPr>
                <w:rFonts w:hint="eastAsia" w:ascii="仿宋_GB2312" w:hAnsi="微软雅黑" w:eastAsia="仿宋_GB2312"/>
                <w:color w:val="000000"/>
                <w:sz w:val="30"/>
                <w:szCs w:val="30"/>
                <w:vertAlign w:val="baseline"/>
                <w:lang w:val="en-US" w:eastAsia="zh-CN"/>
              </w:rPr>
            </w:pPr>
          </w:p>
        </w:tc>
        <w:tc>
          <w:tcPr>
            <w:tcW w:w="943" w:type="dxa"/>
            <w:tcBorders>
              <w:top w:val="nil"/>
              <w:left w:val="nil"/>
              <w:bottom w:val="nil"/>
              <w:right w:val="nil"/>
            </w:tcBorders>
            <w:vAlign w:val="center"/>
          </w:tcPr>
          <w:p w14:paraId="70A0EB64">
            <w:pPr>
              <w:spacing w:line="560" w:lineRule="exact"/>
              <w:jc w:val="center"/>
              <w:rPr>
                <w:rFonts w:hint="eastAsia" w:ascii="仿宋_GB2312" w:hAnsi="微软雅黑" w:eastAsia="仿宋_GB2312"/>
                <w:color w:val="000000"/>
                <w:sz w:val="30"/>
                <w:szCs w:val="30"/>
                <w:vertAlign w:val="baseline"/>
                <w:lang w:val="en-US" w:eastAsia="zh-CN"/>
              </w:rPr>
            </w:pPr>
          </w:p>
        </w:tc>
        <w:tc>
          <w:tcPr>
            <w:tcW w:w="943" w:type="dxa"/>
            <w:tcBorders>
              <w:top w:val="nil"/>
              <w:left w:val="nil"/>
              <w:bottom w:val="nil"/>
              <w:right w:val="nil"/>
            </w:tcBorders>
            <w:vAlign w:val="center"/>
          </w:tcPr>
          <w:p w14:paraId="6C14B155">
            <w:pPr>
              <w:spacing w:line="560" w:lineRule="exact"/>
              <w:jc w:val="center"/>
              <w:rPr>
                <w:rFonts w:hint="eastAsia" w:ascii="仿宋_GB2312" w:hAnsi="微软雅黑" w:eastAsia="仿宋_GB2312"/>
                <w:color w:val="000000"/>
                <w:sz w:val="30"/>
                <w:szCs w:val="30"/>
                <w:vertAlign w:val="baseline"/>
                <w:lang w:val="en-US" w:eastAsia="zh-CN"/>
              </w:rPr>
            </w:pPr>
          </w:p>
        </w:tc>
        <w:tc>
          <w:tcPr>
            <w:tcW w:w="946" w:type="dxa"/>
            <w:tcBorders>
              <w:top w:val="nil"/>
              <w:left w:val="nil"/>
              <w:bottom w:val="nil"/>
              <w:right w:val="single" w:color="auto" w:sz="4" w:space="0"/>
            </w:tcBorders>
            <w:vAlign w:val="center"/>
          </w:tcPr>
          <w:p w14:paraId="684B5481">
            <w:pPr>
              <w:spacing w:line="560" w:lineRule="exact"/>
              <w:jc w:val="center"/>
              <w:rPr>
                <w:rFonts w:hint="eastAsia" w:ascii="仿宋_GB2312" w:hAnsi="微软雅黑" w:eastAsia="仿宋_GB2312"/>
                <w:color w:val="000000"/>
                <w:sz w:val="30"/>
                <w:szCs w:val="30"/>
                <w:vertAlign w:val="baseline"/>
                <w:lang w:val="en-US" w:eastAsia="zh-CN"/>
              </w:rPr>
            </w:pPr>
          </w:p>
        </w:tc>
      </w:tr>
      <w:tr w14:paraId="2A23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9" w:type="dxa"/>
          </w:tcPr>
          <w:p w14:paraId="1EEBD09E">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国家发明专利</w:t>
            </w:r>
          </w:p>
        </w:tc>
        <w:tc>
          <w:tcPr>
            <w:tcW w:w="1176" w:type="dxa"/>
            <w:vAlign w:val="center"/>
          </w:tcPr>
          <w:p w14:paraId="7EE56C29">
            <w:pPr>
              <w:spacing w:line="560" w:lineRule="exact"/>
              <w:jc w:val="center"/>
              <w:rPr>
                <w:rFonts w:hint="default" w:ascii="仿宋_GB2312" w:hAnsi="微软雅黑" w:eastAsia="仿宋_GB2312"/>
                <w:b/>
                <w:bCs/>
                <w:color w:val="000000"/>
                <w:sz w:val="30"/>
                <w:szCs w:val="30"/>
                <w:vertAlign w:val="baseline"/>
                <w:lang w:val="en-US" w:eastAsia="zh-CN"/>
              </w:rPr>
            </w:pPr>
            <w:r>
              <w:rPr>
                <w:rFonts w:hint="eastAsia" w:ascii="仿宋_GB2312" w:hAnsi="微软雅黑" w:eastAsia="仿宋_GB2312"/>
                <w:b/>
                <w:bCs/>
                <w:color w:val="000000"/>
                <w:sz w:val="30"/>
                <w:szCs w:val="30"/>
                <w:vertAlign w:val="baseline"/>
                <w:lang w:val="en-US" w:eastAsia="zh-CN"/>
              </w:rPr>
              <w:t>10</w:t>
            </w:r>
          </w:p>
        </w:tc>
        <w:tc>
          <w:tcPr>
            <w:tcW w:w="943" w:type="dxa"/>
            <w:tcBorders>
              <w:top w:val="single" w:color="auto" w:sz="4" w:space="0"/>
            </w:tcBorders>
            <w:vAlign w:val="center"/>
          </w:tcPr>
          <w:p w14:paraId="2751014F">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w:t>
            </w:r>
          </w:p>
        </w:tc>
        <w:tc>
          <w:tcPr>
            <w:tcW w:w="943" w:type="dxa"/>
            <w:tcBorders>
              <w:top w:val="single" w:color="auto" w:sz="4" w:space="0"/>
              <w:right w:val="single" w:color="auto" w:sz="4" w:space="0"/>
            </w:tcBorders>
            <w:vAlign w:val="center"/>
          </w:tcPr>
          <w:p w14:paraId="7E691EA4">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4</w:t>
            </w:r>
          </w:p>
        </w:tc>
        <w:tc>
          <w:tcPr>
            <w:tcW w:w="943" w:type="dxa"/>
            <w:tcBorders>
              <w:top w:val="nil"/>
              <w:left w:val="single" w:color="auto" w:sz="4" w:space="0"/>
              <w:bottom w:val="single" w:color="auto" w:sz="4" w:space="0"/>
              <w:right w:val="nil"/>
            </w:tcBorders>
            <w:vAlign w:val="center"/>
          </w:tcPr>
          <w:p w14:paraId="38806E18">
            <w:pPr>
              <w:spacing w:line="560" w:lineRule="exact"/>
              <w:jc w:val="center"/>
              <w:rPr>
                <w:rFonts w:hint="eastAsia" w:ascii="仿宋_GB2312" w:hAnsi="微软雅黑" w:eastAsia="仿宋_GB2312"/>
                <w:color w:val="000000"/>
                <w:sz w:val="30"/>
                <w:szCs w:val="30"/>
                <w:vertAlign w:val="baseline"/>
                <w:lang w:val="en-US" w:eastAsia="zh-CN"/>
              </w:rPr>
            </w:pPr>
          </w:p>
        </w:tc>
        <w:tc>
          <w:tcPr>
            <w:tcW w:w="943" w:type="dxa"/>
            <w:tcBorders>
              <w:top w:val="nil"/>
              <w:left w:val="nil"/>
              <w:bottom w:val="single" w:color="auto" w:sz="4" w:space="0"/>
              <w:right w:val="nil"/>
            </w:tcBorders>
            <w:vAlign w:val="center"/>
          </w:tcPr>
          <w:p w14:paraId="62F7FCF7">
            <w:pPr>
              <w:spacing w:line="560" w:lineRule="exact"/>
              <w:jc w:val="center"/>
              <w:rPr>
                <w:rFonts w:hint="eastAsia" w:ascii="仿宋_GB2312" w:hAnsi="微软雅黑" w:eastAsia="仿宋_GB2312"/>
                <w:color w:val="000000"/>
                <w:sz w:val="30"/>
                <w:szCs w:val="30"/>
                <w:vertAlign w:val="baseline"/>
                <w:lang w:val="en-US" w:eastAsia="zh-CN"/>
              </w:rPr>
            </w:pPr>
          </w:p>
        </w:tc>
        <w:tc>
          <w:tcPr>
            <w:tcW w:w="943" w:type="dxa"/>
            <w:tcBorders>
              <w:top w:val="nil"/>
              <w:left w:val="nil"/>
              <w:bottom w:val="single" w:color="auto" w:sz="4" w:space="0"/>
              <w:right w:val="nil"/>
            </w:tcBorders>
            <w:vAlign w:val="center"/>
          </w:tcPr>
          <w:p w14:paraId="26DA27CD">
            <w:pPr>
              <w:spacing w:line="560" w:lineRule="exact"/>
              <w:jc w:val="center"/>
              <w:rPr>
                <w:rFonts w:hint="eastAsia" w:ascii="仿宋_GB2312" w:hAnsi="微软雅黑" w:eastAsia="仿宋_GB2312"/>
                <w:color w:val="000000"/>
                <w:sz w:val="30"/>
                <w:szCs w:val="30"/>
                <w:vertAlign w:val="baseline"/>
                <w:lang w:val="en-US" w:eastAsia="zh-CN"/>
              </w:rPr>
            </w:pPr>
          </w:p>
        </w:tc>
        <w:tc>
          <w:tcPr>
            <w:tcW w:w="946" w:type="dxa"/>
            <w:tcBorders>
              <w:top w:val="nil"/>
              <w:left w:val="nil"/>
              <w:bottom w:val="single" w:color="auto" w:sz="4" w:space="0"/>
              <w:right w:val="single" w:color="auto" w:sz="4" w:space="0"/>
            </w:tcBorders>
            <w:vAlign w:val="center"/>
          </w:tcPr>
          <w:p w14:paraId="5ADB4D5B">
            <w:pPr>
              <w:spacing w:line="560" w:lineRule="exact"/>
              <w:jc w:val="center"/>
              <w:rPr>
                <w:rFonts w:hint="eastAsia" w:ascii="仿宋_GB2312" w:hAnsi="微软雅黑" w:eastAsia="仿宋_GB2312"/>
                <w:color w:val="000000"/>
                <w:sz w:val="30"/>
                <w:szCs w:val="30"/>
                <w:vertAlign w:val="baseline"/>
                <w:lang w:val="en-US" w:eastAsia="zh-CN"/>
              </w:rPr>
            </w:pPr>
          </w:p>
        </w:tc>
      </w:tr>
    </w:tbl>
    <w:p w14:paraId="4CA07F24">
      <w:pPr>
        <w:bidi w:val="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注：空白处均不加分；文章中排第一的为第一作者，依次往后。</w:t>
      </w:r>
    </w:p>
    <w:p w14:paraId="3ECA81A3">
      <w:pPr>
        <w:bidi w:val="0"/>
        <w:jc w:val="both"/>
        <w:rPr>
          <w:rFonts w:hint="eastAsia" w:ascii="仿宋" w:hAnsi="仿宋" w:eastAsia="仿宋" w:cs="仿宋"/>
          <w:sz w:val="32"/>
          <w:szCs w:val="32"/>
          <w:lang w:val="en-US" w:eastAsia="zh-CN"/>
        </w:rPr>
      </w:pPr>
    </w:p>
    <w:p w14:paraId="6819EE1E">
      <w:pPr>
        <w:bidi w:val="0"/>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（2）在学术会议上宣读并发表与本人所学专业有关的学术论文（</w:t>
      </w:r>
      <w:r>
        <w:rPr>
          <w:rFonts w:hint="eastAsia" w:ascii="仿宋" w:hAnsi="仿宋" w:eastAsia="仿宋" w:cs="仿宋"/>
          <w:b/>
          <w:bCs/>
          <w:color w:val="FF0000"/>
          <w:sz w:val="32"/>
          <w:szCs w:val="32"/>
          <w:lang w:val="en-US" w:eastAsia="zh-CN"/>
        </w:rPr>
        <w:t>仅认除去导师后，排名为第一作者的学生</w:t>
      </w:r>
      <w:r>
        <w:rPr>
          <w:rFonts w:hint="eastAsia" w:ascii="仿宋" w:hAnsi="仿宋" w:eastAsia="仿宋" w:cs="仿宋"/>
          <w:sz w:val="32"/>
          <w:szCs w:val="32"/>
          <w:lang w:val="en-US" w:eastAsia="zh-CN"/>
        </w:rPr>
        <w:t>），根据学术会议级别，分成三档加分；发表论文摘要，按本规定的1/4加分。会议级别以当年下发的国际会议名录为准。学生应提供会议论文集或会议主办方提供的宣读证明。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5"/>
        <w:gridCol w:w="2266"/>
      </w:tblGrid>
      <w:tr w14:paraId="0E17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498E1021">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会议级别</w:t>
            </w:r>
          </w:p>
        </w:tc>
        <w:tc>
          <w:tcPr>
            <w:tcW w:w="2265" w:type="dxa"/>
            <w:vAlign w:val="center"/>
          </w:tcPr>
          <w:p w14:paraId="5FD603EF">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国际重要会议</w:t>
            </w:r>
          </w:p>
        </w:tc>
        <w:tc>
          <w:tcPr>
            <w:tcW w:w="2265" w:type="dxa"/>
            <w:vAlign w:val="center"/>
          </w:tcPr>
          <w:p w14:paraId="678339E3">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国际一般会议</w:t>
            </w:r>
          </w:p>
        </w:tc>
        <w:tc>
          <w:tcPr>
            <w:tcW w:w="2266" w:type="dxa"/>
            <w:vAlign w:val="center"/>
          </w:tcPr>
          <w:p w14:paraId="036C8D31">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国内会议</w:t>
            </w:r>
          </w:p>
        </w:tc>
      </w:tr>
      <w:tr w14:paraId="0921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3EA47109">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加分</w:t>
            </w:r>
          </w:p>
        </w:tc>
        <w:tc>
          <w:tcPr>
            <w:tcW w:w="2265" w:type="dxa"/>
            <w:vAlign w:val="center"/>
          </w:tcPr>
          <w:p w14:paraId="02996F2C">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5</w:t>
            </w:r>
          </w:p>
        </w:tc>
        <w:tc>
          <w:tcPr>
            <w:tcW w:w="2265" w:type="dxa"/>
            <w:vAlign w:val="center"/>
          </w:tcPr>
          <w:p w14:paraId="4105BF7F">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3</w:t>
            </w:r>
          </w:p>
        </w:tc>
        <w:tc>
          <w:tcPr>
            <w:tcW w:w="2266" w:type="dxa"/>
            <w:vAlign w:val="center"/>
          </w:tcPr>
          <w:p w14:paraId="0C8D8499">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1</w:t>
            </w:r>
          </w:p>
        </w:tc>
      </w:tr>
    </w:tbl>
    <w:p w14:paraId="259DC595">
      <w:pPr>
        <w:numPr>
          <w:ilvl w:val="0"/>
          <w:numId w:val="0"/>
        </w:numPr>
        <w:bidi w:val="0"/>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（3）参加学科竞赛及大学生科技活动取得各级奖励者按下表加分：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534"/>
        <w:gridCol w:w="1615"/>
        <w:gridCol w:w="1615"/>
        <w:gridCol w:w="1615"/>
        <w:gridCol w:w="1617"/>
      </w:tblGrid>
      <w:tr w14:paraId="76AF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2599" w:type="dxa"/>
            <w:gridSpan w:val="2"/>
            <w:tcBorders>
              <w:tl2br w:val="single" w:color="auto" w:sz="4" w:space="0"/>
            </w:tcBorders>
            <w:vAlign w:val="center"/>
          </w:tcPr>
          <w:p w14:paraId="77B2C05B">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 xml:space="preserve">       分值</w:t>
            </w:r>
          </w:p>
          <w:p w14:paraId="705E5992">
            <w:pPr>
              <w:spacing w:line="560" w:lineRule="exact"/>
              <w:ind w:firstLine="300" w:firstLineChars="100"/>
              <w:jc w:val="left"/>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级别</w:t>
            </w:r>
          </w:p>
        </w:tc>
        <w:tc>
          <w:tcPr>
            <w:tcW w:w="1615" w:type="dxa"/>
            <w:tcBorders>
              <w:tl2br w:val="nil"/>
              <w:tr2bl w:val="nil"/>
            </w:tcBorders>
            <w:vAlign w:val="center"/>
          </w:tcPr>
          <w:p w14:paraId="6AC706DC">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1档</w:t>
            </w:r>
          </w:p>
        </w:tc>
        <w:tc>
          <w:tcPr>
            <w:tcW w:w="1615" w:type="dxa"/>
            <w:tcBorders>
              <w:tl2br w:val="nil"/>
              <w:tr2bl w:val="nil"/>
            </w:tcBorders>
            <w:vAlign w:val="center"/>
          </w:tcPr>
          <w:p w14:paraId="1850B807">
            <w:pPr>
              <w:spacing w:line="560" w:lineRule="exact"/>
              <w:jc w:val="center"/>
              <w:rPr>
                <w:rFonts w:hint="default" w:ascii="仿宋_GB2312" w:hAnsi="微软雅黑" w:eastAsia="仿宋_GB2312"/>
                <w:color w:val="000000"/>
                <w:sz w:val="30"/>
                <w:szCs w:val="30"/>
                <w:vertAlign w:val="baseline"/>
                <w:lang w:val="en-US"/>
              </w:rPr>
            </w:pPr>
            <w:r>
              <w:rPr>
                <w:rFonts w:hint="eastAsia" w:ascii="仿宋_GB2312" w:hAnsi="微软雅黑" w:eastAsia="仿宋_GB2312"/>
                <w:color w:val="000000"/>
                <w:sz w:val="30"/>
                <w:szCs w:val="30"/>
                <w:vertAlign w:val="baseline"/>
                <w:lang w:val="en-US" w:eastAsia="zh-CN"/>
              </w:rPr>
              <w:t>2档</w:t>
            </w:r>
          </w:p>
        </w:tc>
        <w:tc>
          <w:tcPr>
            <w:tcW w:w="1615" w:type="dxa"/>
            <w:tcBorders>
              <w:tl2br w:val="nil"/>
              <w:tr2bl w:val="nil"/>
            </w:tcBorders>
            <w:vAlign w:val="center"/>
          </w:tcPr>
          <w:p w14:paraId="1F402A4F">
            <w:pPr>
              <w:spacing w:line="560" w:lineRule="exact"/>
              <w:jc w:val="center"/>
              <w:rPr>
                <w:rFonts w:hint="default" w:ascii="仿宋_GB2312" w:hAnsi="微软雅黑" w:eastAsia="仿宋_GB2312"/>
                <w:color w:val="000000"/>
                <w:sz w:val="30"/>
                <w:szCs w:val="30"/>
                <w:vertAlign w:val="baseline"/>
                <w:lang w:val="en-US"/>
              </w:rPr>
            </w:pPr>
            <w:r>
              <w:rPr>
                <w:rFonts w:hint="eastAsia" w:ascii="仿宋_GB2312" w:hAnsi="微软雅黑" w:eastAsia="仿宋_GB2312"/>
                <w:color w:val="000000"/>
                <w:sz w:val="30"/>
                <w:szCs w:val="30"/>
                <w:vertAlign w:val="baseline"/>
                <w:lang w:val="en-US" w:eastAsia="zh-CN"/>
              </w:rPr>
              <w:t>3档</w:t>
            </w:r>
          </w:p>
        </w:tc>
        <w:tc>
          <w:tcPr>
            <w:tcW w:w="1617" w:type="dxa"/>
            <w:tcBorders>
              <w:tl2br w:val="nil"/>
              <w:tr2bl w:val="nil"/>
            </w:tcBorders>
            <w:vAlign w:val="center"/>
          </w:tcPr>
          <w:p w14:paraId="046931A9">
            <w:pPr>
              <w:spacing w:line="560" w:lineRule="exact"/>
              <w:jc w:val="center"/>
              <w:rPr>
                <w:rFonts w:hint="default" w:ascii="仿宋_GB2312" w:hAnsi="微软雅黑" w:eastAsia="仿宋_GB2312"/>
                <w:color w:val="000000"/>
                <w:sz w:val="30"/>
                <w:szCs w:val="30"/>
                <w:vertAlign w:val="baseline"/>
                <w:lang w:val="en-US"/>
              </w:rPr>
            </w:pPr>
            <w:r>
              <w:rPr>
                <w:rFonts w:hint="eastAsia" w:ascii="仿宋_GB2312" w:hAnsi="微软雅黑" w:eastAsia="仿宋_GB2312"/>
                <w:color w:val="000000"/>
                <w:sz w:val="30"/>
                <w:szCs w:val="30"/>
                <w:vertAlign w:val="baseline"/>
                <w:lang w:val="en-US" w:eastAsia="zh-CN"/>
              </w:rPr>
              <w:t>4档</w:t>
            </w:r>
          </w:p>
        </w:tc>
      </w:tr>
      <w:tr w14:paraId="2F26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restart"/>
            <w:tcBorders>
              <w:tl2br w:val="nil"/>
              <w:tr2bl w:val="nil"/>
            </w:tcBorders>
            <w:vAlign w:val="center"/>
          </w:tcPr>
          <w:p w14:paraId="1B999E7D">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A类</w:t>
            </w:r>
          </w:p>
        </w:tc>
        <w:tc>
          <w:tcPr>
            <w:tcW w:w="1534" w:type="dxa"/>
            <w:tcBorders>
              <w:tl2br w:val="nil"/>
              <w:tr2bl w:val="nil"/>
            </w:tcBorders>
            <w:vAlign w:val="center"/>
          </w:tcPr>
          <w:p w14:paraId="701C6D87">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国家级</w:t>
            </w:r>
          </w:p>
        </w:tc>
        <w:tc>
          <w:tcPr>
            <w:tcW w:w="1615" w:type="dxa"/>
            <w:tcBorders>
              <w:tl2br w:val="nil"/>
              <w:tr2bl w:val="nil"/>
            </w:tcBorders>
            <w:vAlign w:val="center"/>
          </w:tcPr>
          <w:p w14:paraId="5BD4AD04">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12</w:t>
            </w:r>
          </w:p>
        </w:tc>
        <w:tc>
          <w:tcPr>
            <w:tcW w:w="1615" w:type="dxa"/>
            <w:tcBorders>
              <w:tl2br w:val="nil"/>
              <w:tr2bl w:val="nil"/>
            </w:tcBorders>
            <w:vAlign w:val="center"/>
          </w:tcPr>
          <w:p w14:paraId="0BFCAF70">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10</w:t>
            </w:r>
          </w:p>
        </w:tc>
        <w:tc>
          <w:tcPr>
            <w:tcW w:w="1615" w:type="dxa"/>
            <w:tcBorders>
              <w:tl2br w:val="nil"/>
              <w:tr2bl w:val="nil"/>
            </w:tcBorders>
            <w:vAlign w:val="center"/>
          </w:tcPr>
          <w:p w14:paraId="34970047">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8</w:t>
            </w:r>
          </w:p>
        </w:tc>
        <w:tc>
          <w:tcPr>
            <w:tcW w:w="1617" w:type="dxa"/>
            <w:tcBorders>
              <w:tl2br w:val="nil"/>
              <w:tr2bl w:val="nil"/>
            </w:tcBorders>
            <w:vAlign w:val="center"/>
          </w:tcPr>
          <w:p w14:paraId="290D71E9">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6</w:t>
            </w:r>
          </w:p>
        </w:tc>
      </w:tr>
      <w:tr w14:paraId="375C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Borders>
              <w:tl2br w:val="nil"/>
              <w:tr2bl w:val="nil"/>
            </w:tcBorders>
            <w:vAlign w:val="center"/>
          </w:tcPr>
          <w:p w14:paraId="10AD1DB8">
            <w:pPr>
              <w:spacing w:line="560" w:lineRule="exact"/>
              <w:jc w:val="center"/>
              <w:rPr>
                <w:rFonts w:hint="eastAsia" w:ascii="仿宋_GB2312" w:hAnsi="微软雅黑" w:eastAsia="仿宋_GB2312"/>
                <w:color w:val="000000"/>
                <w:sz w:val="30"/>
                <w:szCs w:val="30"/>
                <w:vertAlign w:val="baseline"/>
              </w:rPr>
            </w:pPr>
          </w:p>
        </w:tc>
        <w:tc>
          <w:tcPr>
            <w:tcW w:w="1534" w:type="dxa"/>
            <w:tcBorders>
              <w:tl2br w:val="nil"/>
              <w:tr2bl w:val="nil"/>
            </w:tcBorders>
            <w:vAlign w:val="center"/>
          </w:tcPr>
          <w:p w14:paraId="587EC3A7">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省部级</w:t>
            </w:r>
          </w:p>
        </w:tc>
        <w:tc>
          <w:tcPr>
            <w:tcW w:w="1615" w:type="dxa"/>
            <w:tcBorders>
              <w:tl2br w:val="nil"/>
              <w:tr2bl w:val="nil"/>
            </w:tcBorders>
            <w:vAlign w:val="center"/>
          </w:tcPr>
          <w:p w14:paraId="0C299A07">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6</w:t>
            </w:r>
          </w:p>
        </w:tc>
        <w:tc>
          <w:tcPr>
            <w:tcW w:w="1615" w:type="dxa"/>
            <w:tcBorders>
              <w:tl2br w:val="nil"/>
              <w:tr2bl w:val="nil"/>
            </w:tcBorders>
            <w:vAlign w:val="center"/>
          </w:tcPr>
          <w:p w14:paraId="219FF52D">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5</w:t>
            </w:r>
          </w:p>
        </w:tc>
        <w:tc>
          <w:tcPr>
            <w:tcW w:w="1615" w:type="dxa"/>
            <w:tcBorders>
              <w:tl2br w:val="nil"/>
              <w:tr2bl w:val="nil"/>
            </w:tcBorders>
            <w:vAlign w:val="center"/>
          </w:tcPr>
          <w:p w14:paraId="30C502B6">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4</w:t>
            </w:r>
          </w:p>
        </w:tc>
        <w:tc>
          <w:tcPr>
            <w:tcW w:w="1617" w:type="dxa"/>
            <w:tcBorders>
              <w:tl2br w:val="nil"/>
              <w:tr2bl w:val="nil"/>
            </w:tcBorders>
            <w:vAlign w:val="center"/>
          </w:tcPr>
          <w:p w14:paraId="48850C90">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3</w:t>
            </w:r>
          </w:p>
        </w:tc>
      </w:tr>
      <w:tr w14:paraId="2B44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restart"/>
            <w:tcBorders>
              <w:tl2br w:val="nil"/>
              <w:tr2bl w:val="nil"/>
            </w:tcBorders>
            <w:vAlign w:val="center"/>
          </w:tcPr>
          <w:p w14:paraId="7E61DDD6">
            <w:pPr>
              <w:spacing w:line="560" w:lineRule="exact"/>
              <w:jc w:val="center"/>
              <w:rPr>
                <w:rFonts w:hint="eastAsia" w:ascii="仿宋_GB2312" w:hAnsi="微软雅黑" w:eastAsia="仿宋_GB2312"/>
                <w:color w:val="000000"/>
                <w:sz w:val="30"/>
                <w:szCs w:val="30"/>
                <w:vertAlign w:val="baseline"/>
              </w:rPr>
            </w:pPr>
            <w:r>
              <w:rPr>
                <w:rFonts w:hint="eastAsia" w:ascii="仿宋_GB2312" w:hAnsi="微软雅黑" w:eastAsia="仿宋_GB2312"/>
                <w:color w:val="000000"/>
                <w:sz w:val="30"/>
                <w:szCs w:val="30"/>
                <w:vertAlign w:val="baseline"/>
                <w:lang w:val="en-US" w:eastAsia="zh-CN"/>
              </w:rPr>
              <w:t>B类</w:t>
            </w:r>
          </w:p>
        </w:tc>
        <w:tc>
          <w:tcPr>
            <w:tcW w:w="1534" w:type="dxa"/>
            <w:tcBorders>
              <w:tl2br w:val="nil"/>
              <w:tr2bl w:val="nil"/>
            </w:tcBorders>
            <w:vAlign w:val="center"/>
          </w:tcPr>
          <w:p w14:paraId="07D9460D">
            <w:pPr>
              <w:spacing w:line="560" w:lineRule="exact"/>
              <w:jc w:val="center"/>
              <w:rPr>
                <w:rFonts w:hint="eastAsia" w:ascii="仿宋_GB2312" w:hAnsi="微软雅黑" w:eastAsia="仿宋_GB2312"/>
                <w:color w:val="000000"/>
                <w:sz w:val="30"/>
                <w:szCs w:val="30"/>
                <w:vertAlign w:val="baseline"/>
              </w:rPr>
            </w:pPr>
            <w:r>
              <w:rPr>
                <w:rFonts w:hint="eastAsia" w:ascii="仿宋_GB2312" w:hAnsi="微软雅黑" w:eastAsia="仿宋_GB2312"/>
                <w:color w:val="000000"/>
                <w:sz w:val="30"/>
                <w:szCs w:val="30"/>
                <w:vertAlign w:val="baseline"/>
                <w:lang w:val="en-US" w:eastAsia="zh-CN"/>
              </w:rPr>
              <w:t>国家级</w:t>
            </w:r>
          </w:p>
        </w:tc>
        <w:tc>
          <w:tcPr>
            <w:tcW w:w="1615" w:type="dxa"/>
            <w:tcBorders>
              <w:tl2br w:val="nil"/>
              <w:tr2bl w:val="nil"/>
            </w:tcBorders>
            <w:vAlign w:val="center"/>
          </w:tcPr>
          <w:p w14:paraId="38A04F5C">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8</w:t>
            </w:r>
          </w:p>
        </w:tc>
        <w:tc>
          <w:tcPr>
            <w:tcW w:w="1615" w:type="dxa"/>
            <w:tcBorders>
              <w:tl2br w:val="nil"/>
              <w:tr2bl w:val="nil"/>
            </w:tcBorders>
            <w:vAlign w:val="center"/>
          </w:tcPr>
          <w:p w14:paraId="0801A5DC">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6</w:t>
            </w:r>
          </w:p>
        </w:tc>
        <w:tc>
          <w:tcPr>
            <w:tcW w:w="1615" w:type="dxa"/>
            <w:tcBorders>
              <w:tl2br w:val="nil"/>
              <w:tr2bl w:val="nil"/>
            </w:tcBorders>
            <w:vAlign w:val="center"/>
          </w:tcPr>
          <w:p w14:paraId="68EC15A7">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4</w:t>
            </w:r>
          </w:p>
        </w:tc>
        <w:tc>
          <w:tcPr>
            <w:tcW w:w="1617" w:type="dxa"/>
            <w:tcBorders>
              <w:tl2br w:val="nil"/>
              <w:tr2bl w:val="nil"/>
            </w:tcBorders>
            <w:vAlign w:val="center"/>
          </w:tcPr>
          <w:p w14:paraId="2D665074">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2</w:t>
            </w:r>
          </w:p>
        </w:tc>
      </w:tr>
      <w:tr w14:paraId="5A63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Borders>
              <w:tl2br w:val="nil"/>
              <w:tr2bl w:val="nil"/>
            </w:tcBorders>
            <w:vAlign w:val="center"/>
          </w:tcPr>
          <w:p w14:paraId="4516AA17">
            <w:pPr>
              <w:spacing w:line="560" w:lineRule="exact"/>
              <w:jc w:val="center"/>
              <w:rPr>
                <w:rFonts w:hint="eastAsia" w:ascii="仿宋_GB2312" w:hAnsi="微软雅黑" w:eastAsia="仿宋_GB2312"/>
                <w:color w:val="000000"/>
                <w:sz w:val="30"/>
                <w:szCs w:val="30"/>
                <w:vertAlign w:val="baseline"/>
              </w:rPr>
            </w:pPr>
          </w:p>
        </w:tc>
        <w:tc>
          <w:tcPr>
            <w:tcW w:w="1534" w:type="dxa"/>
            <w:tcBorders>
              <w:tl2br w:val="nil"/>
              <w:tr2bl w:val="nil"/>
            </w:tcBorders>
            <w:vAlign w:val="center"/>
          </w:tcPr>
          <w:p w14:paraId="6DA8E204">
            <w:pPr>
              <w:spacing w:line="560" w:lineRule="exact"/>
              <w:jc w:val="center"/>
              <w:rPr>
                <w:rFonts w:hint="eastAsia" w:ascii="仿宋_GB2312" w:hAnsi="微软雅黑" w:eastAsia="仿宋_GB2312"/>
                <w:color w:val="000000"/>
                <w:sz w:val="30"/>
                <w:szCs w:val="30"/>
                <w:vertAlign w:val="baseline"/>
              </w:rPr>
            </w:pPr>
            <w:r>
              <w:rPr>
                <w:rFonts w:hint="eastAsia" w:ascii="仿宋_GB2312" w:hAnsi="微软雅黑" w:eastAsia="仿宋_GB2312"/>
                <w:color w:val="000000"/>
                <w:sz w:val="30"/>
                <w:szCs w:val="30"/>
                <w:vertAlign w:val="baseline"/>
                <w:lang w:val="en-US" w:eastAsia="zh-CN"/>
              </w:rPr>
              <w:t>省部级</w:t>
            </w:r>
          </w:p>
        </w:tc>
        <w:tc>
          <w:tcPr>
            <w:tcW w:w="1615" w:type="dxa"/>
            <w:tcBorders>
              <w:tl2br w:val="nil"/>
              <w:tr2bl w:val="nil"/>
            </w:tcBorders>
            <w:vAlign w:val="center"/>
          </w:tcPr>
          <w:p w14:paraId="28FC9C75">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4</w:t>
            </w:r>
          </w:p>
        </w:tc>
        <w:tc>
          <w:tcPr>
            <w:tcW w:w="1615" w:type="dxa"/>
            <w:tcBorders>
              <w:tl2br w:val="nil"/>
              <w:tr2bl w:val="nil"/>
            </w:tcBorders>
            <w:vAlign w:val="center"/>
          </w:tcPr>
          <w:p w14:paraId="4CBD399E">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3</w:t>
            </w:r>
          </w:p>
        </w:tc>
        <w:tc>
          <w:tcPr>
            <w:tcW w:w="1615" w:type="dxa"/>
            <w:tcBorders>
              <w:tl2br w:val="nil"/>
              <w:tr2bl w:val="nil"/>
            </w:tcBorders>
            <w:vAlign w:val="center"/>
          </w:tcPr>
          <w:p w14:paraId="338B9D96">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2</w:t>
            </w:r>
          </w:p>
        </w:tc>
        <w:tc>
          <w:tcPr>
            <w:tcW w:w="1617" w:type="dxa"/>
            <w:tcBorders>
              <w:tl2br w:val="nil"/>
              <w:tr2bl w:val="nil"/>
            </w:tcBorders>
            <w:vAlign w:val="center"/>
          </w:tcPr>
          <w:p w14:paraId="4A00605D">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1</w:t>
            </w:r>
          </w:p>
        </w:tc>
      </w:tr>
      <w:tr w14:paraId="25E8F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restart"/>
            <w:tcBorders>
              <w:tl2br w:val="nil"/>
              <w:tr2bl w:val="nil"/>
            </w:tcBorders>
            <w:vAlign w:val="center"/>
          </w:tcPr>
          <w:p w14:paraId="23AA8497">
            <w:pPr>
              <w:spacing w:line="560" w:lineRule="exact"/>
              <w:jc w:val="center"/>
              <w:rPr>
                <w:rFonts w:hint="eastAsia" w:ascii="仿宋_GB2312" w:hAnsi="微软雅黑" w:eastAsia="仿宋_GB2312"/>
                <w:color w:val="000000"/>
                <w:sz w:val="30"/>
                <w:szCs w:val="30"/>
                <w:vertAlign w:val="baseline"/>
              </w:rPr>
            </w:pPr>
            <w:r>
              <w:rPr>
                <w:rFonts w:hint="eastAsia" w:ascii="仿宋_GB2312" w:hAnsi="微软雅黑" w:eastAsia="仿宋_GB2312"/>
                <w:color w:val="000000"/>
                <w:sz w:val="30"/>
                <w:szCs w:val="30"/>
                <w:vertAlign w:val="baseline"/>
                <w:lang w:val="en-US" w:eastAsia="zh-CN"/>
              </w:rPr>
              <w:t>C类</w:t>
            </w:r>
          </w:p>
        </w:tc>
        <w:tc>
          <w:tcPr>
            <w:tcW w:w="1534" w:type="dxa"/>
            <w:tcBorders>
              <w:tl2br w:val="nil"/>
              <w:tr2bl w:val="nil"/>
            </w:tcBorders>
            <w:vAlign w:val="center"/>
          </w:tcPr>
          <w:p w14:paraId="0BAF6671">
            <w:pPr>
              <w:spacing w:line="560" w:lineRule="exact"/>
              <w:jc w:val="center"/>
              <w:rPr>
                <w:rFonts w:hint="eastAsia" w:ascii="仿宋_GB2312" w:hAnsi="微软雅黑" w:eastAsia="仿宋_GB2312"/>
                <w:color w:val="000000"/>
                <w:sz w:val="30"/>
                <w:szCs w:val="30"/>
                <w:vertAlign w:val="baseline"/>
              </w:rPr>
            </w:pPr>
            <w:r>
              <w:rPr>
                <w:rFonts w:hint="eastAsia" w:ascii="仿宋_GB2312" w:hAnsi="微软雅黑" w:eastAsia="仿宋_GB2312"/>
                <w:color w:val="000000"/>
                <w:sz w:val="30"/>
                <w:szCs w:val="30"/>
                <w:vertAlign w:val="baseline"/>
                <w:lang w:val="en-US" w:eastAsia="zh-CN"/>
              </w:rPr>
              <w:t>国家级</w:t>
            </w:r>
          </w:p>
        </w:tc>
        <w:tc>
          <w:tcPr>
            <w:tcW w:w="1615" w:type="dxa"/>
            <w:tcBorders>
              <w:tl2br w:val="nil"/>
              <w:tr2bl w:val="nil"/>
            </w:tcBorders>
            <w:vAlign w:val="center"/>
          </w:tcPr>
          <w:p w14:paraId="39EE563C">
            <w:pPr>
              <w:spacing w:line="560" w:lineRule="exact"/>
              <w:jc w:val="center"/>
              <w:rPr>
                <w:rFonts w:hint="eastAsia" w:ascii="仿宋_GB2312" w:hAnsi="微软雅黑" w:eastAsia="仿宋_GB2312"/>
                <w:color w:val="000000"/>
                <w:sz w:val="30"/>
                <w:szCs w:val="30"/>
                <w:vertAlign w:val="baseline"/>
              </w:rPr>
            </w:pPr>
            <w:r>
              <w:rPr>
                <w:rFonts w:hint="eastAsia" w:ascii="仿宋_GB2312" w:hAnsi="微软雅黑" w:eastAsia="仿宋_GB2312"/>
                <w:color w:val="000000"/>
                <w:sz w:val="30"/>
                <w:szCs w:val="30"/>
                <w:vertAlign w:val="baseline"/>
                <w:lang w:val="en-US" w:eastAsia="zh-CN"/>
              </w:rPr>
              <w:t>4</w:t>
            </w:r>
          </w:p>
        </w:tc>
        <w:tc>
          <w:tcPr>
            <w:tcW w:w="1615" w:type="dxa"/>
            <w:tcBorders>
              <w:tl2br w:val="nil"/>
              <w:tr2bl w:val="nil"/>
            </w:tcBorders>
            <w:vAlign w:val="center"/>
          </w:tcPr>
          <w:p w14:paraId="303A2FFD">
            <w:pPr>
              <w:spacing w:line="560" w:lineRule="exact"/>
              <w:jc w:val="center"/>
              <w:rPr>
                <w:rFonts w:hint="eastAsia" w:ascii="仿宋_GB2312" w:hAnsi="微软雅黑" w:eastAsia="仿宋_GB2312"/>
                <w:color w:val="000000"/>
                <w:sz w:val="30"/>
                <w:szCs w:val="30"/>
                <w:vertAlign w:val="baseline"/>
              </w:rPr>
            </w:pPr>
            <w:r>
              <w:rPr>
                <w:rFonts w:hint="eastAsia" w:ascii="仿宋_GB2312" w:hAnsi="微软雅黑" w:eastAsia="仿宋_GB2312"/>
                <w:color w:val="000000"/>
                <w:sz w:val="30"/>
                <w:szCs w:val="30"/>
                <w:vertAlign w:val="baseline"/>
                <w:lang w:val="en-US" w:eastAsia="zh-CN"/>
              </w:rPr>
              <w:t>3</w:t>
            </w:r>
          </w:p>
        </w:tc>
        <w:tc>
          <w:tcPr>
            <w:tcW w:w="1615" w:type="dxa"/>
            <w:tcBorders>
              <w:tl2br w:val="nil"/>
              <w:tr2bl w:val="nil"/>
            </w:tcBorders>
            <w:vAlign w:val="center"/>
          </w:tcPr>
          <w:p w14:paraId="7BEBB14E">
            <w:pPr>
              <w:spacing w:line="560" w:lineRule="exact"/>
              <w:jc w:val="center"/>
              <w:rPr>
                <w:rFonts w:hint="eastAsia" w:ascii="仿宋_GB2312" w:hAnsi="微软雅黑" w:eastAsia="仿宋_GB2312"/>
                <w:color w:val="000000"/>
                <w:sz w:val="30"/>
                <w:szCs w:val="30"/>
                <w:vertAlign w:val="baseline"/>
              </w:rPr>
            </w:pPr>
            <w:r>
              <w:rPr>
                <w:rFonts w:hint="eastAsia" w:ascii="仿宋_GB2312" w:hAnsi="微软雅黑" w:eastAsia="仿宋_GB2312"/>
                <w:color w:val="000000"/>
                <w:sz w:val="30"/>
                <w:szCs w:val="30"/>
                <w:vertAlign w:val="baseline"/>
                <w:lang w:val="en-US" w:eastAsia="zh-CN"/>
              </w:rPr>
              <w:t>2</w:t>
            </w:r>
          </w:p>
        </w:tc>
        <w:tc>
          <w:tcPr>
            <w:tcW w:w="1617" w:type="dxa"/>
            <w:tcBorders>
              <w:tl2br w:val="nil"/>
              <w:tr2bl w:val="nil"/>
            </w:tcBorders>
            <w:vAlign w:val="center"/>
          </w:tcPr>
          <w:p w14:paraId="71E4BBFD">
            <w:pPr>
              <w:spacing w:line="560" w:lineRule="exact"/>
              <w:jc w:val="center"/>
              <w:rPr>
                <w:rFonts w:hint="eastAsia" w:ascii="仿宋_GB2312" w:hAnsi="微软雅黑" w:eastAsia="仿宋_GB2312"/>
                <w:color w:val="000000"/>
                <w:sz w:val="30"/>
                <w:szCs w:val="30"/>
                <w:vertAlign w:val="baseline"/>
              </w:rPr>
            </w:pPr>
            <w:r>
              <w:rPr>
                <w:rFonts w:hint="eastAsia" w:ascii="仿宋_GB2312" w:hAnsi="微软雅黑" w:eastAsia="仿宋_GB2312"/>
                <w:color w:val="000000"/>
                <w:sz w:val="30"/>
                <w:szCs w:val="30"/>
                <w:vertAlign w:val="baseline"/>
                <w:lang w:val="en-US" w:eastAsia="zh-CN"/>
              </w:rPr>
              <w:t>1</w:t>
            </w:r>
          </w:p>
        </w:tc>
      </w:tr>
      <w:tr w14:paraId="5F83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Borders>
              <w:tl2br w:val="nil"/>
              <w:tr2bl w:val="nil"/>
            </w:tcBorders>
          </w:tcPr>
          <w:p w14:paraId="2BC6A7E3">
            <w:pPr>
              <w:spacing w:line="560" w:lineRule="exact"/>
              <w:jc w:val="center"/>
              <w:rPr>
                <w:rFonts w:hint="eastAsia" w:ascii="仿宋_GB2312" w:hAnsi="微软雅黑" w:eastAsia="仿宋_GB2312"/>
                <w:color w:val="000000"/>
                <w:sz w:val="30"/>
                <w:szCs w:val="30"/>
                <w:vertAlign w:val="baseline"/>
              </w:rPr>
            </w:pPr>
          </w:p>
        </w:tc>
        <w:tc>
          <w:tcPr>
            <w:tcW w:w="1534" w:type="dxa"/>
            <w:tcBorders>
              <w:tl2br w:val="nil"/>
              <w:tr2bl w:val="nil"/>
            </w:tcBorders>
            <w:vAlign w:val="center"/>
          </w:tcPr>
          <w:p w14:paraId="49BE9160">
            <w:pPr>
              <w:spacing w:line="560" w:lineRule="exact"/>
              <w:jc w:val="center"/>
              <w:rPr>
                <w:rFonts w:hint="eastAsia" w:ascii="仿宋_GB2312" w:hAnsi="微软雅黑" w:eastAsia="仿宋_GB2312"/>
                <w:color w:val="000000"/>
                <w:sz w:val="30"/>
                <w:szCs w:val="30"/>
                <w:vertAlign w:val="baseline"/>
              </w:rPr>
            </w:pPr>
            <w:r>
              <w:rPr>
                <w:rFonts w:hint="eastAsia" w:ascii="仿宋_GB2312" w:hAnsi="微软雅黑" w:eastAsia="仿宋_GB2312"/>
                <w:color w:val="000000"/>
                <w:sz w:val="30"/>
                <w:szCs w:val="30"/>
                <w:vertAlign w:val="baseline"/>
                <w:lang w:val="en-US" w:eastAsia="zh-CN"/>
              </w:rPr>
              <w:t>省部级</w:t>
            </w:r>
          </w:p>
        </w:tc>
        <w:tc>
          <w:tcPr>
            <w:tcW w:w="1615" w:type="dxa"/>
            <w:tcBorders>
              <w:tl2br w:val="nil"/>
              <w:tr2bl w:val="nil"/>
            </w:tcBorders>
            <w:vAlign w:val="center"/>
          </w:tcPr>
          <w:p w14:paraId="053416E4">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2</w:t>
            </w:r>
          </w:p>
        </w:tc>
        <w:tc>
          <w:tcPr>
            <w:tcW w:w="1615" w:type="dxa"/>
            <w:tcBorders>
              <w:tl2br w:val="nil"/>
              <w:tr2bl w:val="nil"/>
            </w:tcBorders>
            <w:vAlign w:val="center"/>
          </w:tcPr>
          <w:p w14:paraId="0855F3B5">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1</w:t>
            </w:r>
          </w:p>
        </w:tc>
        <w:tc>
          <w:tcPr>
            <w:tcW w:w="1615" w:type="dxa"/>
            <w:tcBorders>
              <w:tl2br w:val="nil"/>
              <w:tr2bl w:val="nil"/>
            </w:tcBorders>
            <w:vAlign w:val="center"/>
          </w:tcPr>
          <w:p w14:paraId="1115D2FA">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0.5</w:t>
            </w:r>
          </w:p>
        </w:tc>
        <w:tc>
          <w:tcPr>
            <w:tcW w:w="1617" w:type="dxa"/>
            <w:tcBorders>
              <w:tl2br w:val="nil"/>
              <w:tr2bl w:val="nil"/>
            </w:tcBorders>
            <w:vAlign w:val="center"/>
          </w:tcPr>
          <w:p w14:paraId="68563C7C">
            <w:pPr>
              <w:spacing w:line="560" w:lineRule="exact"/>
              <w:jc w:val="center"/>
              <w:rPr>
                <w:rFonts w:hint="eastAsia" w:ascii="仿宋_GB2312" w:hAnsi="微软雅黑" w:eastAsia="仿宋_GB2312"/>
                <w:color w:val="000000"/>
                <w:sz w:val="30"/>
                <w:szCs w:val="30"/>
                <w:vertAlign w:val="baseline"/>
                <w:lang w:eastAsia="zh-CN"/>
              </w:rPr>
            </w:pPr>
            <w:r>
              <w:rPr>
                <w:rFonts w:hint="eastAsia" w:ascii="仿宋_GB2312" w:hAnsi="微软雅黑" w:eastAsia="仿宋_GB2312"/>
                <w:color w:val="000000"/>
                <w:sz w:val="30"/>
                <w:szCs w:val="30"/>
                <w:vertAlign w:val="baseline"/>
                <w:lang w:eastAsia="zh-CN"/>
              </w:rPr>
              <w:t>——</w:t>
            </w:r>
          </w:p>
        </w:tc>
      </w:tr>
      <w:tr w14:paraId="6B55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9" w:type="dxa"/>
            <w:gridSpan w:val="2"/>
            <w:tcBorders>
              <w:tl2br w:val="nil"/>
              <w:tr2bl w:val="nil"/>
            </w:tcBorders>
          </w:tcPr>
          <w:p w14:paraId="283CA4A0">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D类</w:t>
            </w:r>
          </w:p>
        </w:tc>
        <w:tc>
          <w:tcPr>
            <w:tcW w:w="1615" w:type="dxa"/>
            <w:tcBorders>
              <w:tl2br w:val="nil"/>
              <w:tr2bl w:val="nil"/>
            </w:tcBorders>
            <w:vAlign w:val="center"/>
          </w:tcPr>
          <w:p w14:paraId="5E31C65B">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1</w:t>
            </w:r>
          </w:p>
        </w:tc>
        <w:tc>
          <w:tcPr>
            <w:tcW w:w="1615" w:type="dxa"/>
            <w:tcBorders>
              <w:tl2br w:val="nil"/>
              <w:tr2bl w:val="nil"/>
            </w:tcBorders>
            <w:vAlign w:val="center"/>
          </w:tcPr>
          <w:p w14:paraId="36F2C989">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0.5</w:t>
            </w:r>
          </w:p>
        </w:tc>
        <w:tc>
          <w:tcPr>
            <w:tcW w:w="1615" w:type="dxa"/>
            <w:tcBorders>
              <w:tl2br w:val="nil"/>
              <w:tr2bl w:val="nil"/>
            </w:tcBorders>
            <w:vAlign w:val="center"/>
          </w:tcPr>
          <w:p w14:paraId="163E434F">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0.2</w:t>
            </w:r>
          </w:p>
        </w:tc>
        <w:tc>
          <w:tcPr>
            <w:tcW w:w="1617" w:type="dxa"/>
            <w:tcBorders>
              <w:tl2br w:val="nil"/>
              <w:tr2bl w:val="nil"/>
            </w:tcBorders>
            <w:vAlign w:val="center"/>
          </w:tcPr>
          <w:p w14:paraId="3C06E368">
            <w:pPr>
              <w:spacing w:line="560" w:lineRule="exact"/>
              <w:jc w:val="center"/>
              <w:rPr>
                <w:rFonts w:hint="eastAsia" w:ascii="仿宋_GB2312" w:hAnsi="微软雅黑" w:eastAsia="仿宋_GB2312"/>
                <w:color w:val="000000"/>
                <w:sz w:val="30"/>
                <w:szCs w:val="30"/>
                <w:vertAlign w:val="baseline"/>
                <w:lang w:eastAsia="zh-CN"/>
              </w:rPr>
            </w:pPr>
            <w:r>
              <w:rPr>
                <w:rFonts w:hint="eastAsia" w:ascii="仿宋_GB2312" w:hAnsi="微软雅黑" w:eastAsia="仿宋_GB2312"/>
                <w:color w:val="000000"/>
                <w:sz w:val="30"/>
                <w:szCs w:val="30"/>
                <w:vertAlign w:val="baseline"/>
                <w:lang w:eastAsia="zh-CN"/>
              </w:rPr>
              <w:t>——</w:t>
            </w:r>
          </w:p>
        </w:tc>
      </w:tr>
    </w:tbl>
    <w:p w14:paraId="700028F9">
      <w:pPr>
        <w:numPr>
          <w:ilvl w:val="0"/>
          <w:numId w:val="0"/>
        </w:numPr>
        <w:bidi w:val="0"/>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校区认定竞赛分为四个等级，实行动态管理。具体竞赛项目类别以校区发布的《中国石油大学（北京）克拉玛依校区创新创业竞赛认定目录》为准。同一比赛项目只能择一等级认定加分。</w:t>
      </w:r>
    </w:p>
    <w:p w14:paraId="75B8B402">
      <w:pPr>
        <w:numPr>
          <w:ilvl w:val="0"/>
          <w:numId w:val="0"/>
        </w:numPr>
        <w:bidi w:val="0"/>
        <w:ind w:firstLine="640" w:firstLineChars="200"/>
        <w:jc w:val="both"/>
        <w:rPr>
          <w:rFonts w:hint="eastAsia" w:ascii="仿宋" w:hAnsi="仿宋" w:eastAsia="仿宋" w:cs="仿宋"/>
          <w:sz w:val="32"/>
          <w:szCs w:val="32"/>
          <w:lang w:val="en-US" w:eastAsia="zh-CN"/>
        </w:rPr>
      </w:pPr>
    </w:p>
    <w:p w14:paraId="3EFBD3A7">
      <w:pPr>
        <w:numPr>
          <w:ilvl w:val="0"/>
          <w:numId w:val="0"/>
        </w:numPr>
        <w:bidi w:val="0"/>
        <w:ind w:left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（4）获得科技成果奖者，最高按照下表加分：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3020"/>
        <w:gridCol w:w="3021"/>
      </w:tblGrid>
      <w:tr w14:paraId="07A1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0" w:type="dxa"/>
            <w:gridSpan w:val="2"/>
          </w:tcPr>
          <w:p w14:paraId="7F43DEAB">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级别</w:t>
            </w:r>
          </w:p>
        </w:tc>
        <w:tc>
          <w:tcPr>
            <w:tcW w:w="3021" w:type="dxa"/>
          </w:tcPr>
          <w:p w14:paraId="5160400F">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加分</w:t>
            </w:r>
          </w:p>
        </w:tc>
      </w:tr>
      <w:tr w14:paraId="7689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restart"/>
            <w:vAlign w:val="center"/>
          </w:tcPr>
          <w:p w14:paraId="6D9B1990">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国家级</w:t>
            </w:r>
          </w:p>
        </w:tc>
        <w:tc>
          <w:tcPr>
            <w:tcW w:w="3020" w:type="dxa"/>
          </w:tcPr>
          <w:p w14:paraId="56DA2485">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特等奖</w:t>
            </w:r>
          </w:p>
        </w:tc>
        <w:tc>
          <w:tcPr>
            <w:tcW w:w="3021" w:type="dxa"/>
          </w:tcPr>
          <w:p w14:paraId="5A4C3860">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50</w:t>
            </w:r>
          </w:p>
        </w:tc>
      </w:tr>
      <w:tr w14:paraId="2067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continue"/>
          </w:tcPr>
          <w:p w14:paraId="3FC33CBC">
            <w:pPr>
              <w:numPr>
                <w:ilvl w:val="0"/>
                <w:numId w:val="0"/>
              </w:numPr>
              <w:bidi w:val="0"/>
              <w:jc w:val="center"/>
              <w:rPr>
                <w:rFonts w:hint="eastAsia" w:ascii="仿宋" w:hAnsi="仿宋" w:eastAsia="仿宋" w:cs="仿宋"/>
                <w:sz w:val="32"/>
                <w:szCs w:val="32"/>
                <w:vertAlign w:val="baseline"/>
                <w:lang w:val="en-US" w:eastAsia="zh-CN"/>
              </w:rPr>
            </w:pPr>
          </w:p>
        </w:tc>
        <w:tc>
          <w:tcPr>
            <w:tcW w:w="3020" w:type="dxa"/>
          </w:tcPr>
          <w:p w14:paraId="722D2668">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一等奖</w:t>
            </w:r>
          </w:p>
        </w:tc>
        <w:tc>
          <w:tcPr>
            <w:tcW w:w="3021" w:type="dxa"/>
          </w:tcPr>
          <w:p w14:paraId="12EF8A38">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45</w:t>
            </w:r>
          </w:p>
        </w:tc>
      </w:tr>
      <w:tr w14:paraId="5D14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continue"/>
          </w:tcPr>
          <w:p w14:paraId="5057DB32">
            <w:pPr>
              <w:numPr>
                <w:ilvl w:val="0"/>
                <w:numId w:val="0"/>
              </w:numPr>
              <w:bidi w:val="0"/>
              <w:jc w:val="center"/>
              <w:rPr>
                <w:rFonts w:hint="eastAsia" w:ascii="仿宋" w:hAnsi="仿宋" w:eastAsia="仿宋" w:cs="仿宋"/>
                <w:sz w:val="32"/>
                <w:szCs w:val="32"/>
                <w:vertAlign w:val="baseline"/>
                <w:lang w:val="en-US" w:eastAsia="zh-CN"/>
              </w:rPr>
            </w:pPr>
          </w:p>
        </w:tc>
        <w:tc>
          <w:tcPr>
            <w:tcW w:w="3020" w:type="dxa"/>
          </w:tcPr>
          <w:p w14:paraId="289993AB">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二等奖</w:t>
            </w:r>
          </w:p>
        </w:tc>
        <w:tc>
          <w:tcPr>
            <w:tcW w:w="3021" w:type="dxa"/>
          </w:tcPr>
          <w:p w14:paraId="11F86186">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40</w:t>
            </w:r>
          </w:p>
        </w:tc>
      </w:tr>
      <w:tr w14:paraId="3FCF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continue"/>
          </w:tcPr>
          <w:p w14:paraId="30A55002">
            <w:pPr>
              <w:numPr>
                <w:ilvl w:val="0"/>
                <w:numId w:val="0"/>
              </w:numPr>
              <w:bidi w:val="0"/>
              <w:jc w:val="center"/>
              <w:rPr>
                <w:rFonts w:hint="eastAsia" w:ascii="仿宋" w:hAnsi="仿宋" w:eastAsia="仿宋" w:cs="仿宋"/>
                <w:sz w:val="32"/>
                <w:szCs w:val="32"/>
                <w:vertAlign w:val="baseline"/>
                <w:lang w:val="en-US" w:eastAsia="zh-CN"/>
              </w:rPr>
            </w:pPr>
          </w:p>
        </w:tc>
        <w:tc>
          <w:tcPr>
            <w:tcW w:w="3020" w:type="dxa"/>
          </w:tcPr>
          <w:p w14:paraId="31B3B65F">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三等奖</w:t>
            </w:r>
          </w:p>
        </w:tc>
        <w:tc>
          <w:tcPr>
            <w:tcW w:w="3021" w:type="dxa"/>
          </w:tcPr>
          <w:p w14:paraId="77CC218E">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30</w:t>
            </w:r>
          </w:p>
        </w:tc>
      </w:tr>
      <w:tr w14:paraId="394F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restart"/>
            <w:vAlign w:val="center"/>
          </w:tcPr>
          <w:p w14:paraId="695B8E93">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省部级</w:t>
            </w:r>
          </w:p>
        </w:tc>
        <w:tc>
          <w:tcPr>
            <w:tcW w:w="3020" w:type="dxa"/>
            <w:vAlign w:val="top"/>
          </w:tcPr>
          <w:p w14:paraId="544E862D">
            <w:pPr>
              <w:numPr>
                <w:ilvl w:val="0"/>
                <w:numId w:val="0"/>
              </w:numPr>
              <w:bidi w:val="0"/>
              <w:ind w:left="0" w:leftChars="0" w:firstLine="0" w:firstLineChars="0"/>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特等奖</w:t>
            </w:r>
          </w:p>
        </w:tc>
        <w:tc>
          <w:tcPr>
            <w:tcW w:w="3021" w:type="dxa"/>
          </w:tcPr>
          <w:p w14:paraId="5C96F3AF">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30</w:t>
            </w:r>
          </w:p>
        </w:tc>
      </w:tr>
      <w:tr w14:paraId="0E36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continue"/>
          </w:tcPr>
          <w:p w14:paraId="6A285942">
            <w:pPr>
              <w:numPr>
                <w:ilvl w:val="0"/>
                <w:numId w:val="0"/>
              </w:numPr>
              <w:bidi w:val="0"/>
              <w:jc w:val="center"/>
              <w:rPr>
                <w:rFonts w:hint="eastAsia" w:ascii="仿宋" w:hAnsi="仿宋" w:eastAsia="仿宋" w:cs="仿宋"/>
                <w:sz w:val="32"/>
                <w:szCs w:val="32"/>
                <w:vertAlign w:val="baseline"/>
                <w:lang w:val="en-US" w:eastAsia="zh-CN"/>
              </w:rPr>
            </w:pPr>
          </w:p>
        </w:tc>
        <w:tc>
          <w:tcPr>
            <w:tcW w:w="3020" w:type="dxa"/>
            <w:vAlign w:val="top"/>
          </w:tcPr>
          <w:p w14:paraId="41668224">
            <w:pPr>
              <w:numPr>
                <w:ilvl w:val="0"/>
                <w:numId w:val="0"/>
              </w:numPr>
              <w:bidi w:val="0"/>
              <w:ind w:left="0" w:leftChars="0" w:firstLine="0" w:firstLineChars="0"/>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一等奖</w:t>
            </w:r>
          </w:p>
        </w:tc>
        <w:tc>
          <w:tcPr>
            <w:tcW w:w="3021" w:type="dxa"/>
          </w:tcPr>
          <w:p w14:paraId="4447D850">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20</w:t>
            </w:r>
          </w:p>
        </w:tc>
      </w:tr>
      <w:tr w14:paraId="41DE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continue"/>
          </w:tcPr>
          <w:p w14:paraId="5441A79A">
            <w:pPr>
              <w:numPr>
                <w:ilvl w:val="0"/>
                <w:numId w:val="0"/>
              </w:numPr>
              <w:bidi w:val="0"/>
              <w:jc w:val="center"/>
              <w:rPr>
                <w:rFonts w:hint="eastAsia" w:ascii="仿宋" w:hAnsi="仿宋" w:eastAsia="仿宋" w:cs="仿宋"/>
                <w:sz w:val="32"/>
                <w:szCs w:val="32"/>
                <w:vertAlign w:val="baseline"/>
                <w:lang w:val="en-US" w:eastAsia="zh-CN"/>
              </w:rPr>
            </w:pPr>
          </w:p>
        </w:tc>
        <w:tc>
          <w:tcPr>
            <w:tcW w:w="3020" w:type="dxa"/>
            <w:vAlign w:val="top"/>
          </w:tcPr>
          <w:p w14:paraId="33E2AE77">
            <w:pPr>
              <w:numPr>
                <w:ilvl w:val="0"/>
                <w:numId w:val="0"/>
              </w:numPr>
              <w:bidi w:val="0"/>
              <w:ind w:left="0" w:leftChars="0" w:firstLine="0" w:firstLineChars="0"/>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二等奖</w:t>
            </w:r>
          </w:p>
        </w:tc>
        <w:tc>
          <w:tcPr>
            <w:tcW w:w="3021" w:type="dxa"/>
          </w:tcPr>
          <w:p w14:paraId="4B9F1B26">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w:t>
            </w:r>
          </w:p>
        </w:tc>
      </w:tr>
      <w:tr w14:paraId="1144F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continue"/>
          </w:tcPr>
          <w:p w14:paraId="077A9DE5">
            <w:pPr>
              <w:numPr>
                <w:ilvl w:val="0"/>
                <w:numId w:val="0"/>
              </w:numPr>
              <w:bidi w:val="0"/>
              <w:jc w:val="center"/>
              <w:rPr>
                <w:rFonts w:hint="eastAsia" w:ascii="仿宋" w:hAnsi="仿宋" w:eastAsia="仿宋" w:cs="仿宋"/>
                <w:sz w:val="32"/>
                <w:szCs w:val="32"/>
                <w:vertAlign w:val="baseline"/>
                <w:lang w:val="en-US" w:eastAsia="zh-CN"/>
              </w:rPr>
            </w:pPr>
          </w:p>
        </w:tc>
        <w:tc>
          <w:tcPr>
            <w:tcW w:w="3020" w:type="dxa"/>
            <w:vAlign w:val="top"/>
          </w:tcPr>
          <w:p w14:paraId="1F7AC03A">
            <w:pPr>
              <w:numPr>
                <w:ilvl w:val="0"/>
                <w:numId w:val="0"/>
              </w:numPr>
              <w:bidi w:val="0"/>
              <w:ind w:left="0" w:leftChars="0" w:firstLine="0" w:firstLineChars="0"/>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三等奖</w:t>
            </w:r>
          </w:p>
        </w:tc>
        <w:tc>
          <w:tcPr>
            <w:tcW w:w="3021" w:type="dxa"/>
          </w:tcPr>
          <w:p w14:paraId="067AEA6C">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r>
    </w:tbl>
    <w:p w14:paraId="2A18319F">
      <w:pPr>
        <w:numPr>
          <w:ilvl w:val="0"/>
          <w:numId w:val="0"/>
        </w:numPr>
        <w:spacing w:line="560" w:lineRule="exact"/>
        <w:jc w:val="both"/>
        <w:rPr>
          <w:rFonts w:hint="eastAsia" w:ascii="仿宋_GB2312" w:hAnsi="微软雅黑" w:eastAsia="仿宋_GB2312"/>
          <w:color w:val="000000"/>
          <w:sz w:val="32"/>
          <w:szCs w:val="32"/>
          <w:lang w:val="en-US" w:eastAsia="zh-CN"/>
        </w:rPr>
      </w:pPr>
    </w:p>
    <w:p w14:paraId="3BE037CB">
      <w:pPr>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p>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E76C8"/>
    <w:multiLevelType w:val="singleLevel"/>
    <w:tmpl w:val="8BEE76C8"/>
    <w:lvl w:ilvl="0" w:tentative="0">
      <w:start w:val="1"/>
      <w:numFmt w:val="chineseCounting"/>
      <w:suff w:val="nothing"/>
      <w:lvlText w:val="（%1）"/>
      <w:lvlJc w:val="left"/>
      <w:rPr>
        <w:rFonts w:hint="eastAsia"/>
      </w:rPr>
    </w:lvl>
  </w:abstractNum>
  <w:abstractNum w:abstractNumId="1">
    <w:nsid w:val="BA18E4E9"/>
    <w:multiLevelType w:val="singleLevel"/>
    <w:tmpl w:val="BA18E4E9"/>
    <w:lvl w:ilvl="0" w:tentative="0">
      <w:start w:val="1"/>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TQ5Njc3MTNiNmQ2ZmZhMGQxMDMxMWFmY2NkZjUifQ=="/>
  </w:docVars>
  <w:rsids>
    <w:rsidRoot w:val="00AB7CB5"/>
    <w:rsid w:val="000531AB"/>
    <w:rsid w:val="00303D25"/>
    <w:rsid w:val="006249A2"/>
    <w:rsid w:val="00816205"/>
    <w:rsid w:val="009050FA"/>
    <w:rsid w:val="00AB2539"/>
    <w:rsid w:val="00AB7CB5"/>
    <w:rsid w:val="00B02FC3"/>
    <w:rsid w:val="00F043BD"/>
    <w:rsid w:val="00F53A87"/>
    <w:rsid w:val="024220C2"/>
    <w:rsid w:val="0438160E"/>
    <w:rsid w:val="06D32BBC"/>
    <w:rsid w:val="0C293400"/>
    <w:rsid w:val="0E433E81"/>
    <w:rsid w:val="1FFF0093"/>
    <w:rsid w:val="29CC77B7"/>
    <w:rsid w:val="3AC52AAC"/>
    <w:rsid w:val="3AEA7CFE"/>
    <w:rsid w:val="3D15214B"/>
    <w:rsid w:val="46757966"/>
    <w:rsid w:val="5DC02338"/>
    <w:rsid w:val="5E8F1B4B"/>
    <w:rsid w:val="63A34684"/>
    <w:rsid w:val="641A5748"/>
    <w:rsid w:val="6CBA6834"/>
    <w:rsid w:val="777C30C6"/>
    <w:rsid w:val="78AF64B7"/>
    <w:rsid w:val="7DB20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26E5" w:themeColor="hyperlink"/>
      <w:u w:val="single"/>
      <w14:textFill>
        <w14:solidFill>
          <w14:schemeClr w14:val="hlink"/>
        </w14:solidFill>
      </w14:textFill>
    </w:rPr>
  </w:style>
  <w:style w:type="character" w:customStyle="1" w:styleId="11">
    <w:name w:val="页眉 字符"/>
    <w:basedOn w:val="8"/>
    <w:link w:val="4"/>
    <w:qFormat/>
    <w:uiPriority w:val="0"/>
    <w:rPr>
      <w:kern w:val="2"/>
      <w:sz w:val="18"/>
      <w:szCs w:val="18"/>
    </w:rPr>
  </w:style>
  <w:style w:type="character" w:customStyle="1" w:styleId="12">
    <w:name w:val="页脚 字符"/>
    <w:basedOn w:val="8"/>
    <w:link w:val="3"/>
    <w:qFormat/>
    <w:uiPriority w:val="0"/>
    <w:rPr>
      <w:kern w:val="2"/>
      <w:sz w:val="18"/>
      <w:szCs w:val="18"/>
    </w:rPr>
  </w:style>
  <w:style w:type="character" w:customStyle="1" w:styleId="13">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4528</Words>
  <Characters>4808</Characters>
  <Lines>7</Lines>
  <Paragraphs>2</Paragraphs>
  <TotalTime>514</TotalTime>
  <ScaleCrop>false</ScaleCrop>
  <LinksUpToDate>false</LinksUpToDate>
  <CharactersWithSpaces>4829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2024-11-20T02:52:00Z</dcterms:created>
  <dc:creator>huawei</dc:creator>
  <cp:lastModifiedBy>随遇而安</cp:lastModifiedBy>
  <cp:lastPrinted>2024-12-26T03:21:36Z</cp:lastPrinted>
  <dcterms:modified xsi:type="dcterms:W3CDTF">2024-12-26T11:54:18Z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CFD0E15811284D8AA00B449951429C05_13</vt:lpwstr>
  </property>
  <property fmtid="{D5CDD505-2E9C-101B-9397-08002B2CF9AE}" pid="4" name="KSOTemplateDocerSaveRecord">
    <vt:lpwstr>eyJoZGlkIjoiMWZjZTQ5Njc3MTNiNmQ2ZmZhMGQxMDMxMWFmY2NkZjUiLCJ1c2VySWQiOiIxMTM2Nzk2MDI5In0=</vt:lpwstr>
  </property>
</Properties>
</file>