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7E96D">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44"/>
          <w:highlight w:val="none"/>
        </w:rPr>
      </w:pPr>
      <w:bookmarkStart w:id="0" w:name="OLE_LINK1"/>
      <w:bookmarkStart w:id="1" w:name="OLE_LINK2"/>
      <w:bookmarkStart w:id="2" w:name="OLE_LINK10"/>
      <w:bookmarkStart w:id="3" w:name="OLE_LINK9"/>
      <w:r>
        <w:rPr>
          <w:rFonts w:hint="eastAsia" w:ascii="方正小标宋简体" w:hAnsi="方正小标宋简体" w:eastAsia="方正小标宋简体" w:cs="方正小标宋简体"/>
          <w:sz w:val="44"/>
          <w:szCs w:val="44"/>
          <w:highlight w:val="none"/>
        </w:rPr>
        <w:t>文理学院/文化艺术学院202</w:t>
      </w:r>
      <w:r>
        <w:rPr>
          <w:rFonts w:hint="eastAsia" w:ascii="方正小标宋简体" w:hAnsi="方正小标宋简体" w:eastAsia="方正小标宋简体" w:cs="方正小标宋简体"/>
          <w:sz w:val="44"/>
          <w:szCs w:val="44"/>
          <w:highlight w:val="none"/>
          <w:lang w:val="en-US" w:eastAsia="zh-CN"/>
        </w:rPr>
        <w:t>6</w:t>
      </w:r>
      <w:r>
        <w:rPr>
          <w:rFonts w:hint="eastAsia" w:ascii="方正小标宋简体" w:hAnsi="方正小标宋简体" w:eastAsia="方正小标宋简体" w:cs="方正小标宋简体"/>
          <w:sz w:val="44"/>
          <w:szCs w:val="44"/>
          <w:highlight w:val="none"/>
        </w:rPr>
        <w:t>年综合评价和学术专长赋分办法</w:t>
      </w:r>
    </w:p>
    <w:p w14:paraId="58DF679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eastAsia="zh-CN"/>
        </w:rPr>
      </w:pPr>
      <w:r>
        <w:rPr>
          <w:rFonts w:hint="eastAsia" w:ascii="仿宋" w:hAnsi="仿宋" w:eastAsia="仿宋"/>
          <w:sz w:val="32"/>
          <w:szCs w:val="32"/>
          <w:highlight w:val="none"/>
        </w:rPr>
        <w:t>根据教育部相关文件精神</w:t>
      </w:r>
      <w:r>
        <w:rPr>
          <w:rFonts w:hint="eastAsia" w:ascii="仿宋" w:hAnsi="仿宋" w:eastAsia="仿宋"/>
          <w:sz w:val="32"/>
          <w:szCs w:val="32"/>
          <w:highlight w:val="none"/>
          <w:lang w:val="en-US" w:eastAsia="zh-CN"/>
        </w:rPr>
        <w:t>及教务部《关于规范推免生综合评价和学术专长中竞赛获奖、科研成果认定的通知》</w:t>
      </w:r>
      <w:r>
        <w:rPr>
          <w:rFonts w:hint="eastAsia" w:ascii="仿宋" w:hAnsi="仿宋" w:eastAsia="仿宋"/>
          <w:sz w:val="32"/>
          <w:szCs w:val="32"/>
          <w:highlight w:val="none"/>
        </w:rPr>
        <w:t>，为综合评价学生各方面的表现，引导学生全面发展，学院将学生参军入伍服兵役、到国际组织实习、科研成果、竞赛获奖等方面纳入推免生综合评价和学术专长考核体系，计入推免生综合成绩，具体赋分办法如下</w:t>
      </w:r>
      <w:r>
        <w:rPr>
          <w:rFonts w:hint="eastAsia" w:ascii="仿宋" w:hAnsi="仿宋" w:eastAsia="仿宋"/>
          <w:sz w:val="32"/>
          <w:szCs w:val="32"/>
          <w:highlight w:val="none"/>
          <w:lang w:eastAsia="zh-CN"/>
        </w:rPr>
        <w:t>。</w:t>
      </w:r>
    </w:p>
    <w:p w14:paraId="01254D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left"/>
        <w:textAlignment w:val="auto"/>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一、参军入伍服兵役</w:t>
      </w:r>
    </w:p>
    <w:p w14:paraId="3DC23C0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学生本科阶段应征入伍，服役期间表现良好，未受任何处分，圆满履行兵役义务者，经学生工作与安全保卫部认定后方可赋分，上限为2分。具体赋分方式如下:</w:t>
      </w:r>
    </w:p>
    <w:p w14:paraId="05976F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sz w:val="32"/>
          <w:szCs w:val="32"/>
          <w:highlight w:val="none"/>
          <w:lang w:val="en-US" w:eastAsia="zh-CN"/>
        </w:rPr>
      </w:pPr>
      <w:bookmarkStart w:id="4" w:name="_GoBack"/>
      <w:bookmarkEnd w:id="4"/>
      <w:r>
        <w:rPr>
          <w:rFonts w:hint="eastAsia" w:ascii="仿宋" w:hAnsi="仿宋" w:eastAsia="仿宋"/>
          <w:sz w:val="32"/>
          <w:szCs w:val="32"/>
          <w:highlight w:val="none"/>
          <w:lang w:val="en-US" w:eastAsia="zh-CN"/>
        </w:rPr>
        <w:t>A档：立功受奖2分；</w:t>
      </w:r>
    </w:p>
    <w:p w14:paraId="1075B4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B档（非A档）1.2分。</w:t>
      </w:r>
    </w:p>
    <w:p w14:paraId="76DE6F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left"/>
        <w:textAlignment w:val="auto"/>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二、国际组织实习</w:t>
      </w:r>
    </w:p>
    <w:p w14:paraId="3F1FFEB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b/>
          <w:sz w:val="32"/>
          <w:szCs w:val="32"/>
          <w:highlight w:val="yellow"/>
          <w:lang w:val="en-US" w:eastAsia="zh-CN"/>
        </w:rPr>
      </w:pPr>
      <w:r>
        <w:rPr>
          <w:rFonts w:hint="eastAsia" w:ascii="仿宋" w:hAnsi="仿宋" w:eastAsia="仿宋"/>
          <w:sz w:val="32"/>
          <w:szCs w:val="32"/>
          <w:highlight w:val="none"/>
          <w:lang w:val="en-US" w:eastAsia="zh-CN"/>
        </w:rPr>
        <w:t>学生本科期间赴政府间国际组织实习(以人力资源和社会保障部主办的国际组织人才信息服务网和全国高等学校学生信息咨询与就业指导中心主办的高校毕业生到国际组织实习任职信息服务平台信息为准)，申请推荐免试研究生资格前已完成不少于30天的实习工作，且提供无不良评价的实习证明。两项均满足者得1分，否则不赋分。</w:t>
      </w:r>
    </w:p>
    <w:p w14:paraId="1D39B6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left"/>
        <w:textAlignment w:val="auto"/>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三、科研成果</w:t>
      </w:r>
    </w:p>
    <w:p w14:paraId="4E352CE9">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学生本科阶段在核心期刊上以独立作者或第一作者发表或者与指导老师(老师为第一作者、学生为第二作者)联合发表的与学业相关的科研论文，且论文署名单位为“中国石油大学(北京)克拉玛依校区”，要求必须见刊或者online（用稿通知一律不认）。按照下表进行赋分，上限为3分。论文所在JCR分区以校区图书馆出具的检索证明上的信息为准。具体赋分方式如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8"/>
        <w:gridCol w:w="4020"/>
        <w:gridCol w:w="1950"/>
      </w:tblGrid>
      <w:tr w14:paraId="3384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388" w:type="dxa"/>
            <w:vMerge w:val="restart"/>
            <w:vAlign w:val="center"/>
          </w:tcPr>
          <w:p w14:paraId="14D8A65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32"/>
                <w:szCs w:val="32"/>
                <w:highlight w:val="yellow"/>
                <w:vertAlign w:val="baseline"/>
                <w:lang w:val="en-US" w:eastAsia="zh-CN"/>
              </w:rPr>
            </w:pPr>
            <w:r>
              <w:rPr>
                <w:rFonts w:hint="eastAsia" w:ascii="仿宋" w:hAnsi="仿宋" w:eastAsia="仿宋"/>
                <w:sz w:val="32"/>
                <w:szCs w:val="32"/>
                <w:highlight w:val="none"/>
                <w:vertAlign w:val="baseline"/>
                <w:lang w:val="en-US" w:eastAsia="zh-CN"/>
              </w:rPr>
              <w:t>统计学、数学与应用数学专业</w:t>
            </w:r>
          </w:p>
        </w:tc>
        <w:tc>
          <w:tcPr>
            <w:tcW w:w="4020" w:type="dxa"/>
            <w:vAlign w:val="center"/>
          </w:tcPr>
          <w:p w14:paraId="03EBEB9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32"/>
                <w:szCs w:val="32"/>
                <w:highlight w:val="none"/>
                <w:vertAlign w:val="baseline"/>
                <w:lang w:val="en-US" w:eastAsia="zh-CN"/>
              </w:rPr>
            </w:pPr>
            <w:r>
              <w:rPr>
                <w:rFonts w:hint="eastAsia" w:ascii="仿宋" w:hAnsi="仿宋" w:eastAsia="仿宋"/>
                <w:sz w:val="32"/>
                <w:szCs w:val="32"/>
                <w:highlight w:val="none"/>
                <w:vertAlign w:val="baseline"/>
                <w:lang w:val="en-US" w:eastAsia="zh-CN"/>
              </w:rPr>
              <w:t>成果类别</w:t>
            </w:r>
          </w:p>
        </w:tc>
        <w:tc>
          <w:tcPr>
            <w:tcW w:w="1950" w:type="dxa"/>
            <w:vAlign w:val="center"/>
          </w:tcPr>
          <w:p w14:paraId="77369B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32"/>
                <w:szCs w:val="32"/>
                <w:highlight w:val="none"/>
                <w:vertAlign w:val="baseline"/>
                <w:lang w:val="en-US" w:eastAsia="zh-CN"/>
              </w:rPr>
            </w:pPr>
            <w:r>
              <w:rPr>
                <w:rFonts w:hint="eastAsia" w:ascii="仿宋" w:hAnsi="仿宋" w:eastAsia="仿宋"/>
                <w:sz w:val="32"/>
                <w:szCs w:val="32"/>
                <w:highlight w:val="none"/>
                <w:vertAlign w:val="baseline"/>
                <w:lang w:val="en-US" w:eastAsia="zh-CN"/>
              </w:rPr>
              <w:t>分值</w:t>
            </w:r>
          </w:p>
        </w:tc>
      </w:tr>
      <w:tr w14:paraId="5A52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88" w:type="dxa"/>
            <w:vMerge w:val="continue"/>
            <w:vAlign w:val="center"/>
          </w:tcPr>
          <w:p w14:paraId="620D73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5B3D4DA8">
            <w:pPr>
              <w:keepNext w:val="0"/>
              <w:keepLines w:val="0"/>
              <w:widowControl/>
              <w:suppressLineNumbers w:val="0"/>
              <w:jc w:val="center"/>
              <w:rPr>
                <w:rFonts w:hint="eastAsia" w:ascii="仿宋" w:hAnsi="仿宋" w:eastAsia="仿宋"/>
                <w:sz w:val="32"/>
                <w:szCs w:val="32"/>
                <w:highlight w:val="none"/>
                <w:vertAlign w:val="baseline"/>
                <w:lang w:val="en-US" w:eastAsia="zh-CN"/>
              </w:rPr>
            </w:pPr>
            <w:r>
              <w:rPr>
                <w:rFonts w:hint="default" w:ascii="仿宋" w:hAnsi="仿宋" w:eastAsia="仿宋"/>
                <w:sz w:val="24"/>
                <w:szCs w:val="24"/>
                <w:highlight w:val="none"/>
                <w:lang w:val="en-US" w:eastAsia="zh-CN"/>
              </w:rPr>
              <w:t>SCIE</w:t>
            </w:r>
            <w:r>
              <w:rPr>
                <w:rFonts w:hint="eastAsia" w:ascii="仿宋" w:hAnsi="仿宋" w:eastAsia="仿宋"/>
                <w:sz w:val="24"/>
                <w:szCs w:val="24"/>
                <w:highlight w:val="none"/>
                <w:lang w:val="en-US" w:eastAsia="zh-CN"/>
              </w:rPr>
              <w:t xml:space="preserve"> JCR一区 中国数学会(T1)</w:t>
            </w:r>
          </w:p>
        </w:tc>
        <w:tc>
          <w:tcPr>
            <w:tcW w:w="1950" w:type="dxa"/>
            <w:vAlign w:val="center"/>
          </w:tcPr>
          <w:p w14:paraId="6F9D97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3分</w:t>
            </w:r>
          </w:p>
        </w:tc>
      </w:tr>
      <w:tr w14:paraId="6BDF3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88" w:type="dxa"/>
            <w:vMerge w:val="continue"/>
            <w:vAlign w:val="center"/>
          </w:tcPr>
          <w:p w14:paraId="6EC18B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47192E32">
            <w:pPr>
              <w:keepNext w:val="0"/>
              <w:keepLines w:val="0"/>
              <w:widowControl/>
              <w:suppressLineNumbers w:val="0"/>
              <w:jc w:val="center"/>
              <w:textAlignment w:val="center"/>
              <w:rPr>
                <w:rFonts w:hint="default" w:ascii="仿宋" w:hAnsi="仿宋" w:eastAsia="仿宋"/>
                <w:sz w:val="32"/>
                <w:szCs w:val="32"/>
                <w:highlight w:val="none"/>
                <w:vertAlign w:val="baseline"/>
                <w:lang w:val="en-US" w:eastAsia="zh-CN"/>
              </w:rPr>
            </w:pPr>
            <w:r>
              <w:rPr>
                <w:rFonts w:hint="default" w:ascii="仿宋" w:hAnsi="仿宋" w:eastAsia="仿宋"/>
                <w:sz w:val="24"/>
                <w:szCs w:val="24"/>
                <w:highlight w:val="none"/>
                <w:lang w:val="en-US" w:eastAsia="zh-CN"/>
              </w:rPr>
              <w:t>SCIE</w:t>
            </w:r>
            <w:r>
              <w:rPr>
                <w:rFonts w:hint="eastAsia" w:ascii="仿宋" w:hAnsi="仿宋" w:eastAsia="仿宋"/>
                <w:sz w:val="24"/>
                <w:szCs w:val="24"/>
                <w:highlight w:val="none"/>
                <w:lang w:val="en-US" w:eastAsia="zh-CN"/>
              </w:rPr>
              <w:t xml:space="preserve"> JCR 二区中国数学会(T2)、SSCI</w:t>
            </w:r>
          </w:p>
        </w:tc>
        <w:tc>
          <w:tcPr>
            <w:tcW w:w="1950" w:type="dxa"/>
            <w:vAlign w:val="center"/>
          </w:tcPr>
          <w:p w14:paraId="58F9F7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2分</w:t>
            </w:r>
          </w:p>
        </w:tc>
      </w:tr>
      <w:tr w14:paraId="07F6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88" w:type="dxa"/>
            <w:vMerge w:val="continue"/>
            <w:vAlign w:val="center"/>
          </w:tcPr>
          <w:p w14:paraId="7E2844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66E8461E">
            <w:pPr>
              <w:keepNext w:val="0"/>
              <w:keepLines w:val="0"/>
              <w:widowControl/>
              <w:suppressLineNumbers w:val="0"/>
              <w:jc w:val="center"/>
              <w:textAlignment w:val="center"/>
              <w:rPr>
                <w:rFonts w:hint="eastAsia" w:ascii="仿宋" w:hAnsi="仿宋" w:eastAsia="仿宋"/>
                <w:sz w:val="32"/>
                <w:szCs w:val="32"/>
                <w:highlight w:val="none"/>
                <w:vertAlign w:val="baseline"/>
                <w:lang w:val="en-US" w:eastAsia="zh-CN"/>
              </w:rPr>
            </w:pPr>
            <w:r>
              <w:rPr>
                <w:rFonts w:hint="default" w:ascii="仿宋" w:hAnsi="仿宋" w:eastAsia="仿宋"/>
                <w:sz w:val="24"/>
                <w:szCs w:val="24"/>
                <w:highlight w:val="none"/>
                <w:lang w:val="en-US" w:eastAsia="zh-CN"/>
              </w:rPr>
              <w:t>SCIE</w:t>
            </w:r>
            <w:r>
              <w:rPr>
                <w:rFonts w:hint="eastAsia" w:ascii="仿宋" w:hAnsi="仿宋" w:eastAsia="仿宋"/>
                <w:sz w:val="24"/>
                <w:szCs w:val="24"/>
                <w:highlight w:val="none"/>
                <w:lang w:val="en-US" w:eastAsia="zh-CN"/>
              </w:rPr>
              <w:t xml:space="preserve"> JCR三区 中国数学会(T3)</w:t>
            </w:r>
          </w:p>
        </w:tc>
        <w:tc>
          <w:tcPr>
            <w:tcW w:w="1950" w:type="dxa"/>
            <w:vAlign w:val="center"/>
          </w:tcPr>
          <w:p w14:paraId="4344D5D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1.5分</w:t>
            </w:r>
          </w:p>
        </w:tc>
      </w:tr>
      <w:tr w14:paraId="7E37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88" w:type="dxa"/>
            <w:vMerge w:val="continue"/>
            <w:vAlign w:val="center"/>
          </w:tcPr>
          <w:p w14:paraId="7A82E7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6C40BCF5">
            <w:pPr>
              <w:keepNext w:val="0"/>
              <w:keepLines w:val="0"/>
              <w:widowControl/>
              <w:suppressLineNumbers w:val="0"/>
              <w:jc w:val="center"/>
              <w:textAlignment w:val="center"/>
              <w:rPr>
                <w:rFonts w:hint="eastAsia" w:ascii="仿宋" w:hAnsi="仿宋" w:eastAsia="仿宋"/>
                <w:sz w:val="32"/>
                <w:szCs w:val="32"/>
                <w:highlight w:val="none"/>
                <w:vertAlign w:val="baseline"/>
                <w:lang w:val="en-US" w:eastAsia="zh-CN"/>
              </w:rPr>
            </w:pPr>
            <w:r>
              <w:rPr>
                <w:rFonts w:hint="default" w:ascii="仿宋" w:hAnsi="仿宋" w:eastAsia="仿宋"/>
                <w:sz w:val="24"/>
                <w:szCs w:val="24"/>
                <w:highlight w:val="none"/>
                <w:lang w:val="en-US" w:eastAsia="zh-CN"/>
              </w:rPr>
              <w:t>SCIE</w:t>
            </w:r>
            <w:r>
              <w:rPr>
                <w:rFonts w:hint="eastAsia" w:ascii="仿宋" w:hAnsi="仿宋" w:eastAsia="仿宋"/>
                <w:sz w:val="24"/>
                <w:szCs w:val="24"/>
                <w:highlight w:val="none"/>
                <w:lang w:val="en-US" w:eastAsia="zh-CN"/>
              </w:rPr>
              <w:t xml:space="preserve"> JCR 四区、</w:t>
            </w:r>
            <w:r>
              <w:rPr>
                <w:rFonts w:hint="eastAsia" w:ascii="仿宋" w:hAnsi="仿宋" w:eastAsia="仿宋"/>
                <w:sz w:val="24"/>
                <w:szCs w:val="24"/>
                <w:highlight w:val="none"/>
                <w:vertAlign w:val="baseline"/>
                <w:lang w:val="en-US" w:eastAsia="zh-CN"/>
              </w:rPr>
              <w:t>EI论文</w:t>
            </w:r>
          </w:p>
        </w:tc>
        <w:tc>
          <w:tcPr>
            <w:tcW w:w="1950" w:type="dxa"/>
            <w:vAlign w:val="center"/>
          </w:tcPr>
          <w:p w14:paraId="4B693E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1分</w:t>
            </w:r>
          </w:p>
        </w:tc>
      </w:tr>
      <w:tr w14:paraId="30B2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388" w:type="dxa"/>
            <w:vMerge w:val="continue"/>
            <w:vAlign w:val="center"/>
          </w:tcPr>
          <w:p w14:paraId="709025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709A95E2">
            <w:pPr>
              <w:keepNext w:val="0"/>
              <w:keepLines w:val="0"/>
              <w:widowControl/>
              <w:suppressLineNumbers w:val="0"/>
              <w:jc w:val="center"/>
              <w:rPr>
                <w:rFonts w:hint="eastAsia" w:ascii="仿宋" w:hAnsi="仿宋" w:eastAsia="仿宋"/>
                <w:sz w:val="32"/>
                <w:szCs w:val="32"/>
                <w:highlight w:val="none"/>
                <w:vertAlign w:val="baseline"/>
                <w:lang w:val="en-US" w:eastAsia="zh-CN"/>
              </w:rPr>
            </w:pPr>
            <w:r>
              <w:rPr>
                <w:rFonts w:hint="eastAsia" w:ascii="仿宋" w:hAnsi="仿宋" w:eastAsia="仿宋"/>
                <w:sz w:val="24"/>
                <w:szCs w:val="24"/>
                <w:highlight w:val="none"/>
                <w:lang w:val="en-US" w:eastAsia="zh-CN"/>
              </w:rPr>
              <w:t>在中文核心期刊及同等级期刊发表</w:t>
            </w:r>
          </w:p>
        </w:tc>
        <w:tc>
          <w:tcPr>
            <w:tcW w:w="1950" w:type="dxa"/>
            <w:vAlign w:val="center"/>
          </w:tcPr>
          <w:p w14:paraId="3E5D52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0.5分</w:t>
            </w:r>
          </w:p>
        </w:tc>
      </w:tr>
      <w:tr w14:paraId="3EDC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388" w:type="dxa"/>
            <w:vMerge w:val="restart"/>
            <w:vAlign w:val="center"/>
          </w:tcPr>
          <w:p w14:paraId="578FD7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仿宋" w:hAnsi="仿宋" w:eastAsia="仿宋"/>
                <w:sz w:val="32"/>
                <w:szCs w:val="32"/>
                <w:highlight w:val="none"/>
                <w:vertAlign w:val="baseline"/>
                <w:lang w:val="en-US" w:eastAsia="zh-CN"/>
              </w:rPr>
            </w:pPr>
            <w:r>
              <w:rPr>
                <w:rFonts w:hint="eastAsia" w:ascii="仿宋" w:hAnsi="仿宋" w:eastAsia="仿宋"/>
                <w:sz w:val="32"/>
                <w:szCs w:val="32"/>
                <w:highlight w:val="none"/>
                <w:vertAlign w:val="baseline"/>
                <w:lang w:val="en-US" w:eastAsia="zh-CN"/>
              </w:rPr>
              <w:t>英语、俄语、汉语言文学专业</w:t>
            </w:r>
          </w:p>
        </w:tc>
        <w:tc>
          <w:tcPr>
            <w:tcW w:w="4020" w:type="dxa"/>
            <w:vAlign w:val="center"/>
          </w:tcPr>
          <w:p w14:paraId="6AC664C7">
            <w:pPr>
              <w:keepNext w:val="0"/>
              <w:keepLines w:val="0"/>
              <w:widowControl/>
              <w:suppressLineNumbers w:val="0"/>
              <w:jc w:val="center"/>
              <w:textAlignment w:val="center"/>
              <w:rPr>
                <w:rFonts w:hint="eastAsia" w:ascii="仿宋" w:hAnsi="仿宋" w:eastAsia="仿宋"/>
                <w:sz w:val="24"/>
                <w:szCs w:val="24"/>
                <w:highlight w:val="none"/>
                <w:lang w:val="en-US" w:eastAsia="zh-CN"/>
              </w:rPr>
            </w:pPr>
            <w:r>
              <w:rPr>
                <w:rFonts w:hint="eastAsia" w:ascii="仿宋" w:hAnsi="仿宋" w:eastAsia="仿宋" w:cs="仿宋"/>
                <w:i w:val="0"/>
                <w:iCs w:val="0"/>
                <w:color w:val="000000"/>
                <w:kern w:val="0"/>
                <w:sz w:val="22"/>
                <w:szCs w:val="22"/>
                <w:highlight w:val="none"/>
                <w:u w:val="none"/>
                <w:lang w:val="en-US" w:eastAsia="zh-CN" w:bidi="ar"/>
              </w:rPr>
              <w:t>SCI/ SSCI/ A&amp;HCI/ CSSCI来源期刊</w:t>
            </w:r>
          </w:p>
        </w:tc>
        <w:tc>
          <w:tcPr>
            <w:tcW w:w="1950" w:type="dxa"/>
            <w:vAlign w:val="center"/>
          </w:tcPr>
          <w:p w14:paraId="2BD0F26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3分</w:t>
            </w:r>
          </w:p>
        </w:tc>
      </w:tr>
      <w:tr w14:paraId="0D55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388" w:type="dxa"/>
            <w:vMerge w:val="continue"/>
            <w:vAlign w:val="center"/>
          </w:tcPr>
          <w:p w14:paraId="55F5D7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none"/>
                <w:vertAlign w:val="baseline"/>
                <w:lang w:val="en-US" w:eastAsia="zh-CN"/>
              </w:rPr>
            </w:pPr>
          </w:p>
        </w:tc>
        <w:tc>
          <w:tcPr>
            <w:tcW w:w="4020" w:type="dxa"/>
            <w:vAlign w:val="center"/>
          </w:tcPr>
          <w:p w14:paraId="5EE2F845">
            <w:pPr>
              <w:keepNext w:val="0"/>
              <w:keepLines w:val="0"/>
              <w:widowControl/>
              <w:suppressLineNumbers w:val="0"/>
              <w:jc w:val="center"/>
              <w:textAlignment w:val="center"/>
              <w:rPr>
                <w:rFonts w:hint="default" w:ascii="仿宋" w:hAnsi="仿宋" w:eastAsia="仿宋"/>
                <w:sz w:val="24"/>
                <w:szCs w:val="24"/>
                <w:highlight w:val="none"/>
                <w:lang w:val="en-US" w:eastAsia="zh-CN"/>
              </w:rPr>
            </w:pPr>
            <w:r>
              <w:rPr>
                <w:rFonts w:hint="eastAsia" w:ascii="仿宋" w:hAnsi="仿宋" w:eastAsia="仿宋" w:cs="仿宋"/>
                <w:i w:val="0"/>
                <w:iCs w:val="0"/>
                <w:color w:val="000000"/>
                <w:kern w:val="0"/>
                <w:sz w:val="22"/>
                <w:szCs w:val="22"/>
                <w:highlight w:val="none"/>
                <w:u w:val="none"/>
                <w:lang w:val="en-US" w:eastAsia="zh-CN" w:bidi="ar"/>
              </w:rPr>
              <w:t>EI /其他中文核心期刊</w:t>
            </w:r>
          </w:p>
        </w:tc>
        <w:tc>
          <w:tcPr>
            <w:tcW w:w="1950" w:type="dxa"/>
            <w:vAlign w:val="center"/>
          </w:tcPr>
          <w:p w14:paraId="11F719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2.5分</w:t>
            </w:r>
          </w:p>
        </w:tc>
      </w:tr>
      <w:tr w14:paraId="56FF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ins w:id="0" w:author="高欢" w:date="2026-05-12T12:19:58Z"/>
        </w:trPr>
        <w:tc>
          <w:tcPr>
            <w:tcW w:w="2388" w:type="dxa"/>
            <w:vMerge w:val="continue"/>
            <w:vAlign w:val="center"/>
          </w:tcPr>
          <w:p w14:paraId="4D8B82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4237F308">
            <w:pPr>
              <w:keepNext w:val="0"/>
              <w:keepLines w:val="0"/>
              <w:widowControl/>
              <w:suppressLineNumbers w:val="0"/>
              <w:jc w:val="center"/>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985高校学报</w:t>
            </w:r>
          </w:p>
        </w:tc>
        <w:tc>
          <w:tcPr>
            <w:tcW w:w="1950" w:type="dxa"/>
            <w:vAlign w:val="center"/>
          </w:tcPr>
          <w:p w14:paraId="71D782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olor w:val="auto"/>
                <w:sz w:val="24"/>
                <w:szCs w:val="24"/>
                <w:highlight w:val="none"/>
                <w:vertAlign w:val="baseline"/>
                <w:lang w:val="en-US" w:eastAsia="zh-CN"/>
              </w:rPr>
            </w:pPr>
            <w:r>
              <w:rPr>
                <w:rFonts w:hint="eastAsia" w:ascii="仿宋" w:hAnsi="仿宋" w:eastAsia="仿宋"/>
                <w:color w:val="auto"/>
                <w:sz w:val="24"/>
                <w:szCs w:val="24"/>
                <w:highlight w:val="none"/>
                <w:vertAlign w:val="baseline"/>
                <w:lang w:val="en-US" w:eastAsia="zh-CN"/>
              </w:rPr>
              <w:t>2分</w:t>
            </w:r>
          </w:p>
        </w:tc>
      </w:tr>
      <w:tr w14:paraId="7AFD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2388" w:type="dxa"/>
            <w:vMerge w:val="continue"/>
            <w:vAlign w:val="center"/>
          </w:tcPr>
          <w:p w14:paraId="66B58F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63B1CE70">
            <w:pPr>
              <w:keepNext w:val="0"/>
              <w:keepLines w:val="0"/>
              <w:widowControl/>
              <w:suppressLineNumbers w:val="0"/>
              <w:jc w:val="center"/>
              <w:textAlignment w:val="center"/>
              <w:rPr>
                <w:rFonts w:hint="eastAsia" w:ascii="仿宋" w:hAnsi="仿宋" w:eastAsia="仿宋"/>
                <w:color w:val="auto"/>
                <w:sz w:val="24"/>
                <w:szCs w:val="24"/>
                <w:highlight w:val="none"/>
                <w:lang w:val="en-US" w:eastAsia="zh-CN"/>
              </w:rPr>
            </w:pPr>
            <w:r>
              <w:rPr>
                <w:rFonts w:hint="eastAsia" w:ascii="仿宋" w:hAnsi="仿宋" w:eastAsia="仿宋" w:cs="仿宋"/>
                <w:i w:val="0"/>
                <w:iCs w:val="0"/>
                <w:color w:val="auto"/>
                <w:kern w:val="0"/>
                <w:sz w:val="22"/>
                <w:szCs w:val="22"/>
                <w:highlight w:val="none"/>
                <w:u w:val="none"/>
                <w:lang w:val="en-US" w:eastAsia="zh-CN" w:bidi="ar"/>
              </w:rPr>
              <w:t>211高校学报</w:t>
            </w:r>
          </w:p>
        </w:tc>
        <w:tc>
          <w:tcPr>
            <w:tcW w:w="1950" w:type="dxa"/>
            <w:vAlign w:val="center"/>
          </w:tcPr>
          <w:p w14:paraId="4BD64A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olor w:val="auto"/>
                <w:sz w:val="24"/>
                <w:szCs w:val="24"/>
                <w:highlight w:val="none"/>
                <w:vertAlign w:val="baseline"/>
                <w:lang w:val="en-US" w:eastAsia="zh-CN"/>
              </w:rPr>
            </w:pPr>
            <w:r>
              <w:rPr>
                <w:rFonts w:hint="eastAsia" w:ascii="仿宋" w:hAnsi="仿宋" w:eastAsia="仿宋"/>
                <w:color w:val="auto"/>
                <w:sz w:val="24"/>
                <w:szCs w:val="24"/>
                <w:highlight w:val="none"/>
                <w:vertAlign w:val="baseline"/>
                <w:lang w:val="en-US" w:eastAsia="zh-CN"/>
              </w:rPr>
              <w:t>1分</w:t>
            </w:r>
          </w:p>
        </w:tc>
      </w:tr>
      <w:tr w14:paraId="5C4D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ins w:id="1" w:author="高欢" w:date="2026-05-15T09:59:42Z"/>
        </w:trPr>
        <w:tc>
          <w:tcPr>
            <w:tcW w:w="2388" w:type="dxa"/>
            <w:vMerge w:val="continue"/>
            <w:vAlign w:val="center"/>
          </w:tcPr>
          <w:p w14:paraId="0539F8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highlight w:val="yellow"/>
                <w:vertAlign w:val="baseline"/>
                <w:lang w:val="en-US" w:eastAsia="zh-CN"/>
              </w:rPr>
            </w:pPr>
          </w:p>
        </w:tc>
        <w:tc>
          <w:tcPr>
            <w:tcW w:w="4020" w:type="dxa"/>
            <w:vAlign w:val="center"/>
          </w:tcPr>
          <w:p w14:paraId="1093E922">
            <w:pPr>
              <w:keepNext w:val="0"/>
              <w:keepLines w:val="0"/>
              <w:widowControl/>
              <w:suppressLineNumbers w:val="0"/>
              <w:jc w:val="center"/>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普通本科院校学报</w:t>
            </w:r>
          </w:p>
        </w:tc>
        <w:tc>
          <w:tcPr>
            <w:tcW w:w="1950" w:type="dxa"/>
            <w:vAlign w:val="center"/>
          </w:tcPr>
          <w:p w14:paraId="77E240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olor w:val="auto"/>
                <w:sz w:val="24"/>
                <w:szCs w:val="24"/>
                <w:highlight w:val="none"/>
                <w:vertAlign w:val="baseline"/>
                <w:lang w:val="en-US" w:eastAsia="zh-CN"/>
              </w:rPr>
            </w:pPr>
            <w:r>
              <w:rPr>
                <w:rFonts w:hint="eastAsia" w:ascii="仿宋" w:hAnsi="仿宋" w:eastAsia="仿宋"/>
                <w:color w:val="auto"/>
                <w:sz w:val="24"/>
                <w:szCs w:val="24"/>
                <w:highlight w:val="none"/>
                <w:vertAlign w:val="baseline"/>
                <w:lang w:val="en-US" w:eastAsia="zh-CN"/>
              </w:rPr>
              <w:t>0.5分</w:t>
            </w:r>
          </w:p>
        </w:tc>
      </w:tr>
    </w:tbl>
    <w:p w14:paraId="2309D4E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p>
    <w:p w14:paraId="698CFE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left"/>
        <w:textAlignment w:val="auto"/>
        <w:rPr>
          <w:rFonts w:hint="eastAsia" w:ascii="黑体" w:hAnsi="黑体" w:eastAsia="黑体" w:cs="黑体"/>
          <w:b/>
          <w:sz w:val="32"/>
          <w:szCs w:val="32"/>
          <w:highlight w:val="none"/>
          <w:lang w:val="en-US" w:eastAsia="zh-CN"/>
        </w:rPr>
      </w:pPr>
      <w:r>
        <w:rPr>
          <w:rFonts w:hint="eastAsia" w:ascii="黑体" w:hAnsi="黑体" w:eastAsia="黑体" w:cs="黑体"/>
          <w:b/>
          <w:sz w:val="32"/>
          <w:szCs w:val="32"/>
          <w:highlight w:val="none"/>
          <w:lang w:val="en-US" w:eastAsia="zh-CN"/>
        </w:rPr>
        <w:t>四、竞赛获奖</w:t>
      </w:r>
    </w:p>
    <w:p w14:paraId="7E68C2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left"/>
        <w:textAlignment w:val="auto"/>
        <w:rPr>
          <w:rFonts w:hint="eastAsia" w:ascii="楷体" w:hAnsi="楷体" w:eastAsia="楷体" w:cs="楷体"/>
          <w:b/>
          <w:sz w:val="32"/>
          <w:szCs w:val="32"/>
          <w:highlight w:val="none"/>
        </w:rPr>
      </w:pPr>
      <w:r>
        <w:rPr>
          <w:rFonts w:hint="eastAsia" w:ascii="楷体" w:hAnsi="楷体" w:eastAsia="楷体" w:cs="楷体"/>
          <w:b/>
          <w:sz w:val="32"/>
          <w:szCs w:val="32"/>
          <w:highlight w:val="none"/>
          <w:lang w:eastAsia="zh-CN"/>
        </w:rPr>
        <w:t>（</w:t>
      </w:r>
      <w:r>
        <w:rPr>
          <w:rFonts w:hint="eastAsia" w:ascii="楷体" w:hAnsi="楷体" w:eastAsia="楷体" w:cs="楷体"/>
          <w:b/>
          <w:sz w:val="32"/>
          <w:szCs w:val="32"/>
          <w:highlight w:val="none"/>
          <w:lang w:val="en-US" w:eastAsia="zh-CN"/>
        </w:rPr>
        <w:t>一</w:t>
      </w:r>
      <w:r>
        <w:rPr>
          <w:rFonts w:hint="eastAsia" w:ascii="楷体" w:hAnsi="楷体" w:eastAsia="楷体" w:cs="楷体"/>
          <w:b/>
          <w:sz w:val="32"/>
          <w:szCs w:val="32"/>
          <w:highlight w:val="none"/>
          <w:lang w:eastAsia="zh-CN"/>
        </w:rPr>
        <w:t>）</w:t>
      </w:r>
      <w:r>
        <w:rPr>
          <w:rFonts w:hint="eastAsia" w:ascii="楷体" w:hAnsi="楷体" w:eastAsia="楷体" w:cs="楷体"/>
          <w:b/>
          <w:sz w:val="32"/>
          <w:szCs w:val="32"/>
          <w:highlight w:val="none"/>
        </w:rPr>
        <w:t>认定范围</w:t>
      </w:r>
    </w:p>
    <w:p w14:paraId="5CD4D41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学生本科阶段作为唯一队员或主力队员参加与学业相关的纳入文理学院/文化艺术学院竞赛认定范围的国内权威科研竞赛(全国赛)或国际赛事(不得低于国内赛事相关要求)，获得三等次奖或以上奖励，每项赛事只取最终比赛设置奖项的前三项(校区教务认定)按如下标准赋分，上限为4分。非常设特等奖与一等奖均视为第一等次奖，常设特等奖需学生提供证明材料。竞赛认定范围详见各专业推荐免试研究生工作学术专长加分竞赛认定目录（附件1）。</w:t>
      </w:r>
    </w:p>
    <w:p w14:paraId="2BC200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3" w:firstLineChars="200"/>
        <w:jc w:val="left"/>
        <w:textAlignment w:val="auto"/>
        <w:rPr>
          <w:rFonts w:hint="eastAsia" w:ascii="楷体" w:hAnsi="楷体" w:eastAsia="楷体" w:cs="楷体"/>
          <w:b/>
          <w:sz w:val="32"/>
          <w:szCs w:val="32"/>
          <w:highlight w:val="none"/>
          <w:lang w:eastAsia="zh-CN"/>
        </w:rPr>
      </w:pPr>
      <w:r>
        <w:rPr>
          <w:rFonts w:hint="eastAsia" w:ascii="楷体" w:hAnsi="楷体" w:eastAsia="楷体" w:cs="楷体"/>
          <w:b/>
          <w:sz w:val="32"/>
          <w:szCs w:val="32"/>
          <w:highlight w:val="none"/>
          <w:lang w:eastAsia="zh-CN"/>
        </w:rPr>
        <w:t>（</w:t>
      </w:r>
      <w:r>
        <w:rPr>
          <w:rFonts w:hint="eastAsia" w:ascii="楷体" w:hAnsi="楷体" w:eastAsia="楷体" w:cs="楷体"/>
          <w:b/>
          <w:sz w:val="32"/>
          <w:szCs w:val="32"/>
          <w:highlight w:val="none"/>
          <w:lang w:val="en-US" w:eastAsia="zh-CN"/>
        </w:rPr>
        <w:t>二</w:t>
      </w:r>
      <w:r>
        <w:rPr>
          <w:rFonts w:hint="eastAsia" w:ascii="楷体" w:hAnsi="楷体" w:eastAsia="楷体" w:cs="楷体"/>
          <w:b/>
          <w:sz w:val="32"/>
          <w:szCs w:val="32"/>
          <w:highlight w:val="none"/>
          <w:lang w:eastAsia="zh-CN"/>
        </w:rPr>
        <w:t>）赋分</w:t>
      </w:r>
      <w:r>
        <w:rPr>
          <w:rFonts w:hint="eastAsia" w:ascii="楷体" w:hAnsi="楷体" w:eastAsia="楷体" w:cs="楷体"/>
          <w:b/>
          <w:sz w:val="32"/>
          <w:szCs w:val="32"/>
          <w:highlight w:val="none"/>
          <w:lang w:val="en-US" w:eastAsia="zh-CN"/>
        </w:rPr>
        <w:t>标准</w:t>
      </w:r>
    </w:p>
    <w:p w14:paraId="461A88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rPr>
        <w:t>纳入</w:t>
      </w:r>
      <w:r>
        <w:rPr>
          <w:rFonts w:hint="eastAsia" w:ascii="仿宋" w:hAnsi="仿宋" w:eastAsia="仿宋"/>
          <w:sz w:val="32"/>
          <w:szCs w:val="32"/>
          <w:highlight w:val="none"/>
          <w:lang w:val="en-US" w:eastAsia="zh-CN"/>
        </w:rPr>
        <w:t>学院</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专业</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推免竞赛</w:t>
      </w:r>
      <w:r>
        <w:rPr>
          <w:rFonts w:hint="eastAsia" w:ascii="仿宋" w:hAnsi="仿宋" w:eastAsia="仿宋"/>
          <w:sz w:val="32"/>
          <w:szCs w:val="32"/>
          <w:highlight w:val="none"/>
        </w:rPr>
        <w:t>认定</w:t>
      </w:r>
      <w:r>
        <w:rPr>
          <w:rFonts w:hint="eastAsia" w:ascii="仿宋" w:hAnsi="仿宋" w:eastAsia="仿宋"/>
          <w:sz w:val="32"/>
          <w:szCs w:val="32"/>
          <w:highlight w:val="none"/>
          <w:lang w:val="en-US" w:eastAsia="zh-CN"/>
        </w:rPr>
        <w:t>执行目录</w:t>
      </w:r>
      <w:r>
        <w:rPr>
          <w:rFonts w:hint="eastAsia" w:ascii="仿宋" w:hAnsi="仿宋" w:eastAsia="仿宋"/>
          <w:sz w:val="32"/>
          <w:szCs w:val="32"/>
          <w:highlight w:val="none"/>
        </w:rPr>
        <w:t>的竞赛，</w:t>
      </w:r>
      <w:r>
        <w:rPr>
          <w:rFonts w:hint="eastAsia" w:ascii="仿宋" w:hAnsi="仿宋" w:eastAsia="仿宋"/>
          <w:sz w:val="32"/>
          <w:szCs w:val="32"/>
          <w:highlight w:val="none"/>
          <w:lang w:val="en-US" w:eastAsia="zh-CN"/>
        </w:rPr>
        <w:t>学生</w:t>
      </w:r>
      <w:r>
        <w:rPr>
          <w:rFonts w:hint="eastAsia" w:ascii="仿宋" w:hAnsi="仿宋" w:eastAsia="仿宋"/>
          <w:sz w:val="32"/>
          <w:szCs w:val="32"/>
          <w:highlight w:val="none"/>
        </w:rPr>
        <w:t>获得</w:t>
      </w:r>
      <w:r>
        <w:rPr>
          <w:rFonts w:hint="eastAsia" w:ascii="仿宋" w:hAnsi="仿宋" w:eastAsia="仿宋"/>
          <w:sz w:val="32"/>
          <w:szCs w:val="32"/>
          <w:highlight w:val="none"/>
          <w:lang w:val="en-US" w:eastAsia="zh-CN"/>
        </w:rPr>
        <w:t>第三等次及</w:t>
      </w:r>
      <w:r>
        <w:rPr>
          <w:rFonts w:hint="eastAsia" w:ascii="仿宋" w:hAnsi="仿宋" w:eastAsia="仿宋"/>
          <w:sz w:val="32"/>
          <w:szCs w:val="32"/>
          <w:highlight w:val="none"/>
        </w:rPr>
        <w:t>以上奖励</w:t>
      </w:r>
      <w:r>
        <w:rPr>
          <w:rFonts w:hint="eastAsia" w:ascii="仿宋" w:hAnsi="仿宋" w:eastAsia="仿宋"/>
          <w:sz w:val="32"/>
          <w:szCs w:val="32"/>
          <w:highlight w:val="none"/>
          <w:lang w:eastAsia="zh-CN"/>
        </w:rPr>
        <w:t>，</w:t>
      </w:r>
      <w:r>
        <w:rPr>
          <w:rFonts w:hint="eastAsia" w:ascii="仿宋" w:hAnsi="仿宋" w:eastAsia="仿宋"/>
          <w:sz w:val="32"/>
          <w:szCs w:val="32"/>
          <w:highlight w:val="none"/>
        </w:rPr>
        <w:t>按照如下标准赋分</w:t>
      </w:r>
      <w:r>
        <w:rPr>
          <w:rFonts w:hint="eastAsia" w:ascii="仿宋" w:hAnsi="仿宋" w:eastAsia="仿宋"/>
          <w:sz w:val="32"/>
          <w:szCs w:val="32"/>
          <w:highlight w:val="none"/>
          <w:lang w:eastAsia="zh-CN"/>
        </w:rPr>
        <w:t>。</w:t>
      </w:r>
      <w:r>
        <w:rPr>
          <w:rFonts w:hint="eastAsia" w:ascii="仿宋" w:hAnsi="仿宋" w:eastAsia="仿宋"/>
          <w:sz w:val="32"/>
          <w:szCs w:val="32"/>
          <w:highlight w:val="none"/>
        </w:rPr>
        <w:t>团队获奖以团队为单位进行赋分，团队成员赋分总和不超过以</w:t>
      </w:r>
      <w:r>
        <w:rPr>
          <w:rFonts w:hint="eastAsia" w:ascii="仿宋" w:hAnsi="仿宋" w:eastAsia="仿宋"/>
          <w:sz w:val="32"/>
          <w:szCs w:val="32"/>
          <w:highlight w:val="none"/>
          <w:lang w:val="en-US" w:eastAsia="zh-CN"/>
        </w:rPr>
        <w:t>下</w:t>
      </w:r>
      <w:r>
        <w:rPr>
          <w:rFonts w:hint="eastAsia" w:ascii="仿宋" w:hAnsi="仿宋" w:eastAsia="仿宋"/>
          <w:sz w:val="32"/>
          <w:szCs w:val="32"/>
          <w:highlight w:val="none"/>
        </w:rPr>
        <w:t>赋分标准。</w:t>
      </w:r>
    </w:p>
    <w:tbl>
      <w:tblPr>
        <w:tblStyle w:val="8"/>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1806"/>
        <w:gridCol w:w="1445"/>
        <w:gridCol w:w="1560"/>
        <w:gridCol w:w="1690"/>
      </w:tblGrid>
      <w:tr w14:paraId="496F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23" w:type="dxa"/>
            <w:gridSpan w:val="2"/>
            <w:vAlign w:val="center"/>
          </w:tcPr>
          <w:p w14:paraId="6AB6806D">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等级</w:t>
            </w:r>
          </w:p>
        </w:tc>
        <w:tc>
          <w:tcPr>
            <w:tcW w:w="1445" w:type="dxa"/>
            <w:vAlign w:val="center"/>
          </w:tcPr>
          <w:p w14:paraId="6AA871BB">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A类</w:t>
            </w:r>
          </w:p>
        </w:tc>
        <w:tc>
          <w:tcPr>
            <w:tcW w:w="1560" w:type="dxa"/>
            <w:vAlign w:val="center"/>
          </w:tcPr>
          <w:p w14:paraId="25E8E3A2">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B类</w:t>
            </w:r>
          </w:p>
        </w:tc>
        <w:tc>
          <w:tcPr>
            <w:tcW w:w="1690" w:type="dxa"/>
            <w:vAlign w:val="center"/>
          </w:tcPr>
          <w:p w14:paraId="41F7A3E9">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C类</w:t>
            </w:r>
          </w:p>
        </w:tc>
      </w:tr>
      <w:tr w14:paraId="5F89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vMerge w:val="restart"/>
            <w:vAlign w:val="center"/>
          </w:tcPr>
          <w:p w14:paraId="5FC18009">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国家（国际）级竞赛</w:t>
            </w:r>
          </w:p>
        </w:tc>
        <w:tc>
          <w:tcPr>
            <w:tcW w:w="1806" w:type="dxa"/>
            <w:vAlign w:val="center"/>
          </w:tcPr>
          <w:p w14:paraId="27784286">
            <w:pPr>
              <w:spacing w:line="360" w:lineRule="auto"/>
              <w:jc w:val="center"/>
              <w:rPr>
                <w:rFonts w:ascii="仿宋" w:hAnsi="仿宋" w:eastAsia="仿宋"/>
                <w:sz w:val="30"/>
                <w:szCs w:val="30"/>
                <w:highlight w:val="none"/>
              </w:rPr>
            </w:pPr>
            <w:r>
              <w:rPr>
                <w:rFonts w:hint="eastAsia" w:ascii="仿宋" w:hAnsi="仿宋" w:eastAsia="仿宋"/>
                <w:sz w:val="30"/>
                <w:szCs w:val="30"/>
                <w:highlight w:val="none"/>
                <w:lang w:val="en-US" w:eastAsia="zh-CN"/>
              </w:rPr>
              <w:t>第一等次</w:t>
            </w:r>
            <w:r>
              <w:rPr>
                <w:rFonts w:hint="eastAsia" w:ascii="仿宋" w:hAnsi="仿宋" w:eastAsia="仿宋"/>
                <w:sz w:val="30"/>
                <w:szCs w:val="30"/>
                <w:highlight w:val="none"/>
              </w:rPr>
              <w:t>奖</w:t>
            </w:r>
          </w:p>
        </w:tc>
        <w:tc>
          <w:tcPr>
            <w:tcW w:w="1445" w:type="dxa"/>
            <w:vAlign w:val="center"/>
          </w:tcPr>
          <w:p w14:paraId="402894F5">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4</w:t>
            </w:r>
            <w:r>
              <w:rPr>
                <w:rFonts w:ascii="仿宋" w:hAnsi="仿宋" w:eastAsia="仿宋"/>
                <w:sz w:val="30"/>
                <w:szCs w:val="30"/>
                <w:highlight w:val="none"/>
              </w:rPr>
              <w:t>.0</w:t>
            </w:r>
            <w:r>
              <w:rPr>
                <w:rFonts w:hint="eastAsia" w:ascii="仿宋" w:hAnsi="仿宋" w:eastAsia="仿宋"/>
                <w:sz w:val="30"/>
                <w:szCs w:val="30"/>
                <w:highlight w:val="none"/>
              </w:rPr>
              <w:t>分</w:t>
            </w:r>
          </w:p>
        </w:tc>
        <w:tc>
          <w:tcPr>
            <w:tcW w:w="1560" w:type="dxa"/>
            <w:vAlign w:val="center"/>
          </w:tcPr>
          <w:p w14:paraId="6E76A011">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3</w:t>
            </w:r>
            <w:r>
              <w:rPr>
                <w:rFonts w:ascii="仿宋" w:hAnsi="仿宋" w:eastAsia="仿宋"/>
                <w:sz w:val="30"/>
                <w:szCs w:val="30"/>
                <w:highlight w:val="none"/>
              </w:rPr>
              <w:t>.0</w:t>
            </w:r>
            <w:r>
              <w:rPr>
                <w:rFonts w:hint="eastAsia" w:ascii="仿宋" w:hAnsi="仿宋" w:eastAsia="仿宋"/>
                <w:sz w:val="30"/>
                <w:szCs w:val="30"/>
                <w:highlight w:val="none"/>
              </w:rPr>
              <w:t>分</w:t>
            </w:r>
          </w:p>
        </w:tc>
        <w:tc>
          <w:tcPr>
            <w:tcW w:w="1690" w:type="dxa"/>
            <w:vAlign w:val="center"/>
          </w:tcPr>
          <w:p w14:paraId="4F5C2271">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2</w:t>
            </w:r>
            <w:r>
              <w:rPr>
                <w:rFonts w:ascii="仿宋" w:hAnsi="仿宋" w:eastAsia="仿宋"/>
                <w:sz w:val="30"/>
                <w:szCs w:val="30"/>
                <w:highlight w:val="none"/>
              </w:rPr>
              <w:t>.0</w:t>
            </w:r>
            <w:r>
              <w:rPr>
                <w:rFonts w:hint="eastAsia" w:ascii="仿宋" w:hAnsi="仿宋" w:eastAsia="仿宋"/>
                <w:sz w:val="30"/>
                <w:szCs w:val="30"/>
                <w:highlight w:val="none"/>
              </w:rPr>
              <w:t>分</w:t>
            </w:r>
          </w:p>
        </w:tc>
      </w:tr>
      <w:tr w14:paraId="15AF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vMerge w:val="continue"/>
            <w:vAlign w:val="center"/>
          </w:tcPr>
          <w:p w14:paraId="40F48277">
            <w:pPr>
              <w:spacing w:line="360" w:lineRule="auto"/>
              <w:jc w:val="center"/>
              <w:rPr>
                <w:rFonts w:ascii="仿宋" w:hAnsi="仿宋" w:eastAsia="仿宋"/>
                <w:sz w:val="30"/>
                <w:szCs w:val="30"/>
                <w:highlight w:val="none"/>
              </w:rPr>
            </w:pPr>
          </w:p>
        </w:tc>
        <w:tc>
          <w:tcPr>
            <w:tcW w:w="1806" w:type="dxa"/>
            <w:vAlign w:val="center"/>
          </w:tcPr>
          <w:p w14:paraId="26F1C6B2">
            <w:pPr>
              <w:spacing w:line="360" w:lineRule="auto"/>
              <w:jc w:val="center"/>
              <w:rPr>
                <w:rFonts w:ascii="仿宋" w:hAnsi="仿宋" w:eastAsia="仿宋"/>
                <w:sz w:val="30"/>
                <w:szCs w:val="30"/>
                <w:highlight w:val="none"/>
              </w:rPr>
            </w:pPr>
            <w:r>
              <w:rPr>
                <w:rFonts w:hint="eastAsia" w:ascii="仿宋" w:hAnsi="仿宋" w:eastAsia="仿宋"/>
                <w:sz w:val="30"/>
                <w:szCs w:val="30"/>
                <w:highlight w:val="none"/>
                <w:lang w:val="en-US" w:eastAsia="zh-CN"/>
              </w:rPr>
              <w:t>第二等次</w:t>
            </w:r>
            <w:r>
              <w:rPr>
                <w:rFonts w:hint="eastAsia" w:ascii="仿宋" w:hAnsi="仿宋" w:eastAsia="仿宋"/>
                <w:sz w:val="30"/>
                <w:szCs w:val="30"/>
                <w:highlight w:val="none"/>
              </w:rPr>
              <w:t>奖</w:t>
            </w:r>
          </w:p>
        </w:tc>
        <w:tc>
          <w:tcPr>
            <w:tcW w:w="1445" w:type="dxa"/>
            <w:vAlign w:val="center"/>
          </w:tcPr>
          <w:p w14:paraId="08F6637E">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3</w:t>
            </w:r>
            <w:r>
              <w:rPr>
                <w:rFonts w:ascii="仿宋" w:hAnsi="仿宋" w:eastAsia="仿宋"/>
                <w:sz w:val="30"/>
                <w:szCs w:val="30"/>
                <w:highlight w:val="none"/>
              </w:rPr>
              <w:t>.0</w:t>
            </w:r>
            <w:r>
              <w:rPr>
                <w:rFonts w:hint="eastAsia" w:ascii="仿宋" w:hAnsi="仿宋" w:eastAsia="仿宋"/>
                <w:sz w:val="30"/>
                <w:szCs w:val="30"/>
                <w:highlight w:val="none"/>
              </w:rPr>
              <w:t>分</w:t>
            </w:r>
          </w:p>
        </w:tc>
        <w:tc>
          <w:tcPr>
            <w:tcW w:w="1560" w:type="dxa"/>
            <w:vAlign w:val="center"/>
          </w:tcPr>
          <w:p w14:paraId="712BF60E">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2</w:t>
            </w:r>
            <w:r>
              <w:rPr>
                <w:rFonts w:ascii="仿宋" w:hAnsi="仿宋" w:eastAsia="仿宋"/>
                <w:sz w:val="30"/>
                <w:szCs w:val="30"/>
                <w:highlight w:val="none"/>
              </w:rPr>
              <w:t>.0</w:t>
            </w:r>
            <w:r>
              <w:rPr>
                <w:rFonts w:hint="eastAsia" w:ascii="仿宋" w:hAnsi="仿宋" w:eastAsia="仿宋"/>
                <w:sz w:val="30"/>
                <w:szCs w:val="30"/>
                <w:highlight w:val="none"/>
              </w:rPr>
              <w:t>分</w:t>
            </w:r>
          </w:p>
        </w:tc>
        <w:tc>
          <w:tcPr>
            <w:tcW w:w="1690" w:type="dxa"/>
            <w:vAlign w:val="center"/>
          </w:tcPr>
          <w:p w14:paraId="4EC3D7BD">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1</w:t>
            </w:r>
            <w:r>
              <w:rPr>
                <w:rFonts w:ascii="仿宋" w:hAnsi="仿宋" w:eastAsia="仿宋"/>
                <w:sz w:val="30"/>
                <w:szCs w:val="30"/>
                <w:highlight w:val="none"/>
              </w:rPr>
              <w:t>.0</w:t>
            </w:r>
            <w:r>
              <w:rPr>
                <w:rFonts w:hint="eastAsia" w:ascii="仿宋" w:hAnsi="仿宋" w:eastAsia="仿宋"/>
                <w:sz w:val="30"/>
                <w:szCs w:val="30"/>
                <w:highlight w:val="none"/>
              </w:rPr>
              <w:t>分</w:t>
            </w:r>
          </w:p>
        </w:tc>
      </w:tr>
      <w:tr w14:paraId="01C63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vMerge w:val="continue"/>
            <w:vAlign w:val="center"/>
          </w:tcPr>
          <w:p w14:paraId="69043558">
            <w:pPr>
              <w:spacing w:line="360" w:lineRule="auto"/>
              <w:jc w:val="center"/>
              <w:rPr>
                <w:rFonts w:ascii="仿宋" w:hAnsi="仿宋" w:eastAsia="仿宋"/>
                <w:sz w:val="30"/>
                <w:szCs w:val="30"/>
                <w:highlight w:val="none"/>
              </w:rPr>
            </w:pPr>
          </w:p>
        </w:tc>
        <w:tc>
          <w:tcPr>
            <w:tcW w:w="1806" w:type="dxa"/>
            <w:vAlign w:val="center"/>
          </w:tcPr>
          <w:p w14:paraId="6CA43760">
            <w:pPr>
              <w:spacing w:line="360" w:lineRule="auto"/>
              <w:jc w:val="center"/>
              <w:rPr>
                <w:rFonts w:ascii="仿宋" w:hAnsi="仿宋" w:eastAsia="仿宋"/>
                <w:sz w:val="30"/>
                <w:szCs w:val="30"/>
                <w:highlight w:val="none"/>
              </w:rPr>
            </w:pPr>
            <w:r>
              <w:rPr>
                <w:rFonts w:hint="eastAsia" w:ascii="仿宋" w:hAnsi="仿宋" w:eastAsia="仿宋"/>
                <w:sz w:val="30"/>
                <w:szCs w:val="30"/>
                <w:highlight w:val="none"/>
                <w:lang w:val="en-US" w:eastAsia="zh-CN"/>
              </w:rPr>
              <w:t>第三等次</w:t>
            </w:r>
            <w:r>
              <w:rPr>
                <w:rFonts w:hint="eastAsia" w:ascii="仿宋" w:hAnsi="仿宋" w:eastAsia="仿宋"/>
                <w:sz w:val="30"/>
                <w:szCs w:val="30"/>
                <w:highlight w:val="none"/>
              </w:rPr>
              <w:t>奖</w:t>
            </w:r>
          </w:p>
        </w:tc>
        <w:tc>
          <w:tcPr>
            <w:tcW w:w="1445" w:type="dxa"/>
            <w:vAlign w:val="center"/>
          </w:tcPr>
          <w:p w14:paraId="3933D6AB">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2</w:t>
            </w:r>
            <w:r>
              <w:rPr>
                <w:rFonts w:ascii="仿宋" w:hAnsi="仿宋" w:eastAsia="仿宋"/>
                <w:sz w:val="30"/>
                <w:szCs w:val="30"/>
                <w:highlight w:val="none"/>
              </w:rPr>
              <w:t>.0</w:t>
            </w:r>
            <w:r>
              <w:rPr>
                <w:rFonts w:hint="eastAsia" w:ascii="仿宋" w:hAnsi="仿宋" w:eastAsia="仿宋"/>
                <w:sz w:val="30"/>
                <w:szCs w:val="30"/>
                <w:highlight w:val="none"/>
              </w:rPr>
              <w:t>分</w:t>
            </w:r>
          </w:p>
        </w:tc>
        <w:tc>
          <w:tcPr>
            <w:tcW w:w="1560" w:type="dxa"/>
            <w:vAlign w:val="center"/>
          </w:tcPr>
          <w:p w14:paraId="43340DB3">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1</w:t>
            </w:r>
            <w:r>
              <w:rPr>
                <w:rFonts w:ascii="仿宋" w:hAnsi="仿宋" w:eastAsia="仿宋"/>
                <w:sz w:val="30"/>
                <w:szCs w:val="30"/>
                <w:highlight w:val="none"/>
              </w:rPr>
              <w:t>.0</w:t>
            </w:r>
            <w:r>
              <w:rPr>
                <w:rFonts w:hint="eastAsia" w:ascii="仿宋" w:hAnsi="仿宋" w:eastAsia="仿宋"/>
                <w:sz w:val="30"/>
                <w:szCs w:val="30"/>
                <w:highlight w:val="none"/>
              </w:rPr>
              <w:t>分</w:t>
            </w:r>
          </w:p>
        </w:tc>
        <w:tc>
          <w:tcPr>
            <w:tcW w:w="1690" w:type="dxa"/>
            <w:vAlign w:val="center"/>
          </w:tcPr>
          <w:p w14:paraId="7A991B16">
            <w:pPr>
              <w:spacing w:line="360" w:lineRule="auto"/>
              <w:jc w:val="center"/>
              <w:rPr>
                <w:rFonts w:ascii="仿宋" w:hAnsi="仿宋" w:eastAsia="仿宋"/>
                <w:sz w:val="30"/>
                <w:szCs w:val="30"/>
                <w:highlight w:val="none"/>
              </w:rPr>
            </w:pPr>
            <w:r>
              <w:rPr>
                <w:rFonts w:hint="eastAsia" w:ascii="仿宋" w:hAnsi="仿宋" w:eastAsia="仿宋"/>
                <w:sz w:val="30"/>
                <w:szCs w:val="30"/>
                <w:highlight w:val="none"/>
              </w:rPr>
              <w:t>0</w:t>
            </w:r>
            <w:r>
              <w:rPr>
                <w:rFonts w:ascii="仿宋" w:hAnsi="仿宋" w:eastAsia="仿宋"/>
                <w:sz w:val="30"/>
                <w:szCs w:val="30"/>
                <w:highlight w:val="none"/>
              </w:rPr>
              <w:t>.5</w:t>
            </w:r>
            <w:r>
              <w:rPr>
                <w:rFonts w:hint="eastAsia" w:ascii="仿宋" w:hAnsi="仿宋" w:eastAsia="仿宋"/>
                <w:sz w:val="30"/>
                <w:szCs w:val="30"/>
                <w:highlight w:val="none"/>
              </w:rPr>
              <w:t>分</w:t>
            </w:r>
          </w:p>
        </w:tc>
      </w:tr>
    </w:tbl>
    <w:p w14:paraId="52FBA23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具体计算方法和步骤为:</w:t>
      </w:r>
    </w:p>
    <w:p w14:paraId="2E33868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1.团队获奖以团队为单位进行赋分，团队(人数为N)中各成员的赋分计算方法为:</w:t>
      </w:r>
    </w:p>
    <w:p w14:paraId="0EE536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sz w:val="32"/>
          <w:szCs w:val="32"/>
          <w:highlight w:val="none"/>
          <w:lang w:val="en-US" w:eastAsia="zh-CN"/>
        </w:rPr>
      </w:pPr>
      <w:r>
        <w:drawing>
          <wp:inline distT="0" distB="0" distL="114300" distR="114300">
            <wp:extent cx="4524375" cy="819150"/>
            <wp:effectExtent l="0" t="0" r="190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524375" cy="819150"/>
                    </a:xfrm>
                    <a:prstGeom prst="rect">
                      <a:avLst/>
                    </a:prstGeom>
                    <a:noFill/>
                    <a:ln>
                      <a:noFill/>
                    </a:ln>
                  </pic:spPr>
                </pic:pic>
              </a:graphicData>
            </a:graphic>
          </wp:inline>
        </w:drawing>
      </w:r>
    </w:p>
    <w:p w14:paraId="21912DA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2.竞赛获奖总得分(上限4分)的具体计算方法为:</w:t>
      </w:r>
    </w:p>
    <w:p w14:paraId="2DC1F36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个人竞赛获奖总得分=个人单独获奖赋分+团体获奖中的个人</w:t>
      </w:r>
    </w:p>
    <w:p w14:paraId="5EAE5A07">
      <w:pPr>
        <w:keepNext w:val="0"/>
        <w:keepLines w:val="0"/>
        <w:pageBreakBefore w:val="0"/>
        <w:widowControl w:val="0"/>
        <w:kinsoku/>
        <w:wordWrap/>
        <w:overflowPunct/>
        <w:topLinePunct w:val="0"/>
        <w:autoSpaceDE/>
        <w:autoSpaceDN/>
        <w:bidi w:val="0"/>
        <w:adjustRightInd/>
        <w:snapToGrid/>
        <w:spacing w:before="157" w:beforeLines="50" w:line="360" w:lineRule="auto"/>
        <w:ind w:firstLine="643" w:firstLineChars="200"/>
        <w:jc w:val="left"/>
        <w:textAlignment w:val="auto"/>
        <w:rPr>
          <w:rFonts w:hint="eastAsia" w:ascii="黑体" w:hAnsi="黑体" w:eastAsia="黑体" w:cs="黑体"/>
          <w:b/>
          <w:sz w:val="32"/>
          <w:szCs w:val="32"/>
          <w:highlight w:val="none"/>
        </w:rPr>
      </w:pPr>
      <w:r>
        <w:rPr>
          <w:rFonts w:hint="eastAsia" w:ascii="黑体" w:hAnsi="黑体" w:eastAsia="黑体" w:cs="黑体"/>
          <w:b/>
          <w:sz w:val="32"/>
          <w:szCs w:val="32"/>
          <w:highlight w:val="none"/>
          <w:lang w:val="en-US" w:eastAsia="zh-CN"/>
        </w:rPr>
        <w:t>五</w:t>
      </w:r>
      <w:r>
        <w:rPr>
          <w:rFonts w:hint="eastAsia" w:ascii="黑体" w:hAnsi="黑体" w:eastAsia="黑体" w:cs="黑体"/>
          <w:b/>
          <w:sz w:val="32"/>
          <w:szCs w:val="32"/>
          <w:highlight w:val="none"/>
        </w:rPr>
        <w:t>、</w:t>
      </w:r>
      <w:r>
        <w:rPr>
          <w:rFonts w:hint="eastAsia" w:ascii="黑体" w:hAnsi="黑体" w:eastAsia="黑体" w:cs="黑体"/>
          <w:b/>
          <w:sz w:val="32"/>
          <w:szCs w:val="32"/>
          <w:highlight w:val="none"/>
          <w:lang w:val="en-US" w:eastAsia="zh-CN"/>
        </w:rPr>
        <w:t>说明</w:t>
      </w:r>
    </w:p>
    <w:p w14:paraId="403A89F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1.学术论文、获奖证书、创新创业项目及荣誉证书等均应提交原件与复印件，检索学术论文需提供论文检索证明(由校区图书馆出具检索证明，且标识论文索引号及所属分区信息)，否则不予赋分。</w:t>
      </w:r>
    </w:p>
    <w:p w14:paraId="57EA4FF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2.对于与指导老师联合发表论文或参赛的，学生须提供指导老师出具的推荐信，推荐信中应客观陈述学生在联合成果中所作的实际贡献。</w:t>
      </w:r>
    </w:p>
    <w:p w14:paraId="65BF705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3.获奖等级的认定以加盖公章的文件材料为准。</w:t>
      </w:r>
    </w:p>
    <w:p w14:paraId="2E9E29E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4.如果学校及上级文件有变动或与本办法不一致，以上级文件为准。其它未尽事项由文理学院/文化艺术学院推免工作小组集体讨论后决定。</w:t>
      </w:r>
    </w:p>
    <w:p w14:paraId="662F00E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5.本办法限文理学院/文化艺术学院推荐2027届优秀本科毕业生免试攻读研究生遴选工作使用。</w:t>
      </w:r>
    </w:p>
    <w:p w14:paraId="61C0A5C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highlight w:val="none"/>
        </w:rPr>
      </w:pPr>
      <w:r>
        <w:rPr>
          <w:rFonts w:hint="eastAsia" w:ascii="仿宋" w:hAnsi="仿宋" w:eastAsia="仿宋"/>
          <w:sz w:val="32"/>
          <w:szCs w:val="32"/>
          <w:highlight w:val="none"/>
          <w:lang w:val="en-US" w:eastAsia="zh-CN"/>
        </w:rPr>
        <w:t>6.本办法由文理学院/文化艺术学院2026年推免工作小组负责解释。</w:t>
      </w:r>
    </w:p>
    <w:bookmarkEnd w:id="0"/>
    <w:bookmarkEnd w:id="1"/>
    <w:p w14:paraId="7CE6963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ascii="仿宋" w:hAnsi="仿宋" w:eastAsia="仿宋"/>
          <w:sz w:val="32"/>
          <w:szCs w:val="32"/>
          <w:highlight w:val="none"/>
        </w:rPr>
      </w:pPr>
    </w:p>
    <w:p w14:paraId="7ACB4B7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right"/>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文理学院/文化艺术学院</w:t>
      </w:r>
    </w:p>
    <w:p w14:paraId="7B96BBD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right"/>
        <w:textAlignment w:val="auto"/>
        <w:rPr>
          <w:rFonts w:ascii="仿宋" w:hAnsi="仿宋" w:eastAsia="仿宋"/>
          <w:sz w:val="32"/>
          <w:szCs w:val="32"/>
          <w:highlight w:val="none"/>
        </w:rPr>
      </w:pPr>
      <w:r>
        <w:rPr>
          <w:rFonts w:hint="eastAsia" w:ascii="仿宋" w:hAnsi="仿宋" w:eastAsia="仿宋"/>
          <w:sz w:val="32"/>
          <w:szCs w:val="32"/>
          <w:highlight w:val="none"/>
        </w:rPr>
        <w:t>2</w:t>
      </w:r>
      <w:r>
        <w:rPr>
          <w:rFonts w:ascii="仿宋" w:hAnsi="仿宋" w:eastAsia="仿宋"/>
          <w:sz w:val="32"/>
          <w:szCs w:val="32"/>
          <w:highlight w:val="none"/>
        </w:rPr>
        <w:t>0</w:t>
      </w:r>
      <w:r>
        <w:rPr>
          <w:rFonts w:hint="eastAsia" w:ascii="仿宋" w:hAnsi="仿宋" w:eastAsia="仿宋"/>
          <w:sz w:val="32"/>
          <w:szCs w:val="32"/>
          <w:highlight w:val="none"/>
          <w:lang w:val="en-US" w:eastAsia="zh-CN"/>
        </w:rPr>
        <w:t>26</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月</w:t>
      </w:r>
      <w:r>
        <w:rPr>
          <w:rFonts w:hint="eastAsia" w:ascii="仿宋" w:hAnsi="仿宋" w:eastAsia="仿宋"/>
          <w:sz w:val="32"/>
          <w:szCs w:val="32"/>
          <w:highlight w:val="none"/>
          <w:lang w:val="en-US" w:eastAsia="zh-CN"/>
        </w:rPr>
        <w:t>15</w:t>
      </w:r>
      <w:r>
        <w:rPr>
          <w:rFonts w:hint="eastAsia" w:ascii="仿宋" w:hAnsi="仿宋" w:eastAsia="仿宋"/>
          <w:sz w:val="32"/>
          <w:szCs w:val="32"/>
          <w:highlight w:val="none"/>
        </w:rPr>
        <w:t>日</w:t>
      </w:r>
      <w:bookmarkEnd w:id="2"/>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高欢">
    <w15:presenceInfo w15:providerId="WPS Office" w15:userId="124310612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yNzYwYTNiMWRiMDNhMzdmNjg3OWI5ODYwNjE3MmMifQ=="/>
  </w:docVars>
  <w:rsids>
    <w:rsidRoot w:val="000E5D80"/>
    <w:rsid w:val="000E5D80"/>
    <w:rsid w:val="00116BA5"/>
    <w:rsid w:val="0034381F"/>
    <w:rsid w:val="0046603E"/>
    <w:rsid w:val="00560899"/>
    <w:rsid w:val="005A267C"/>
    <w:rsid w:val="00756031"/>
    <w:rsid w:val="007B241C"/>
    <w:rsid w:val="007D321E"/>
    <w:rsid w:val="00820CA3"/>
    <w:rsid w:val="008A2660"/>
    <w:rsid w:val="008B1733"/>
    <w:rsid w:val="00912576"/>
    <w:rsid w:val="00986834"/>
    <w:rsid w:val="00997FD1"/>
    <w:rsid w:val="00A35213"/>
    <w:rsid w:val="00A41ABD"/>
    <w:rsid w:val="00C6768A"/>
    <w:rsid w:val="00C92A90"/>
    <w:rsid w:val="00D23B24"/>
    <w:rsid w:val="00D70703"/>
    <w:rsid w:val="00D9505A"/>
    <w:rsid w:val="00D96628"/>
    <w:rsid w:val="00DA5F08"/>
    <w:rsid w:val="00DC41B2"/>
    <w:rsid w:val="00E03C32"/>
    <w:rsid w:val="00E871A1"/>
    <w:rsid w:val="00F536CB"/>
    <w:rsid w:val="00F85DA2"/>
    <w:rsid w:val="00FD4170"/>
    <w:rsid w:val="010776FC"/>
    <w:rsid w:val="01696696"/>
    <w:rsid w:val="023A109F"/>
    <w:rsid w:val="02EC6AED"/>
    <w:rsid w:val="03BE7AAE"/>
    <w:rsid w:val="0475016D"/>
    <w:rsid w:val="0556310A"/>
    <w:rsid w:val="06117DAA"/>
    <w:rsid w:val="08C52D6F"/>
    <w:rsid w:val="098F0A15"/>
    <w:rsid w:val="0A8D41D5"/>
    <w:rsid w:val="0BC66547"/>
    <w:rsid w:val="0BF0004B"/>
    <w:rsid w:val="0E197DBB"/>
    <w:rsid w:val="0E2E3F4C"/>
    <w:rsid w:val="0E812B09"/>
    <w:rsid w:val="12042B30"/>
    <w:rsid w:val="12086AC4"/>
    <w:rsid w:val="12ED7A68"/>
    <w:rsid w:val="13180F89"/>
    <w:rsid w:val="13441D7E"/>
    <w:rsid w:val="15A53527"/>
    <w:rsid w:val="176C53FF"/>
    <w:rsid w:val="19024013"/>
    <w:rsid w:val="19947E99"/>
    <w:rsid w:val="19B8270C"/>
    <w:rsid w:val="19C15671"/>
    <w:rsid w:val="1B1A1616"/>
    <w:rsid w:val="1C914391"/>
    <w:rsid w:val="1D3029A2"/>
    <w:rsid w:val="1DD45AAC"/>
    <w:rsid w:val="1E0021D7"/>
    <w:rsid w:val="1E7A4110"/>
    <w:rsid w:val="1F5E5F75"/>
    <w:rsid w:val="20662375"/>
    <w:rsid w:val="21723487"/>
    <w:rsid w:val="21C10E32"/>
    <w:rsid w:val="21C4462D"/>
    <w:rsid w:val="234C548D"/>
    <w:rsid w:val="243C263C"/>
    <w:rsid w:val="24E436DF"/>
    <w:rsid w:val="25784B2E"/>
    <w:rsid w:val="27A22094"/>
    <w:rsid w:val="28731923"/>
    <w:rsid w:val="28EA13DF"/>
    <w:rsid w:val="28FB2947"/>
    <w:rsid w:val="2A0C5628"/>
    <w:rsid w:val="2A3F69A3"/>
    <w:rsid w:val="2A8645D2"/>
    <w:rsid w:val="2AC1385C"/>
    <w:rsid w:val="2AC84BEB"/>
    <w:rsid w:val="2E292154"/>
    <w:rsid w:val="2E7035CF"/>
    <w:rsid w:val="2EBE5BA4"/>
    <w:rsid w:val="2F1E6F2E"/>
    <w:rsid w:val="2FAC7951"/>
    <w:rsid w:val="313308E4"/>
    <w:rsid w:val="32F11D5E"/>
    <w:rsid w:val="333D3C9C"/>
    <w:rsid w:val="335E1555"/>
    <w:rsid w:val="34897D62"/>
    <w:rsid w:val="35040F15"/>
    <w:rsid w:val="35541186"/>
    <w:rsid w:val="36225924"/>
    <w:rsid w:val="37E4797A"/>
    <w:rsid w:val="3855647D"/>
    <w:rsid w:val="38C34869"/>
    <w:rsid w:val="39193ED5"/>
    <w:rsid w:val="3AEE41FA"/>
    <w:rsid w:val="3C3D6ABB"/>
    <w:rsid w:val="3E4203B8"/>
    <w:rsid w:val="3E476560"/>
    <w:rsid w:val="3F924981"/>
    <w:rsid w:val="3FC57B65"/>
    <w:rsid w:val="412F7A54"/>
    <w:rsid w:val="419942A2"/>
    <w:rsid w:val="41FB1123"/>
    <w:rsid w:val="44202F4A"/>
    <w:rsid w:val="443538FE"/>
    <w:rsid w:val="443F1622"/>
    <w:rsid w:val="455F4B9F"/>
    <w:rsid w:val="4644178C"/>
    <w:rsid w:val="469434DA"/>
    <w:rsid w:val="482B5519"/>
    <w:rsid w:val="4972249A"/>
    <w:rsid w:val="49CA5E32"/>
    <w:rsid w:val="49E54A1A"/>
    <w:rsid w:val="4CCE5C39"/>
    <w:rsid w:val="4ECF2AAF"/>
    <w:rsid w:val="4F4F0B87"/>
    <w:rsid w:val="50F1639A"/>
    <w:rsid w:val="51437296"/>
    <w:rsid w:val="527A05BA"/>
    <w:rsid w:val="52BE04FE"/>
    <w:rsid w:val="52ED2B91"/>
    <w:rsid w:val="568B6949"/>
    <w:rsid w:val="57B72A8E"/>
    <w:rsid w:val="580F3F20"/>
    <w:rsid w:val="58372634"/>
    <w:rsid w:val="5A505B96"/>
    <w:rsid w:val="5B9E7D5A"/>
    <w:rsid w:val="5CD7505C"/>
    <w:rsid w:val="5D3A4C25"/>
    <w:rsid w:val="5DF73236"/>
    <w:rsid w:val="608B1BF7"/>
    <w:rsid w:val="69E3437E"/>
    <w:rsid w:val="6B5E41D4"/>
    <w:rsid w:val="6EF10C0C"/>
    <w:rsid w:val="6F265009"/>
    <w:rsid w:val="707F0E75"/>
    <w:rsid w:val="732D7989"/>
    <w:rsid w:val="74C57072"/>
    <w:rsid w:val="750202C6"/>
    <w:rsid w:val="75840CDB"/>
    <w:rsid w:val="76A04D4E"/>
    <w:rsid w:val="770C0F88"/>
    <w:rsid w:val="77975EA1"/>
    <w:rsid w:val="77995178"/>
    <w:rsid w:val="782A4F3F"/>
    <w:rsid w:val="785C7CED"/>
    <w:rsid w:val="791A207C"/>
    <w:rsid w:val="7AB26F5C"/>
    <w:rsid w:val="7B2256E9"/>
    <w:rsid w:val="7C6A0C2B"/>
    <w:rsid w:val="7D456FA2"/>
    <w:rsid w:val="7D747887"/>
    <w:rsid w:val="7DB163E5"/>
    <w:rsid w:val="7E33504C"/>
    <w:rsid w:val="7F0F3F28"/>
    <w:rsid w:val="7FE44151"/>
    <w:rsid w:val="7FEA3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table" w:styleId="8">
    <w:name w:val="Table Grid"/>
    <w:basedOn w:val="7"/>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styleId="14">
    <w:name w:val="List Paragraph"/>
    <w:basedOn w:val="1"/>
    <w:qFormat/>
    <w:uiPriority w:val="34"/>
    <w:pPr>
      <w:ind w:firstLine="420" w:firstLineChars="200"/>
    </w:pPr>
  </w:style>
  <w:style w:type="character" w:customStyle="1" w:styleId="15">
    <w:name w:val="批注框文本 字符"/>
    <w:basedOn w:val="9"/>
    <w:link w:val="3"/>
    <w:semiHidden/>
    <w:qFormat/>
    <w:uiPriority w:val="99"/>
    <w:rPr>
      <w:sz w:val="18"/>
      <w:szCs w:val="18"/>
    </w:rPr>
  </w:style>
  <w:style w:type="character" w:customStyle="1" w:styleId="16">
    <w:name w:val="批注文字 字符"/>
    <w:basedOn w:val="9"/>
    <w:link w:val="2"/>
    <w:semiHidden/>
    <w:qFormat/>
    <w:uiPriority w:val="99"/>
  </w:style>
  <w:style w:type="character" w:customStyle="1" w:styleId="17">
    <w:name w:val="批注主题 字符"/>
    <w:basedOn w:val="16"/>
    <w:link w:val="6"/>
    <w:semiHidden/>
    <w:qFormat/>
    <w:uiPriority w:val="99"/>
    <w:rPr>
      <w:b/>
      <w:bCs/>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1506</Words>
  <Characters>1616</Characters>
  <Lines>39</Lines>
  <Paragraphs>37</Paragraphs>
  <TotalTime>0</TotalTime>
  <ScaleCrop>false</ScaleCrop>
  <LinksUpToDate>false</LinksUpToDate>
  <CharactersWithSpaces>1628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2025-11-10T08:22:00Z</dcterms:created>
  <dc:creator>linli</dc:creator>
  <cp:lastModifiedBy>高欢</cp:lastModifiedBy>
  <cp:lastPrinted>2026-04-23T01:14:00Z</cp:lastPrinted>
  <dcterms:modified xsi:type="dcterms:W3CDTF">2026-05-19T04:31:33Z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eyJoZGlkIjoiOTAyOGVmYTkzZDA4MDk3N2M0N2NhZjgyOTJlZTM4ZDIiLCJ1c2VySWQiOiIxNjU4NzA5MDY5In0=</vt:lpwstr>
  </property>
  <property fmtid="{D5CDD505-2E9C-101B-9397-08002B2CF9AE}" pid="3" name="KSOProductBuildVer">
    <vt:lpwstr>2052-12.1.0.23542</vt:lpwstr>
  </property>
  <property fmtid="{D5CDD505-2E9C-101B-9397-08002B2CF9AE}" pid="4" name="ICV">
    <vt:lpwstr>03D7ED64E1524258A38B5199C3B077BF_13</vt:lpwstr>
  </property>
</Properties>
</file>