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A029" w14:textId="510A3BD3" w:rsidR="005B34E5" w:rsidRPr="005B34E5" w:rsidRDefault="005B34E5" w:rsidP="005B34E5">
      <w:pPr>
        <w:snapToGrid w:val="0"/>
        <w:spacing w:line="560" w:lineRule="exact"/>
        <w:rPr>
          <w:rFonts w:ascii="黑体" w:eastAsia="黑体" w:hAnsi="黑体" w:hint="eastAsia"/>
          <w:sz w:val="32"/>
          <w:szCs w:val="24"/>
        </w:rPr>
      </w:pPr>
      <w:r w:rsidRPr="005B34E5">
        <w:rPr>
          <w:rFonts w:ascii="黑体" w:eastAsia="黑体" w:hAnsi="黑体" w:hint="eastAsia"/>
          <w:sz w:val="32"/>
          <w:szCs w:val="24"/>
        </w:rPr>
        <w:t>附件1：</w:t>
      </w:r>
    </w:p>
    <w:p w14:paraId="2E22B471" w14:textId="77777777" w:rsidR="005B34E5" w:rsidRPr="005B34E5" w:rsidRDefault="005B34E5" w:rsidP="005B34E5">
      <w:pPr>
        <w:snapToGrid w:val="0"/>
        <w:spacing w:line="560" w:lineRule="exact"/>
        <w:rPr>
          <w:rFonts w:ascii="方正小标宋简体" w:eastAsia="方正小标宋简体" w:hAnsi="方正小标宋简体" w:hint="eastAsia"/>
          <w:sz w:val="32"/>
          <w:szCs w:val="24"/>
        </w:rPr>
      </w:pPr>
    </w:p>
    <w:p w14:paraId="5AA9393C" w14:textId="3A0B1A2A" w:rsidR="00AF16D4" w:rsidRDefault="00000000" w:rsidP="00E937DB">
      <w:pPr>
        <w:snapToGrid w:val="0"/>
        <w:spacing w:line="560" w:lineRule="exact"/>
        <w:jc w:val="center"/>
        <w:rPr>
          <w:rFonts w:ascii="方正小标宋简体" w:eastAsia="方正小标宋简体" w:hAnsi="方正小标宋简体" w:hint="eastAsia"/>
          <w:sz w:val="40"/>
          <w:szCs w:val="30"/>
        </w:rPr>
      </w:pPr>
      <w:r>
        <w:rPr>
          <w:rFonts w:ascii="方正小标宋简体" w:eastAsia="方正小标宋简体" w:hAnsi="方正小标宋简体" w:hint="eastAsia"/>
          <w:sz w:val="40"/>
          <w:szCs w:val="30"/>
        </w:rPr>
        <w:t>中国石油大学（北京）克拉玛依校区</w:t>
      </w:r>
    </w:p>
    <w:p w14:paraId="2905A657" w14:textId="77777777" w:rsidR="00AF16D4" w:rsidRDefault="00000000" w:rsidP="00E937DB">
      <w:pPr>
        <w:snapToGrid w:val="0"/>
        <w:spacing w:line="560" w:lineRule="exact"/>
        <w:jc w:val="center"/>
        <w:rPr>
          <w:rFonts w:ascii="方正小标宋简体" w:eastAsia="方正小标宋简体" w:hAnsi="方正小标宋简体" w:hint="eastAsia"/>
          <w:sz w:val="40"/>
          <w:szCs w:val="30"/>
        </w:rPr>
      </w:pPr>
      <w:bookmarkStart w:id="0" w:name="OLE_LINK7"/>
      <w:bookmarkStart w:id="1" w:name="OLE_LINK8"/>
      <w:proofErr w:type="gramStart"/>
      <w:r>
        <w:rPr>
          <w:rFonts w:ascii="方正小标宋简体" w:eastAsia="方正小标宋简体" w:hAnsi="方正小标宋简体" w:hint="eastAsia"/>
          <w:sz w:val="40"/>
          <w:szCs w:val="30"/>
        </w:rPr>
        <w:t>本硕一体化</w:t>
      </w:r>
      <w:proofErr w:type="gramEnd"/>
      <w:r>
        <w:rPr>
          <w:rFonts w:ascii="方正小标宋简体" w:eastAsia="方正小标宋简体" w:hAnsi="方正小标宋简体" w:hint="eastAsia"/>
          <w:sz w:val="40"/>
          <w:szCs w:val="30"/>
        </w:rPr>
        <w:t>培养实施办法（试行）</w:t>
      </w:r>
    </w:p>
    <w:bookmarkEnd w:id="0"/>
    <w:bookmarkEnd w:id="1"/>
    <w:p w14:paraId="58CB0E87" w14:textId="77777777" w:rsidR="00AF16D4" w:rsidRDefault="00AF16D4" w:rsidP="00E937DB">
      <w:pPr>
        <w:snapToGrid w:val="0"/>
        <w:spacing w:line="560" w:lineRule="exact"/>
        <w:jc w:val="center"/>
        <w:rPr>
          <w:rFonts w:ascii="仿宋" w:eastAsia="仿宋" w:hAnsi="仿宋" w:hint="eastAsia"/>
          <w:sz w:val="32"/>
          <w:szCs w:val="30"/>
        </w:rPr>
      </w:pPr>
    </w:p>
    <w:p w14:paraId="00F9305B" w14:textId="77777777" w:rsidR="00AF16D4" w:rsidRDefault="00000000" w:rsidP="00667FE0">
      <w:pPr>
        <w:snapToGrid w:val="0"/>
        <w:spacing w:line="554" w:lineRule="exact"/>
        <w:jc w:val="center"/>
        <w:rPr>
          <w:rFonts w:ascii="黑体" w:eastAsia="黑体" w:hAnsi="黑体" w:cs="黑体" w:hint="eastAsia"/>
          <w:color w:val="2A2F35"/>
          <w:kern w:val="0"/>
          <w:sz w:val="32"/>
          <w:szCs w:val="32"/>
        </w:rPr>
      </w:pPr>
      <w:r>
        <w:rPr>
          <w:rFonts w:ascii="黑体" w:eastAsia="黑体" w:hAnsi="黑体" w:cs="黑体" w:hint="eastAsia"/>
          <w:color w:val="2A2F35"/>
          <w:kern w:val="0"/>
          <w:sz w:val="32"/>
          <w:szCs w:val="32"/>
        </w:rPr>
        <w:t>第一章 总则</w:t>
      </w:r>
    </w:p>
    <w:p w14:paraId="72C0C854" w14:textId="77777777" w:rsidR="00AF16D4" w:rsidRDefault="00000000" w:rsidP="00667FE0">
      <w:pPr>
        <w:snapToGrid w:val="0"/>
        <w:spacing w:line="554" w:lineRule="exact"/>
        <w:ind w:firstLineChars="200" w:firstLine="643"/>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b/>
          <w:bCs/>
          <w:color w:val="2A2F35"/>
          <w:kern w:val="0"/>
          <w:sz w:val="32"/>
          <w:szCs w:val="32"/>
        </w:rPr>
        <w:t xml:space="preserve">第一条 </w:t>
      </w:r>
      <w:r>
        <w:rPr>
          <w:rFonts w:ascii="仿宋_GB2312" w:eastAsia="仿宋_GB2312" w:hAnsi="仿宋_GB2312" w:cs="仿宋_GB2312" w:hint="eastAsia"/>
          <w:color w:val="2A2F35"/>
          <w:kern w:val="0"/>
          <w:sz w:val="32"/>
          <w:szCs w:val="32"/>
        </w:rPr>
        <w:t>为服务国家能源战略需求，提升校区服务学校建设能源领域特色鲜明的世界一流研究型大学的能力，高质高效培养实践能力强、发展潜力大的创新型人才，根据教育部、财政部、国家发展改革委《关于深入推进世界一流大学和一流学科建设的若干意见》（教研〔2022〕51号）等文件精神，结合校区实际，制定本办法。</w:t>
      </w:r>
    </w:p>
    <w:p w14:paraId="68D24456" w14:textId="77777777" w:rsidR="00AF16D4" w:rsidRDefault="00000000" w:rsidP="00667FE0">
      <w:pPr>
        <w:snapToGrid w:val="0"/>
        <w:spacing w:line="554" w:lineRule="exact"/>
        <w:ind w:firstLineChars="200" w:firstLine="643"/>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b/>
          <w:bCs/>
          <w:color w:val="2A2F35"/>
          <w:kern w:val="0"/>
          <w:sz w:val="32"/>
          <w:szCs w:val="32"/>
        </w:rPr>
        <w:t xml:space="preserve">第二条 </w:t>
      </w:r>
      <w:proofErr w:type="gramStart"/>
      <w:r>
        <w:rPr>
          <w:rFonts w:ascii="仿宋_GB2312" w:eastAsia="仿宋_GB2312" w:hAnsi="仿宋_GB2312" w:cs="仿宋_GB2312" w:hint="eastAsia"/>
          <w:color w:val="2A2F35"/>
          <w:kern w:val="0"/>
          <w:sz w:val="32"/>
          <w:szCs w:val="32"/>
        </w:rPr>
        <w:t>本硕一体化</w:t>
      </w:r>
      <w:proofErr w:type="gramEnd"/>
      <w:r>
        <w:rPr>
          <w:rFonts w:ascii="仿宋_GB2312" w:eastAsia="仿宋_GB2312" w:hAnsi="仿宋_GB2312" w:cs="仿宋_GB2312" w:hint="eastAsia"/>
          <w:color w:val="2A2F35"/>
          <w:kern w:val="0"/>
          <w:sz w:val="32"/>
          <w:szCs w:val="32"/>
        </w:rPr>
        <w:t>培养是指选拔具有实践创新能力的优秀本科生，按</w:t>
      </w:r>
      <w:bookmarkStart w:id="2" w:name="_Hlk211942805"/>
      <w:r>
        <w:rPr>
          <w:rFonts w:ascii="仿宋_GB2312" w:eastAsia="仿宋_GB2312" w:hAnsi="仿宋_GB2312" w:cs="仿宋_GB2312" w:hint="eastAsia"/>
          <w:color w:val="2A2F35"/>
          <w:kern w:val="0"/>
          <w:sz w:val="32"/>
          <w:szCs w:val="32"/>
        </w:rPr>
        <w:t>“2（两年本科基础）+1（一年本硕培育）+1（一年本硕培养）+2（两年硕士）</w:t>
      </w:r>
      <w:bookmarkEnd w:id="2"/>
      <w:r>
        <w:rPr>
          <w:rFonts w:ascii="仿宋_GB2312" w:eastAsia="仿宋_GB2312" w:hAnsi="仿宋_GB2312" w:cs="仿宋_GB2312" w:hint="eastAsia"/>
          <w:color w:val="2A2F35"/>
          <w:kern w:val="0"/>
          <w:sz w:val="32"/>
          <w:szCs w:val="32"/>
        </w:rPr>
        <w:t>”贯通本科生和硕士研究生培养阶段的人才培养模式，</w:t>
      </w:r>
      <w:proofErr w:type="gramStart"/>
      <w:r>
        <w:rPr>
          <w:rFonts w:ascii="仿宋_GB2312" w:eastAsia="仿宋_GB2312" w:hAnsi="仿宋_GB2312" w:cs="仿宋_GB2312" w:hint="eastAsia"/>
          <w:color w:val="2A2F35"/>
          <w:kern w:val="0"/>
          <w:sz w:val="32"/>
          <w:szCs w:val="32"/>
        </w:rPr>
        <w:t>本硕一体化</w:t>
      </w:r>
      <w:proofErr w:type="gramEnd"/>
      <w:r>
        <w:rPr>
          <w:rFonts w:ascii="仿宋_GB2312" w:eastAsia="仿宋_GB2312" w:hAnsi="仿宋_GB2312" w:cs="仿宋_GB2312" w:hint="eastAsia"/>
          <w:color w:val="2A2F35"/>
          <w:kern w:val="0"/>
          <w:sz w:val="32"/>
          <w:szCs w:val="32"/>
        </w:rPr>
        <w:t>培养全过程在校区实施。</w:t>
      </w:r>
    </w:p>
    <w:p w14:paraId="65948C5A" w14:textId="77777777" w:rsidR="00AF16D4" w:rsidRDefault="00000000" w:rsidP="00667FE0">
      <w:pPr>
        <w:snapToGrid w:val="0"/>
        <w:spacing w:line="554" w:lineRule="exact"/>
        <w:jc w:val="center"/>
        <w:rPr>
          <w:rFonts w:ascii="黑体" w:eastAsia="黑体" w:hAnsi="黑体" w:cs="黑体" w:hint="eastAsia"/>
          <w:color w:val="2A2F35"/>
          <w:kern w:val="0"/>
          <w:sz w:val="32"/>
          <w:szCs w:val="32"/>
        </w:rPr>
      </w:pPr>
      <w:r>
        <w:rPr>
          <w:rFonts w:ascii="黑体" w:eastAsia="黑体" w:hAnsi="黑体" w:cs="黑体" w:hint="eastAsia"/>
          <w:color w:val="2A2F35"/>
          <w:kern w:val="0"/>
          <w:sz w:val="32"/>
          <w:szCs w:val="32"/>
        </w:rPr>
        <w:t>第二章 总体要求</w:t>
      </w:r>
    </w:p>
    <w:p w14:paraId="0ED9553B" w14:textId="77777777" w:rsidR="00AF16D4" w:rsidRDefault="00000000" w:rsidP="00667FE0">
      <w:pPr>
        <w:snapToGrid w:val="0"/>
        <w:spacing w:line="554"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kern w:val="0"/>
          <w:sz w:val="32"/>
          <w:szCs w:val="32"/>
        </w:rPr>
        <w:t>第三条</w:t>
      </w:r>
      <w:r>
        <w:rPr>
          <w:rFonts w:ascii="仿宋_GB2312" w:eastAsia="仿宋_GB2312" w:hAnsi="仿宋_GB2312" w:cs="仿宋_GB2312" w:hint="eastAsia"/>
          <w:bCs/>
          <w:kern w:val="0"/>
          <w:sz w:val="32"/>
          <w:szCs w:val="32"/>
        </w:rPr>
        <w:t xml:space="preserve"> </w:t>
      </w:r>
      <w:bookmarkStart w:id="3" w:name="OLE_LINK10"/>
      <w:proofErr w:type="gramStart"/>
      <w:r>
        <w:rPr>
          <w:rFonts w:ascii="仿宋_GB2312" w:eastAsia="仿宋_GB2312" w:hAnsi="仿宋_GB2312" w:cs="仿宋_GB2312" w:hint="eastAsia"/>
          <w:bCs/>
          <w:kern w:val="0"/>
          <w:sz w:val="32"/>
          <w:szCs w:val="32"/>
        </w:rPr>
        <w:t>构建本硕弹性</w:t>
      </w:r>
      <w:proofErr w:type="gramEnd"/>
      <w:r>
        <w:rPr>
          <w:rFonts w:ascii="仿宋_GB2312" w:eastAsia="仿宋_GB2312" w:hAnsi="仿宋_GB2312" w:cs="仿宋_GB2312" w:hint="eastAsia"/>
          <w:kern w:val="0"/>
          <w:sz w:val="32"/>
          <w:szCs w:val="32"/>
        </w:rPr>
        <w:t>学习时间</w:t>
      </w:r>
      <w:bookmarkEnd w:id="3"/>
      <w:r>
        <w:rPr>
          <w:rFonts w:ascii="仿宋_GB2312" w:eastAsia="仿宋_GB2312" w:hAnsi="仿宋_GB2312" w:cs="仿宋_GB2312" w:hint="eastAsia"/>
          <w:bCs/>
          <w:kern w:val="0"/>
          <w:sz w:val="32"/>
          <w:szCs w:val="32"/>
        </w:rPr>
        <w:t>。</w:t>
      </w:r>
      <w:proofErr w:type="gramStart"/>
      <w:r>
        <w:rPr>
          <w:rFonts w:ascii="仿宋_GB2312" w:eastAsia="仿宋_GB2312" w:hAnsi="仿宋_GB2312" w:cs="仿宋_GB2312" w:hint="eastAsia"/>
          <w:kern w:val="0"/>
          <w:sz w:val="32"/>
          <w:szCs w:val="32"/>
        </w:rPr>
        <w:t>本硕一体化</w:t>
      </w:r>
      <w:proofErr w:type="gramEnd"/>
      <w:r>
        <w:rPr>
          <w:rFonts w:ascii="仿宋_GB2312" w:eastAsia="仿宋_GB2312" w:hAnsi="仿宋_GB2312" w:cs="仿宋_GB2312" w:hint="eastAsia"/>
          <w:kern w:val="0"/>
          <w:sz w:val="32"/>
          <w:szCs w:val="32"/>
        </w:rPr>
        <w:t>培养的学生在本科四年（</w:t>
      </w:r>
      <w:proofErr w:type="gramStart"/>
      <w:r>
        <w:rPr>
          <w:rFonts w:ascii="仿宋_GB2312" w:eastAsia="仿宋_GB2312" w:hAnsi="仿宋_GB2312" w:cs="仿宋_GB2312" w:hint="eastAsia"/>
          <w:kern w:val="0"/>
          <w:sz w:val="32"/>
          <w:szCs w:val="32"/>
        </w:rPr>
        <w:t>包含本硕培育</w:t>
      </w:r>
      <w:proofErr w:type="gramEnd"/>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本硕培养</w:t>
      </w:r>
      <w:proofErr w:type="gramEnd"/>
      <w:r>
        <w:rPr>
          <w:rFonts w:ascii="仿宋_GB2312" w:eastAsia="仿宋_GB2312" w:hAnsi="仿宋_GB2312" w:cs="仿宋_GB2312" w:hint="eastAsia"/>
          <w:kern w:val="0"/>
          <w:sz w:val="32"/>
          <w:szCs w:val="32"/>
        </w:rPr>
        <w:t>阶段）按本科生学籍管理；进入硕士研究生阶段后，按研究生学籍管理，但不得在已实施“2+1+1+2”</w:t>
      </w:r>
      <w:proofErr w:type="gramStart"/>
      <w:r>
        <w:rPr>
          <w:rFonts w:ascii="仿宋_GB2312" w:eastAsia="仿宋_GB2312" w:hAnsi="仿宋_GB2312" w:cs="仿宋_GB2312" w:hint="eastAsia"/>
          <w:kern w:val="0"/>
          <w:sz w:val="32"/>
          <w:szCs w:val="32"/>
        </w:rPr>
        <w:t>本硕贯通</w:t>
      </w:r>
      <w:proofErr w:type="gramEnd"/>
      <w:r>
        <w:rPr>
          <w:rFonts w:ascii="仿宋_GB2312" w:eastAsia="仿宋_GB2312" w:hAnsi="仿宋_GB2312" w:cs="仿宋_GB2312" w:hint="eastAsia"/>
          <w:kern w:val="0"/>
          <w:sz w:val="32"/>
          <w:szCs w:val="32"/>
        </w:rPr>
        <w:t>培养的基础上申请提前毕业。若硕士研究生阶段因各种原因未申请或无法满足毕业及学位授予要求，可按</w:t>
      </w:r>
      <w:r>
        <w:rPr>
          <w:rFonts w:ascii="仿宋_GB2312" w:eastAsia="仿宋_GB2312" w:hAnsi="仿宋_GB2312" w:cs="仿宋_GB2312" w:hint="eastAsia"/>
          <w:kern w:val="0"/>
          <w:sz w:val="32"/>
          <w:szCs w:val="32"/>
        </w:rPr>
        <w:lastRenderedPageBreak/>
        <w:t>有关研究生学籍管理办法在规定的最长学习年限内申请延长学习时间。</w:t>
      </w:r>
    </w:p>
    <w:p w14:paraId="42A76790" w14:textId="77777777" w:rsidR="00AF16D4" w:rsidRDefault="00000000" w:rsidP="00667FE0">
      <w:pPr>
        <w:snapToGrid w:val="0"/>
        <w:spacing w:line="554" w:lineRule="exact"/>
        <w:ind w:firstLineChars="200" w:firstLine="643"/>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b/>
          <w:bCs/>
          <w:color w:val="2A2F35"/>
          <w:kern w:val="0"/>
          <w:sz w:val="32"/>
          <w:szCs w:val="32"/>
        </w:rPr>
        <w:t>第四条</w:t>
      </w:r>
      <w:r>
        <w:rPr>
          <w:rFonts w:ascii="仿宋_GB2312" w:eastAsia="仿宋_GB2312" w:hAnsi="仿宋_GB2312" w:cs="仿宋_GB2312" w:hint="eastAsia"/>
          <w:bCs/>
          <w:color w:val="2A2F35"/>
          <w:kern w:val="0"/>
          <w:sz w:val="32"/>
          <w:szCs w:val="32"/>
        </w:rPr>
        <w:t xml:space="preserve"> 把握人才成长规律。</w:t>
      </w:r>
      <w:proofErr w:type="gramStart"/>
      <w:r>
        <w:rPr>
          <w:rFonts w:ascii="仿宋_GB2312" w:eastAsia="仿宋_GB2312" w:hAnsi="仿宋_GB2312" w:cs="仿宋_GB2312" w:hint="eastAsia"/>
          <w:bCs/>
          <w:color w:val="2A2F35"/>
          <w:kern w:val="0"/>
          <w:sz w:val="32"/>
          <w:szCs w:val="32"/>
        </w:rPr>
        <w:t>本硕一体化</w:t>
      </w:r>
      <w:proofErr w:type="gramEnd"/>
      <w:r>
        <w:rPr>
          <w:rFonts w:ascii="仿宋_GB2312" w:eastAsia="仿宋_GB2312" w:hAnsi="仿宋_GB2312" w:cs="仿宋_GB2312" w:hint="eastAsia"/>
          <w:bCs/>
          <w:color w:val="2A2F35"/>
          <w:kern w:val="0"/>
          <w:sz w:val="32"/>
          <w:szCs w:val="32"/>
        </w:rPr>
        <w:t>人才</w:t>
      </w:r>
      <w:bookmarkStart w:id="4" w:name="OLE_LINK11"/>
      <w:bookmarkStart w:id="5" w:name="OLE_LINK1"/>
      <w:r>
        <w:rPr>
          <w:rFonts w:ascii="仿宋_GB2312" w:eastAsia="仿宋_GB2312" w:hAnsi="仿宋_GB2312" w:cs="仿宋_GB2312" w:hint="eastAsia"/>
          <w:bCs/>
          <w:color w:val="2A2F35"/>
          <w:kern w:val="0"/>
          <w:sz w:val="32"/>
          <w:szCs w:val="32"/>
        </w:rPr>
        <w:t>培养</w:t>
      </w:r>
      <w:bookmarkEnd w:id="4"/>
      <w:r>
        <w:rPr>
          <w:rFonts w:ascii="仿宋_GB2312" w:eastAsia="仿宋_GB2312" w:hAnsi="仿宋_GB2312" w:cs="仿宋_GB2312" w:hint="eastAsia"/>
          <w:bCs/>
          <w:color w:val="2A2F35"/>
          <w:kern w:val="0"/>
          <w:sz w:val="32"/>
          <w:szCs w:val="32"/>
        </w:rPr>
        <w:t>方案</w:t>
      </w:r>
      <w:bookmarkEnd w:id="5"/>
      <w:r>
        <w:rPr>
          <w:rFonts w:ascii="仿宋_GB2312" w:eastAsia="仿宋_GB2312" w:hAnsi="仿宋_GB2312" w:cs="仿宋_GB2312" w:hint="eastAsia"/>
          <w:bCs/>
          <w:color w:val="2A2F35"/>
          <w:kern w:val="0"/>
          <w:sz w:val="32"/>
          <w:szCs w:val="32"/>
        </w:rPr>
        <w:t>按“学科-专业一体化发展”思路制定，分阶段设置本科生和硕士研究生阶段培养目标：</w:t>
      </w:r>
      <w:r>
        <w:rPr>
          <w:rFonts w:ascii="仿宋_GB2312" w:eastAsia="仿宋_GB2312" w:hAnsi="仿宋_GB2312" w:cs="仿宋_GB2312" w:hint="eastAsia"/>
          <w:color w:val="2A2F35"/>
          <w:kern w:val="0"/>
          <w:sz w:val="32"/>
          <w:szCs w:val="32"/>
        </w:rPr>
        <w:t>本科阶段注重学生全面发展和创新潜质提升，研究生阶段注重专业素质、实践创新能力培养。</w:t>
      </w:r>
    </w:p>
    <w:p w14:paraId="2B3CE2D2" w14:textId="77777777" w:rsidR="00AF16D4" w:rsidRDefault="00000000" w:rsidP="00667FE0">
      <w:pPr>
        <w:snapToGrid w:val="0"/>
        <w:spacing w:line="554" w:lineRule="exact"/>
        <w:ind w:firstLineChars="200" w:firstLine="643"/>
        <w:rPr>
          <w:rFonts w:ascii="仿宋_GB2312" w:eastAsia="仿宋_GB2312" w:hAnsi="仿宋_GB2312" w:cs="仿宋_GB2312" w:hint="eastAsia"/>
          <w:bCs/>
          <w:color w:val="2A2F35"/>
          <w:kern w:val="0"/>
          <w:sz w:val="32"/>
          <w:szCs w:val="32"/>
        </w:rPr>
      </w:pPr>
      <w:r>
        <w:rPr>
          <w:rFonts w:ascii="仿宋_GB2312" w:eastAsia="仿宋_GB2312" w:hAnsi="仿宋_GB2312" w:cs="仿宋_GB2312" w:hint="eastAsia"/>
          <w:b/>
          <w:color w:val="2A2F35"/>
          <w:kern w:val="0"/>
          <w:sz w:val="32"/>
          <w:szCs w:val="32"/>
        </w:rPr>
        <w:t>第五条</w:t>
      </w:r>
      <w:r>
        <w:rPr>
          <w:rFonts w:ascii="仿宋_GB2312" w:eastAsia="仿宋_GB2312" w:hAnsi="仿宋_GB2312" w:cs="仿宋_GB2312" w:hint="eastAsia"/>
          <w:bCs/>
          <w:color w:val="2A2F35"/>
          <w:kern w:val="0"/>
          <w:sz w:val="32"/>
          <w:szCs w:val="32"/>
        </w:rPr>
        <w:t xml:space="preserve"> 创新驱动</w:t>
      </w:r>
      <w:r>
        <w:rPr>
          <w:rFonts w:ascii="仿宋_GB2312" w:eastAsia="仿宋_GB2312" w:hAnsi="仿宋_GB2312" w:cs="仿宋_GB2312"/>
          <w:bCs/>
          <w:color w:val="2A2F35"/>
          <w:kern w:val="0"/>
          <w:sz w:val="32"/>
          <w:szCs w:val="32"/>
        </w:rPr>
        <w:t>多元发展</w:t>
      </w:r>
      <w:r>
        <w:rPr>
          <w:rFonts w:ascii="仿宋_GB2312" w:eastAsia="仿宋_GB2312" w:hAnsi="仿宋_GB2312" w:cs="仿宋_GB2312" w:hint="eastAsia"/>
          <w:bCs/>
          <w:color w:val="2A2F35"/>
          <w:kern w:val="0"/>
          <w:sz w:val="32"/>
          <w:szCs w:val="32"/>
        </w:rPr>
        <w:t>。</w:t>
      </w:r>
      <w:bookmarkStart w:id="6" w:name="OLE_LINK9"/>
      <w:r>
        <w:rPr>
          <w:rFonts w:ascii="仿宋_GB2312" w:eastAsia="仿宋_GB2312" w:hAnsi="仿宋_GB2312" w:cs="仿宋_GB2312" w:hint="eastAsia"/>
          <w:bCs/>
          <w:color w:val="2A2F35"/>
          <w:kern w:val="0"/>
          <w:sz w:val="32"/>
          <w:szCs w:val="32"/>
        </w:rPr>
        <w:t>鼓励优秀本科生早进实验室、早进科研团队，提前安排一对一导师指导，提早产出创新成果；</w:t>
      </w:r>
      <w:bookmarkStart w:id="7" w:name="_Hlk211943201"/>
      <w:r>
        <w:rPr>
          <w:rFonts w:ascii="仿宋_GB2312" w:eastAsia="仿宋_GB2312" w:hAnsi="仿宋_GB2312" w:cs="仿宋_GB2312" w:hint="eastAsia"/>
          <w:bCs/>
          <w:color w:val="2A2F35"/>
          <w:kern w:val="0"/>
          <w:sz w:val="32"/>
          <w:szCs w:val="32"/>
        </w:rPr>
        <w:t>帮助学生实现学术志趣</w:t>
      </w:r>
      <w:bookmarkStart w:id="8" w:name="OLE_LINK2"/>
      <w:r>
        <w:rPr>
          <w:rFonts w:ascii="仿宋_GB2312" w:eastAsia="仿宋_GB2312" w:hAnsi="仿宋_GB2312" w:cs="仿宋_GB2312" w:hint="eastAsia"/>
          <w:bCs/>
          <w:color w:val="2A2F35"/>
          <w:kern w:val="0"/>
          <w:sz w:val="32"/>
          <w:szCs w:val="32"/>
        </w:rPr>
        <w:t>、实践创新能力</w:t>
      </w:r>
      <w:bookmarkEnd w:id="8"/>
      <w:r>
        <w:rPr>
          <w:rFonts w:ascii="仿宋_GB2312" w:eastAsia="仿宋_GB2312" w:hAnsi="仿宋_GB2312" w:cs="仿宋_GB2312" w:hint="eastAsia"/>
          <w:bCs/>
          <w:color w:val="2A2F35"/>
          <w:kern w:val="0"/>
          <w:sz w:val="32"/>
          <w:szCs w:val="32"/>
        </w:rPr>
        <w:t>的贯通培养和提升</w:t>
      </w:r>
      <w:bookmarkEnd w:id="6"/>
      <w:bookmarkEnd w:id="7"/>
      <w:r>
        <w:rPr>
          <w:rFonts w:ascii="仿宋_GB2312" w:eastAsia="仿宋_GB2312" w:hAnsi="仿宋_GB2312" w:cs="仿宋_GB2312" w:hint="eastAsia"/>
          <w:bCs/>
          <w:color w:val="2A2F35"/>
          <w:kern w:val="0"/>
          <w:sz w:val="32"/>
          <w:szCs w:val="32"/>
        </w:rPr>
        <w:t>；推动硕士研究生培养以社会需求为导向，深化产教融合，鼓励以实践成果申请学位，培养</w:t>
      </w:r>
      <w:r>
        <w:rPr>
          <w:rFonts w:ascii="仿宋_GB2312" w:eastAsia="仿宋_GB2312" w:hAnsi="仿宋_GB2312" w:cs="仿宋_GB2312"/>
          <w:bCs/>
          <w:color w:val="2A2F35"/>
          <w:kern w:val="0"/>
          <w:sz w:val="32"/>
          <w:szCs w:val="32"/>
        </w:rPr>
        <w:t>理论基础扎实、能解决复杂</w:t>
      </w:r>
      <w:r>
        <w:rPr>
          <w:rFonts w:ascii="仿宋_GB2312" w:eastAsia="仿宋_GB2312" w:hAnsi="仿宋_GB2312" w:cs="仿宋_GB2312" w:hint="eastAsia"/>
          <w:bCs/>
          <w:color w:val="2A2F35"/>
          <w:kern w:val="0"/>
          <w:sz w:val="32"/>
          <w:szCs w:val="32"/>
        </w:rPr>
        <w:t>产业</w:t>
      </w:r>
      <w:r>
        <w:rPr>
          <w:rFonts w:ascii="仿宋_GB2312" w:eastAsia="仿宋_GB2312" w:hAnsi="仿宋_GB2312" w:cs="仿宋_GB2312"/>
          <w:bCs/>
          <w:color w:val="2A2F35"/>
          <w:kern w:val="0"/>
          <w:sz w:val="32"/>
          <w:szCs w:val="32"/>
        </w:rPr>
        <w:t>问题，兼具国家情怀与全球视野的高水平复合型人才</w:t>
      </w:r>
      <w:r>
        <w:rPr>
          <w:rFonts w:ascii="仿宋_GB2312" w:eastAsia="仿宋_GB2312" w:hAnsi="仿宋_GB2312" w:cs="仿宋_GB2312" w:hint="eastAsia"/>
          <w:bCs/>
          <w:color w:val="2A2F35"/>
          <w:kern w:val="0"/>
          <w:sz w:val="32"/>
          <w:szCs w:val="32"/>
        </w:rPr>
        <w:t>。</w:t>
      </w:r>
    </w:p>
    <w:p w14:paraId="59D64E28" w14:textId="77777777" w:rsidR="00AF16D4" w:rsidRDefault="00000000" w:rsidP="00667FE0">
      <w:pPr>
        <w:snapToGrid w:val="0"/>
        <w:spacing w:line="554" w:lineRule="exact"/>
        <w:jc w:val="center"/>
        <w:rPr>
          <w:rFonts w:ascii="黑体" w:eastAsia="黑体" w:hAnsi="黑体" w:cs="黑体" w:hint="eastAsia"/>
          <w:color w:val="2A2F35"/>
          <w:kern w:val="0"/>
          <w:sz w:val="32"/>
          <w:szCs w:val="32"/>
        </w:rPr>
      </w:pPr>
      <w:r>
        <w:rPr>
          <w:rFonts w:ascii="黑体" w:eastAsia="黑体" w:hAnsi="黑体" w:cs="黑体" w:hint="eastAsia"/>
          <w:color w:val="2A2F35"/>
          <w:kern w:val="0"/>
          <w:sz w:val="32"/>
          <w:szCs w:val="32"/>
        </w:rPr>
        <w:t>第三章 培育</w:t>
      </w:r>
    </w:p>
    <w:p w14:paraId="0D813365" w14:textId="77777777" w:rsidR="00AF16D4" w:rsidRDefault="00000000" w:rsidP="00667FE0">
      <w:pPr>
        <w:snapToGrid w:val="0"/>
        <w:spacing w:line="554" w:lineRule="exact"/>
        <w:ind w:firstLineChars="200" w:firstLine="643"/>
        <w:rPr>
          <w:rFonts w:ascii="仿宋_GB2312" w:eastAsia="仿宋_GB2312" w:hAnsi="仿宋_GB2312" w:cs="仿宋_GB2312" w:hint="eastAsia"/>
          <w:bCs/>
          <w:color w:val="2A2F35"/>
          <w:kern w:val="0"/>
          <w:sz w:val="32"/>
          <w:szCs w:val="32"/>
        </w:rPr>
      </w:pPr>
      <w:r>
        <w:rPr>
          <w:rFonts w:ascii="仿宋_GB2312" w:eastAsia="仿宋_GB2312" w:hAnsi="仿宋_GB2312" w:cs="仿宋_GB2312" w:hint="eastAsia"/>
          <w:b/>
          <w:color w:val="2A2F35"/>
          <w:kern w:val="0"/>
          <w:sz w:val="32"/>
          <w:szCs w:val="32"/>
        </w:rPr>
        <w:t>第六条</w:t>
      </w:r>
      <w:bookmarkStart w:id="9" w:name="OLE_LINK12"/>
      <w:r>
        <w:rPr>
          <w:rFonts w:ascii="仿宋_GB2312" w:eastAsia="仿宋_GB2312" w:hAnsi="仿宋_GB2312" w:cs="仿宋_GB2312" w:hint="eastAsia"/>
          <w:bCs/>
          <w:color w:val="2A2F35"/>
          <w:kern w:val="0"/>
          <w:sz w:val="32"/>
          <w:szCs w:val="32"/>
        </w:rPr>
        <w:t xml:space="preserve"> </w:t>
      </w:r>
      <w:bookmarkStart w:id="10" w:name="OLE_LINK29"/>
      <w:bookmarkStart w:id="11" w:name="OLE_LINK28"/>
      <w:r>
        <w:rPr>
          <w:rFonts w:ascii="仿宋_GB2312" w:eastAsia="仿宋_GB2312" w:hAnsi="仿宋_GB2312" w:cs="仿宋_GB2312" w:hint="eastAsia"/>
          <w:bCs/>
          <w:color w:val="2A2F35"/>
          <w:kern w:val="0"/>
          <w:sz w:val="32"/>
          <w:szCs w:val="32"/>
        </w:rPr>
        <w:t>入选本</w:t>
      </w:r>
      <w:proofErr w:type="gramStart"/>
      <w:r>
        <w:rPr>
          <w:rFonts w:ascii="仿宋_GB2312" w:eastAsia="仿宋_GB2312" w:hAnsi="仿宋_GB2312" w:cs="仿宋_GB2312" w:hint="eastAsia"/>
          <w:bCs/>
          <w:color w:val="2A2F35"/>
          <w:kern w:val="0"/>
          <w:sz w:val="32"/>
          <w:szCs w:val="32"/>
        </w:rPr>
        <w:t>硕</w:t>
      </w:r>
      <w:proofErr w:type="gramEnd"/>
      <w:r>
        <w:rPr>
          <w:rFonts w:ascii="仿宋_GB2312" w:eastAsia="仿宋_GB2312" w:hAnsi="仿宋_GB2312" w:cs="仿宋_GB2312" w:hint="eastAsia"/>
          <w:bCs/>
          <w:color w:val="2A2F35"/>
          <w:kern w:val="0"/>
          <w:sz w:val="32"/>
          <w:szCs w:val="32"/>
        </w:rPr>
        <w:t>一体化培育的基本条件为</w:t>
      </w:r>
      <w:r>
        <w:rPr>
          <w:rFonts w:ascii="仿宋" w:eastAsia="仿宋" w:hAnsi="仿宋" w:hint="eastAsia"/>
          <w:sz w:val="32"/>
          <w:szCs w:val="32"/>
        </w:rPr>
        <w:t>培育选拔成绩</w:t>
      </w:r>
      <w:r>
        <w:rPr>
          <w:rFonts w:ascii="仿宋_GB2312" w:eastAsia="仿宋_GB2312" w:hAnsi="仿宋_GB2312" w:cs="仿宋_GB2312" w:hint="eastAsia"/>
          <w:bCs/>
          <w:color w:val="2A2F35"/>
          <w:kern w:val="0"/>
          <w:sz w:val="32"/>
          <w:szCs w:val="32"/>
        </w:rPr>
        <w:t>位于专业前30%。</w:t>
      </w:r>
      <w:r>
        <w:rPr>
          <w:rFonts w:ascii="仿宋" w:eastAsia="仿宋" w:hAnsi="仿宋" w:hint="eastAsia"/>
          <w:sz w:val="32"/>
          <w:szCs w:val="32"/>
        </w:rPr>
        <w:t>培育选拔成绩总分100分</w:t>
      </w:r>
      <w:r>
        <w:rPr>
          <w:rFonts w:ascii="仿宋_GB2312" w:eastAsia="仿宋_GB2312" w:hAnsi="仿宋_GB2312" w:cs="仿宋_GB2312" w:hint="eastAsia"/>
          <w:bCs/>
          <w:color w:val="2A2F35"/>
          <w:kern w:val="0"/>
          <w:sz w:val="32"/>
          <w:szCs w:val="32"/>
        </w:rPr>
        <w:t>，其中前两学年必修课加权平均成绩占</w:t>
      </w:r>
      <w:r>
        <w:rPr>
          <w:rFonts w:ascii="仿宋_GB2312" w:eastAsia="仿宋_GB2312" w:hAnsi="仿宋_GB2312" w:cs="仿宋_GB2312"/>
          <w:bCs/>
          <w:color w:val="2A2F35"/>
          <w:kern w:val="0"/>
          <w:sz w:val="32"/>
          <w:szCs w:val="32"/>
        </w:rPr>
        <w:t>9</w:t>
      </w:r>
      <w:r>
        <w:rPr>
          <w:rFonts w:ascii="仿宋_GB2312" w:eastAsia="仿宋_GB2312" w:hAnsi="仿宋_GB2312" w:cs="仿宋_GB2312" w:hint="eastAsia"/>
          <w:bCs/>
          <w:color w:val="2A2F35"/>
          <w:kern w:val="0"/>
          <w:sz w:val="32"/>
          <w:szCs w:val="32"/>
        </w:rPr>
        <w:t>0%（满分</w:t>
      </w:r>
      <w:r>
        <w:rPr>
          <w:rFonts w:ascii="仿宋_GB2312" w:eastAsia="仿宋_GB2312" w:hAnsi="仿宋_GB2312" w:cs="仿宋_GB2312"/>
          <w:bCs/>
          <w:color w:val="2A2F35"/>
          <w:kern w:val="0"/>
          <w:sz w:val="32"/>
          <w:szCs w:val="32"/>
        </w:rPr>
        <w:t>9</w:t>
      </w:r>
      <w:r>
        <w:rPr>
          <w:rFonts w:ascii="仿宋_GB2312" w:eastAsia="仿宋_GB2312" w:hAnsi="仿宋_GB2312" w:cs="仿宋_GB2312" w:hint="eastAsia"/>
          <w:bCs/>
          <w:color w:val="2A2F35"/>
          <w:kern w:val="0"/>
          <w:sz w:val="32"/>
          <w:szCs w:val="32"/>
        </w:rPr>
        <w:t>0分，计算时使用课程的首次考核成绩），前两学年综合测评成绩占</w:t>
      </w:r>
      <w:r>
        <w:rPr>
          <w:rFonts w:ascii="仿宋_GB2312" w:eastAsia="仿宋_GB2312" w:hAnsi="仿宋_GB2312" w:cs="仿宋_GB2312"/>
          <w:bCs/>
          <w:color w:val="2A2F35"/>
          <w:kern w:val="0"/>
          <w:sz w:val="32"/>
          <w:szCs w:val="32"/>
        </w:rPr>
        <w:t>1</w:t>
      </w:r>
      <w:r>
        <w:rPr>
          <w:rFonts w:ascii="仿宋_GB2312" w:eastAsia="仿宋_GB2312" w:hAnsi="仿宋_GB2312" w:cs="仿宋_GB2312" w:hint="eastAsia"/>
          <w:bCs/>
          <w:color w:val="2A2F35"/>
          <w:kern w:val="0"/>
          <w:sz w:val="32"/>
          <w:szCs w:val="32"/>
        </w:rPr>
        <w:t>0%（满分</w:t>
      </w:r>
      <w:r>
        <w:rPr>
          <w:rFonts w:ascii="仿宋_GB2312" w:eastAsia="仿宋_GB2312" w:hAnsi="仿宋_GB2312" w:cs="仿宋_GB2312"/>
          <w:bCs/>
          <w:color w:val="2A2F35"/>
          <w:kern w:val="0"/>
          <w:sz w:val="32"/>
          <w:szCs w:val="32"/>
        </w:rPr>
        <w:t>1</w:t>
      </w:r>
      <w:r>
        <w:rPr>
          <w:rFonts w:ascii="仿宋_GB2312" w:eastAsia="仿宋_GB2312" w:hAnsi="仿宋_GB2312" w:cs="仿宋_GB2312" w:hint="eastAsia"/>
          <w:bCs/>
          <w:color w:val="2A2F35"/>
          <w:kern w:val="0"/>
          <w:sz w:val="32"/>
          <w:szCs w:val="32"/>
        </w:rPr>
        <w:t>0分）</w:t>
      </w:r>
      <w:r>
        <w:rPr>
          <w:rFonts w:ascii="仿宋" w:eastAsia="仿宋" w:hAnsi="仿宋" w:hint="eastAsia"/>
          <w:sz w:val="32"/>
          <w:szCs w:val="32"/>
        </w:rPr>
        <w:t>。</w:t>
      </w:r>
      <w:r>
        <w:rPr>
          <w:rFonts w:ascii="仿宋_GB2312" w:eastAsia="仿宋_GB2312" w:hAnsi="仿宋_GB2312" w:cs="仿宋_GB2312" w:hint="eastAsia"/>
          <w:bCs/>
          <w:color w:val="2A2F35"/>
          <w:kern w:val="0"/>
          <w:sz w:val="32"/>
          <w:szCs w:val="32"/>
        </w:rPr>
        <w:t>各学院可根据学科专业实际情况提高入选标准。</w:t>
      </w:r>
      <w:bookmarkEnd w:id="9"/>
      <w:bookmarkEnd w:id="10"/>
      <w:bookmarkEnd w:id="11"/>
    </w:p>
    <w:p w14:paraId="309D5B85" w14:textId="77777777" w:rsidR="00AF16D4" w:rsidRDefault="00000000" w:rsidP="00667FE0">
      <w:pPr>
        <w:snapToGrid w:val="0"/>
        <w:spacing w:line="554" w:lineRule="exact"/>
        <w:ind w:firstLineChars="200" w:firstLine="643"/>
        <w:rPr>
          <w:rFonts w:ascii="仿宋_GB2312" w:eastAsia="仿宋_GB2312" w:hAnsi="仿宋_GB2312" w:cs="仿宋_GB2312" w:hint="eastAsia"/>
          <w:bCs/>
          <w:color w:val="2A2F35"/>
          <w:kern w:val="0"/>
          <w:sz w:val="32"/>
          <w:szCs w:val="32"/>
        </w:rPr>
      </w:pPr>
      <w:r>
        <w:rPr>
          <w:rFonts w:ascii="仿宋_GB2312" w:eastAsia="仿宋_GB2312" w:hAnsi="仿宋_GB2312" w:cs="仿宋_GB2312" w:hint="eastAsia"/>
          <w:b/>
          <w:color w:val="2A2F35"/>
          <w:kern w:val="0"/>
          <w:sz w:val="32"/>
          <w:szCs w:val="32"/>
        </w:rPr>
        <w:t xml:space="preserve">第七条 </w:t>
      </w:r>
      <w:r>
        <w:rPr>
          <w:rFonts w:ascii="仿宋_GB2312" w:eastAsia="仿宋_GB2312" w:hAnsi="仿宋_GB2312" w:cs="仿宋_GB2312" w:hint="eastAsia"/>
          <w:bCs/>
          <w:color w:val="2A2F35"/>
          <w:kern w:val="0"/>
          <w:sz w:val="32"/>
          <w:szCs w:val="32"/>
        </w:rPr>
        <w:t>本科第五学期初，招生</w:t>
      </w:r>
      <w:proofErr w:type="gramStart"/>
      <w:r>
        <w:rPr>
          <w:rFonts w:ascii="仿宋_GB2312" w:eastAsia="仿宋_GB2312" w:hAnsi="仿宋_GB2312" w:cs="仿宋_GB2312" w:hint="eastAsia"/>
          <w:bCs/>
          <w:color w:val="2A2F35"/>
          <w:kern w:val="0"/>
          <w:sz w:val="32"/>
          <w:szCs w:val="32"/>
        </w:rPr>
        <w:t>学院本硕一体化</w:t>
      </w:r>
      <w:proofErr w:type="gramEnd"/>
      <w:r>
        <w:rPr>
          <w:rFonts w:ascii="仿宋_GB2312" w:eastAsia="仿宋_GB2312" w:hAnsi="仿宋_GB2312" w:cs="仿宋_GB2312" w:hint="eastAsia"/>
          <w:bCs/>
          <w:color w:val="2A2F35"/>
          <w:kern w:val="0"/>
          <w:sz w:val="32"/>
          <w:szCs w:val="32"/>
        </w:rPr>
        <w:t>培养工作小组制定本</w:t>
      </w:r>
      <w:proofErr w:type="gramStart"/>
      <w:r>
        <w:rPr>
          <w:rFonts w:ascii="仿宋_GB2312" w:eastAsia="仿宋_GB2312" w:hAnsi="仿宋_GB2312" w:cs="仿宋_GB2312" w:hint="eastAsia"/>
          <w:bCs/>
          <w:color w:val="2A2F35"/>
          <w:kern w:val="0"/>
          <w:sz w:val="32"/>
          <w:szCs w:val="32"/>
        </w:rPr>
        <w:t>硕</w:t>
      </w:r>
      <w:proofErr w:type="gramEnd"/>
      <w:r>
        <w:rPr>
          <w:rFonts w:ascii="仿宋_GB2312" w:eastAsia="仿宋_GB2312" w:hAnsi="仿宋_GB2312" w:cs="仿宋_GB2312" w:hint="eastAsia"/>
          <w:bCs/>
          <w:color w:val="2A2F35"/>
          <w:kern w:val="0"/>
          <w:sz w:val="32"/>
          <w:szCs w:val="32"/>
        </w:rPr>
        <w:t>一体化培育学生选拔方案，符合培育选拔条件的本科生与导师双向选择后提交参加培育申请，学院选拔确定培育名单。导师为培育学生安排科研训练项目，明确项目任务。培育学生的科研训练项目纳入创新创业学院统一管理。</w:t>
      </w:r>
    </w:p>
    <w:p w14:paraId="1FCCCF24" w14:textId="77777777" w:rsidR="00AF16D4" w:rsidRDefault="00000000" w:rsidP="00667FE0">
      <w:pPr>
        <w:snapToGrid w:val="0"/>
        <w:spacing w:line="554" w:lineRule="exact"/>
        <w:ind w:firstLineChars="200" w:firstLine="640"/>
        <w:rPr>
          <w:rFonts w:ascii="仿宋_GB2312" w:eastAsia="仿宋_GB2312" w:hAnsi="仿宋_GB2312" w:cs="仿宋_GB2312" w:hint="eastAsia"/>
          <w:bCs/>
          <w:color w:val="2A2F35"/>
          <w:kern w:val="0"/>
          <w:sz w:val="32"/>
          <w:szCs w:val="32"/>
        </w:rPr>
      </w:pPr>
      <w:r>
        <w:rPr>
          <w:rFonts w:ascii="仿宋_GB2312" w:eastAsia="仿宋_GB2312" w:hAnsi="仿宋_GB2312" w:cs="仿宋_GB2312" w:hint="eastAsia"/>
          <w:bCs/>
          <w:color w:val="2A2F35"/>
          <w:kern w:val="0"/>
          <w:sz w:val="32"/>
          <w:szCs w:val="32"/>
        </w:rPr>
        <w:lastRenderedPageBreak/>
        <w:t>入选本</w:t>
      </w:r>
      <w:proofErr w:type="gramStart"/>
      <w:r>
        <w:rPr>
          <w:rFonts w:ascii="仿宋_GB2312" w:eastAsia="仿宋_GB2312" w:hAnsi="仿宋_GB2312" w:cs="仿宋_GB2312" w:hint="eastAsia"/>
          <w:bCs/>
          <w:color w:val="2A2F35"/>
          <w:kern w:val="0"/>
          <w:sz w:val="32"/>
          <w:szCs w:val="32"/>
        </w:rPr>
        <w:t>硕</w:t>
      </w:r>
      <w:proofErr w:type="gramEnd"/>
      <w:r>
        <w:rPr>
          <w:rFonts w:ascii="仿宋_GB2312" w:eastAsia="仿宋_GB2312" w:hAnsi="仿宋_GB2312" w:cs="仿宋_GB2312" w:hint="eastAsia"/>
          <w:bCs/>
          <w:color w:val="2A2F35"/>
          <w:kern w:val="0"/>
          <w:sz w:val="32"/>
          <w:szCs w:val="32"/>
        </w:rPr>
        <w:t>一体化培育的学生名单经学院公示无异议后，报教务部（创新创业学院）备案。</w:t>
      </w:r>
    </w:p>
    <w:p w14:paraId="0F33590B" w14:textId="77777777" w:rsidR="00AF16D4" w:rsidRDefault="00000000" w:rsidP="00667FE0">
      <w:pPr>
        <w:snapToGrid w:val="0"/>
        <w:spacing w:line="554" w:lineRule="exact"/>
        <w:ind w:firstLineChars="200" w:firstLine="643"/>
        <w:rPr>
          <w:rFonts w:ascii="仿宋_GB2312" w:eastAsia="仿宋_GB2312" w:hAnsi="仿宋_GB2312" w:cs="仿宋_GB2312" w:hint="eastAsia"/>
          <w:bCs/>
          <w:color w:val="2A2F35"/>
          <w:kern w:val="0"/>
          <w:sz w:val="32"/>
          <w:szCs w:val="32"/>
        </w:rPr>
      </w:pPr>
      <w:r>
        <w:rPr>
          <w:rFonts w:ascii="仿宋_GB2312" w:eastAsia="仿宋_GB2312" w:hAnsi="仿宋_GB2312" w:cs="仿宋_GB2312" w:hint="eastAsia"/>
          <w:b/>
          <w:color w:val="2A2F35"/>
          <w:kern w:val="0"/>
          <w:sz w:val="32"/>
          <w:szCs w:val="32"/>
        </w:rPr>
        <w:t xml:space="preserve">第八条 </w:t>
      </w:r>
      <w:r>
        <w:rPr>
          <w:rFonts w:ascii="仿宋_GB2312" w:eastAsia="仿宋_GB2312" w:hAnsi="仿宋_GB2312" w:cs="仿宋_GB2312" w:hint="eastAsia"/>
          <w:bCs/>
          <w:color w:val="2A2F35"/>
          <w:kern w:val="0"/>
          <w:sz w:val="32"/>
          <w:szCs w:val="32"/>
        </w:rPr>
        <w:t>本科第七学期前，学院按学科专业成立考核小组，考核小组由不少于5名硕士生导师或副高级以上职称专家组成，对</w:t>
      </w:r>
      <w:proofErr w:type="gramStart"/>
      <w:r>
        <w:rPr>
          <w:rFonts w:ascii="仿宋_GB2312" w:eastAsia="仿宋_GB2312" w:hAnsi="仿宋_GB2312" w:cs="仿宋_GB2312" w:hint="eastAsia"/>
          <w:bCs/>
          <w:color w:val="2A2F35"/>
          <w:kern w:val="0"/>
          <w:sz w:val="32"/>
          <w:szCs w:val="32"/>
        </w:rPr>
        <w:t>参加本硕一体化</w:t>
      </w:r>
      <w:bookmarkStart w:id="12" w:name="_Hlk213922701"/>
      <w:proofErr w:type="gramEnd"/>
      <w:r>
        <w:rPr>
          <w:rFonts w:ascii="仿宋_GB2312" w:eastAsia="仿宋_GB2312" w:hAnsi="仿宋_GB2312" w:cs="仿宋_GB2312" w:hint="eastAsia"/>
          <w:bCs/>
          <w:color w:val="2A2F35"/>
          <w:kern w:val="0"/>
          <w:sz w:val="32"/>
          <w:szCs w:val="32"/>
        </w:rPr>
        <w:t>培育</w:t>
      </w:r>
      <w:bookmarkEnd w:id="12"/>
      <w:r>
        <w:rPr>
          <w:rFonts w:ascii="仿宋_GB2312" w:eastAsia="仿宋_GB2312" w:hAnsi="仿宋_GB2312" w:cs="仿宋_GB2312" w:hint="eastAsia"/>
          <w:bCs/>
          <w:color w:val="2A2F35"/>
          <w:kern w:val="0"/>
          <w:sz w:val="32"/>
          <w:szCs w:val="32"/>
        </w:rPr>
        <w:t>科研训练的学生做出公正、全面的考核。</w:t>
      </w:r>
    </w:p>
    <w:p w14:paraId="3FEBC0FB" w14:textId="77777777" w:rsidR="00AF16D4" w:rsidRDefault="00000000" w:rsidP="00667FE0">
      <w:pPr>
        <w:snapToGrid w:val="0"/>
        <w:spacing w:line="554" w:lineRule="exact"/>
        <w:ind w:firstLineChars="200" w:firstLine="640"/>
        <w:rPr>
          <w:rFonts w:ascii="仿宋_GB2312" w:eastAsia="仿宋_GB2312" w:hAnsi="仿宋_GB2312" w:cs="仿宋_GB2312" w:hint="eastAsia"/>
          <w:bCs/>
          <w:color w:val="2A2F35"/>
          <w:kern w:val="0"/>
          <w:sz w:val="32"/>
          <w:szCs w:val="32"/>
        </w:rPr>
      </w:pPr>
      <w:bookmarkStart w:id="13" w:name="OLE_LINK5"/>
      <w:proofErr w:type="gramStart"/>
      <w:r>
        <w:rPr>
          <w:rFonts w:ascii="仿宋_GB2312" w:eastAsia="仿宋_GB2312" w:hAnsi="仿宋_GB2312" w:cs="仿宋_GB2312" w:hint="eastAsia"/>
          <w:bCs/>
          <w:color w:val="2A2F35"/>
          <w:kern w:val="0"/>
          <w:sz w:val="32"/>
          <w:szCs w:val="32"/>
        </w:rPr>
        <w:t>本硕一体化</w:t>
      </w:r>
      <w:proofErr w:type="gramEnd"/>
      <w:r>
        <w:rPr>
          <w:rFonts w:ascii="仿宋_GB2312" w:eastAsia="仿宋_GB2312" w:hAnsi="仿宋_GB2312" w:cs="仿宋_GB2312" w:hint="eastAsia"/>
          <w:bCs/>
          <w:color w:val="2A2F35"/>
          <w:kern w:val="0"/>
          <w:sz w:val="32"/>
          <w:szCs w:val="32"/>
        </w:rPr>
        <w:t>培育科研训练考核结果</w:t>
      </w:r>
      <w:bookmarkEnd w:id="13"/>
      <w:r>
        <w:rPr>
          <w:rFonts w:ascii="仿宋_GB2312" w:eastAsia="仿宋_GB2312" w:hAnsi="仿宋_GB2312" w:cs="仿宋_GB2312" w:hint="eastAsia"/>
          <w:bCs/>
          <w:color w:val="2A2F35"/>
          <w:kern w:val="0"/>
          <w:sz w:val="32"/>
          <w:szCs w:val="32"/>
        </w:rPr>
        <w:t>经学院公示无异议后，报教务部（创新创业学院）备案。</w:t>
      </w:r>
    </w:p>
    <w:p w14:paraId="525729AF" w14:textId="77777777" w:rsidR="00AF16D4" w:rsidRDefault="00000000" w:rsidP="00667FE0">
      <w:pPr>
        <w:snapToGrid w:val="0"/>
        <w:spacing w:line="554" w:lineRule="exact"/>
        <w:ind w:firstLineChars="200" w:firstLine="643"/>
        <w:rPr>
          <w:rFonts w:ascii="仿宋_GB2312" w:eastAsia="仿宋_GB2312" w:hAnsi="仿宋_GB2312" w:cs="仿宋_GB2312" w:hint="eastAsia"/>
          <w:bCs/>
          <w:color w:val="2A2F35"/>
          <w:kern w:val="0"/>
          <w:sz w:val="32"/>
          <w:szCs w:val="32"/>
        </w:rPr>
      </w:pPr>
      <w:r>
        <w:rPr>
          <w:rFonts w:ascii="仿宋_GB2312" w:eastAsia="仿宋_GB2312" w:hAnsi="仿宋_GB2312" w:cs="仿宋_GB2312" w:hint="eastAsia"/>
          <w:b/>
          <w:color w:val="2A2F35"/>
          <w:kern w:val="0"/>
          <w:sz w:val="32"/>
          <w:szCs w:val="32"/>
        </w:rPr>
        <w:t xml:space="preserve">第九条 </w:t>
      </w:r>
      <w:r>
        <w:rPr>
          <w:rFonts w:ascii="仿宋_GB2312" w:eastAsia="仿宋_GB2312" w:hAnsi="仿宋_GB2312" w:cs="仿宋_GB2312" w:hint="eastAsia"/>
          <w:bCs/>
          <w:color w:val="2A2F35"/>
          <w:kern w:val="0"/>
          <w:sz w:val="32"/>
          <w:szCs w:val="32"/>
        </w:rPr>
        <w:t>各学院应定期了解学生的培育情况，通过开设跨学科专题讲座、组织参加学术竞赛、开展研究成果交流等活动，拓展培育学生视野，加强学科专业交叉培养，培养学术志趣、实践创新能力。</w:t>
      </w:r>
    </w:p>
    <w:p w14:paraId="74E709DE" w14:textId="77777777" w:rsidR="00AF16D4" w:rsidRDefault="00000000" w:rsidP="00667FE0">
      <w:pPr>
        <w:snapToGrid w:val="0"/>
        <w:spacing w:line="554" w:lineRule="exact"/>
        <w:jc w:val="center"/>
        <w:rPr>
          <w:rFonts w:ascii="黑体" w:eastAsia="黑体" w:hAnsi="黑体" w:cs="仿宋_GB2312" w:hint="eastAsia"/>
          <w:bCs/>
          <w:color w:val="2A2F35"/>
          <w:kern w:val="0"/>
          <w:sz w:val="32"/>
          <w:szCs w:val="32"/>
        </w:rPr>
      </w:pPr>
      <w:r>
        <w:rPr>
          <w:rFonts w:ascii="黑体" w:eastAsia="黑体" w:hAnsi="黑体" w:cs="仿宋_GB2312" w:hint="eastAsia"/>
          <w:bCs/>
          <w:color w:val="2A2F35"/>
          <w:kern w:val="0"/>
          <w:sz w:val="32"/>
          <w:szCs w:val="32"/>
        </w:rPr>
        <w:t>第四章 选拔</w:t>
      </w:r>
    </w:p>
    <w:p w14:paraId="5E728E0C" w14:textId="77777777" w:rsidR="00AF16D4" w:rsidRDefault="00000000" w:rsidP="00667FE0">
      <w:pPr>
        <w:snapToGrid w:val="0"/>
        <w:spacing w:line="554" w:lineRule="exact"/>
        <w:ind w:firstLineChars="200" w:firstLine="643"/>
        <w:rPr>
          <w:rFonts w:ascii="仿宋_GB2312" w:eastAsia="仿宋_GB2312" w:hAnsi="仿宋_GB2312" w:cs="仿宋_GB2312" w:hint="eastAsia"/>
          <w:bCs/>
          <w:color w:val="2A2F35"/>
          <w:kern w:val="0"/>
          <w:sz w:val="32"/>
          <w:szCs w:val="32"/>
        </w:rPr>
      </w:pPr>
      <w:r>
        <w:rPr>
          <w:rFonts w:ascii="仿宋_GB2312" w:eastAsia="仿宋_GB2312" w:hAnsi="仿宋_GB2312" w:cs="仿宋_GB2312" w:hint="eastAsia"/>
          <w:b/>
          <w:color w:val="2A2F35"/>
          <w:kern w:val="0"/>
          <w:sz w:val="32"/>
          <w:szCs w:val="32"/>
        </w:rPr>
        <w:t>第十条</w:t>
      </w:r>
      <w:r>
        <w:rPr>
          <w:rFonts w:ascii="仿宋_GB2312" w:eastAsia="仿宋_GB2312" w:hAnsi="仿宋_GB2312" w:cs="仿宋_GB2312"/>
          <w:b/>
          <w:color w:val="2A2F35"/>
          <w:kern w:val="0"/>
          <w:sz w:val="32"/>
          <w:szCs w:val="32"/>
        </w:rPr>
        <w:t xml:space="preserve"> </w:t>
      </w:r>
      <w:bookmarkStart w:id="14" w:name="OLE_LINK30"/>
      <w:bookmarkStart w:id="15" w:name="OLE_LINK31"/>
      <w:r>
        <w:rPr>
          <w:rFonts w:ascii="仿宋_GB2312" w:eastAsia="仿宋_GB2312" w:hAnsi="仿宋_GB2312" w:cs="仿宋_GB2312" w:hint="eastAsia"/>
          <w:bCs/>
          <w:color w:val="2A2F35"/>
          <w:kern w:val="0"/>
          <w:sz w:val="32"/>
          <w:szCs w:val="32"/>
        </w:rPr>
        <w:t>本科第七学期前，招生</w:t>
      </w:r>
      <w:proofErr w:type="gramStart"/>
      <w:r>
        <w:rPr>
          <w:rFonts w:ascii="仿宋_GB2312" w:eastAsia="仿宋_GB2312" w:hAnsi="仿宋_GB2312" w:cs="仿宋_GB2312" w:hint="eastAsia"/>
          <w:bCs/>
          <w:color w:val="2A2F35"/>
          <w:kern w:val="0"/>
          <w:sz w:val="32"/>
          <w:szCs w:val="32"/>
        </w:rPr>
        <w:t>学院本硕一体化</w:t>
      </w:r>
      <w:proofErr w:type="gramEnd"/>
      <w:r>
        <w:rPr>
          <w:rFonts w:ascii="仿宋_GB2312" w:eastAsia="仿宋_GB2312" w:hAnsi="仿宋_GB2312" w:cs="仿宋_GB2312" w:hint="eastAsia"/>
          <w:bCs/>
          <w:color w:val="2A2F35"/>
          <w:kern w:val="0"/>
          <w:sz w:val="32"/>
          <w:szCs w:val="32"/>
        </w:rPr>
        <w:t>培养工作小组制定本</w:t>
      </w:r>
      <w:proofErr w:type="gramStart"/>
      <w:r>
        <w:rPr>
          <w:rFonts w:ascii="仿宋_GB2312" w:eastAsia="仿宋_GB2312" w:hAnsi="仿宋_GB2312" w:cs="仿宋_GB2312" w:hint="eastAsia"/>
          <w:bCs/>
          <w:color w:val="2A2F35"/>
          <w:kern w:val="0"/>
          <w:sz w:val="32"/>
          <w:szCs w:val="32"/>
        </w:rPr>
        <w:t>硕</w:t>
      </w:r>
      <w:proofErr w:type="gramEnd"/>
      <w:r>
        <w:rPr>
          <w:rFonts w:ascii="仿宋_GB2312" w:eastAsia="仿宋_GB2312" w:hAnsi="仿宋_GB2312" w:cs="仿宋_GB2312" w:hint="eastAsia"/>
          <w:bCs/>
          <w:color w:val="2A2F35"/>
          <w:kern w:val="0"/>
          <w:sz w:val="32"/>
          <w:szCs w:val="32"/>
        </w:rPr>
        <w:t>一体化培养学生选拔方案，</w:t>
      </w:r>
      <w:bookmarkStart w:id="16" w:name="OLE_LINK15"/>
      <w:r>
        <w:rPr>
          <w:rFonts w:ascii="仿宋_GB2312" w:eastAsia="仿宋_GB2312" w:hAnsi="仿宋_GB2312" w:cs="仿宋_GB2312" w:hint="eastAsia"/>
          <w:bCs/>
          <w:color w:val="2A2F35"/>
          <w:kern w:val="0"/>
          <w:sz w:val="32"/>
          <w:szCs w:val="32"/>
        </w:rPr>
        <w:t>明确选拔对象、选拔程序、录取办法等。选拔工作与校区推荐免试研究生工作同步进行，执行相同的综合成绩计算方法，在专业推荐免试研究生名额范围内，从已</w:t>
      </w:r>
      <w:proofErr w:type="gramStart"/>
      <w:r>
        <w:rPr>
          <w:rFonts w:ascii="仿宋_GB2312" w:eastAsia="仿宋_GB2312" w:hAnsi="仿宋_GB2312" w:cs="仿宋_GB2312" w:hint="eastAsia"/>
          <w:bCs/>
          <w:color w:val="2A2F35"/>
          <w:kern w:val="0"/>
          <w:sz w:val="32"/>
          <w:szCs w:val="32"/>
        </w:rPr>
        <w:t>通过本硕一体化</w:t>
      </w:r>
      <w:proofErr w:type="gramEnd"/>
      <w:r>
        <w:rPr>
          <w:rFonts w:ascii="仿宋_GB2312" w:eastAsia="仿宋_GB2312" w:hAnsi="仿宋_GB2312" w:cs="仿宋_GB2312" w:hint="eastAsia"/>
          <w:bCs/>
          <w:color w:val="2A2F35"/>
          <w:kern w:val="0"/>
          <w:sz w:val="32"/>
          <w:szCs w:val="32"/>
        </w:rPr>
        <w:t>培育科研训练考核的学生中，依据专业综合成绩排名百分比择优推荐符合校区推荐免试研究生条件、具有突出创新潜力的本科生，</w:t>
      </w:r>
      <w:proofErr w:type="gramStart"/>
      <w:r>
        <w:rPr>
          <w:rFonts w:ascii="仿宋_GB2312" w:eastAsia="仿宋_GB2312" w:hAnsi="仿宋_GB2312" w:cs="仿宋_GB2312" w:hint="eastAsia"/>
          <w:bCs/>
          <w:color w:val="2A2F35"/>
          <w:kern w:val="0"/>
          <w:sz w:val="32"/>
          <w:szCs w:val="32"/>
        </w:rPr>
        <w:t>进入本硕一体化</w:t>
      </w:r>
      <w:proofErr w:type="gramEnd"/>
      <w:r>
        <w:rPr>
          <w:rFonts w:ascii="仿宋_GB2312" w:eastAsia="仿宋_GB2312" w:hAnsi="仿宋_GB2312" w:cs="仿宋_GB2312" w:hint="eastAsia"/>
          <w:bCs/>
          <w:color w:val="2A2F35"/>
          <w:kern w:val="0"/>
          <w:sz w:val="32"/>
          <w:szCs w:val="32"/>
        </w:rPr>
        <w:t>培养阶段。</w:t>
      </w:r>
      <w:bookmarkEnd w:id="14"/>
      <w:bookmarkEnd w:id="15"/>
      <w:bookmarkEnd w:id="16"/>
    </w:p>
    <w:p w14:paraId="6BC03AB3" w14:textId="77777777" w:rsidR="00AF16D4" w:rsidRDefault="00000000" w:rsidP="00667FE0">
      <w:pPr>
        <w:snapToGrid w:val="0"/>
        <w:spacing w:line="554" w:lineRule="exact"/>
        <w:ind w:firstLineChars="200" w:firstLine="643"/>
        <w:rPr>
          <w:rFonts w:ascii="仿宋_GB2312" w:eastAsia="仿宋_GB2312" w:hAnsi="仿宋_GB2312" w:cs="仿宋_GB2312" w:hint="eastAsia"/>
          <w:bCs/>
          <w:color w:val="2A2F35"/>
          <w:kern w:val="0"/>
          <w:sz w:val="32"/>
          <w:szCs w:val="32"/>
        </w:rPr>
      </w:pPr>
      <w:r>
        <w:rPr>
          <w:rFonts w:ascii="仿宋_GB2312" w:eastAsia="仿宋_GB2312" w:hAnsi="仿宋_GB2312" w:cs="仿宋_GB2312" w:hint="eastAsia"/>
          <w:b/>
          <w:bCs/>
          <w:color w:val="2A2F35"/>
          <w:kern w:val="0"/>
          <w:sz w:val="32"/>
          <w:szCs w:val="32"/>
        </w:rPr>
        <w:t xml:space="preserve">第十一条 </w:t>
      </w:r>
      <w:r>
        <w:rPr>
          <w:rFonts w:ascii="仿宋_GB2312" w:eastAsia="仿宋_GB2312" w:hAnsi="仿宋_GB2312" w:cs="仿宋_GB2312" w:hint="eastAsia"/>
          <w:color w:val="2A2F35"/>
          <w:kern w:val="0"/>
          <w:sz w:val="32"/>
          <w:szCs w:val="32"/>
        </w:rPr>
        <w:t>学院</w:t>
      </w:r>
      <w:r>
        <w:rPr>
          <w:rFonts w:ascii="仿宋_GB2312" w:eastAsia="仿宋_GB2312" w:hAnsi="仿宋_GB2312" w:cs="仿宋_GB2312" w:hint="eastAsia"/>
          <w:bCs/>
          <w:color w:val="2A2F35"/>
          <w:kern w:val="0"/>
          <w:sz w:val="32"/>
          <w:szCs w:val="32"/>
        </w:rPr>
        <w:t>选拔</w:t>
      </w:r>
      <w:proofErr w:type="gramStart"/>
      <w:r>
        <w:rPr>
          <w:rFonts w:ascii="仿宋_GB2312" w:eastAsia="仿宋_GB2312" w:hAnsi="仿宋_GB2312" w:cs="仿宋_GB2312" w:hint="eastAsia"/>
          <w:bCs/>
          <w:color w:val="2A2F35"/>
          <w:kern w:val="0"/>
          <w:sz w:val="32"/>
          <w:szCs w:val="32"/>
        </w:rPr>
        <w:t>的本硕一体化</w:t>
      </w:r>
      <w:proofErr w:type="gramEnd"/>
      <w:r>
        <w:rPr>
          <w:rFonts w:ascii="仿宋_GB2312" w:eastAsia="仿宋_GB2312" w:hAnsi="仿宋_GB2312" w:cs="仿宋_GB2312" w:hint="eastAsia"/>
          <w:bCs/>
          <w:color w:val="2A2F35"/>
          <w:kern w:val="0"/>
          <w:sz w:val="32"/>
          <w:szCs w:val="32"/>
        </w:rPr>
        <w:t>培养学生建议名单报送教务部、研究生部</w:t>
      </w:r>
      <w:proofErr w:type="gramStart"/>
      <w:r>
        <w:rPr>
          <w:rFonts w:ascii="仿宋_GB2312" w:eastAsia="仿宋_GB2312" w:hAnsi="仿宋_GB2312" w:cs="仿宋_GB2312" w:hint="eastAsia"/>
          <w:bCs/>
          <w:color w:val="2A2F35"/>
          <w:kern w:val="0"/>
          <w:sz w:val="32"/>
          <w:szCs w:val="32"/>
        </w:rPr>
        <w:t>和推免工作</w:t>
      </w:r>
      <w:proofErr w:type="gramEnd"/>
      <w:r>
        <w:rPr>
          <w:rFonts w:ascii="仿宋_GB2312" w:eastAsia="仿宋_GB2312" w:hAnsi="仿宋_GB2312" w:cs="仿宋_GB2312" w:hint="eastAsia"/>
          <w:bCs/>
          <w:color w:val="2A2F35"/>
          <w:kern w:val="0"/>
          <w:sz w:val="32"/>
          <w:szCs w:val="32"/>
        </w:rPr>
        <w:t>领导小组进行复核，复核通过后由研究生部统一</w:t>
      </w:r>
      <w:proofErr w:type="gramStart"/>
      <w:r>
        <w:rPr>
          <w:rFonts w:ascii="仿宋_GB2312" w:eastAsia="仿宋_GB2312" w:hAnsi="仿宋_GB2312" w:cs="仿宋_GB2312" w:hint="eastAsia"/>
          <w:bCs/>
          <w:color w:val="2A2F35"/>
          <w:kern w:val="0"/>
          <w:sz w:val="32"/>
          <w:szCs w:val="32"/>
        </w:rPr>
        <w:t>公布本硕一体化</w:t>
      </w:r>
      <w:proofErr w:type="gramEnd"/>
      <w:r>
        <w:rPr>
          <w:rFonts w:ascii="仿宋_GB2312" w:eastAsia="仿宋_GB2312" w:hAnsi="仿宋_GB2312" w:cs="仿宋_GB2312" w:hint="eastAsia"/>
          <w:bCs/>
          <w:color w:val="2A2F35"/>
          <w:kern w:val="0"/>
          <w:sz w:val="32"/>
          <w:szCs w:val="32"/>
        </w:rPr>
        <w:t>培养学生名单。</w:t>
      </w:r>
    </w:p>
    <w:p w14:paraId="4898C4C9" w14:textId="77777777" w:rsidR="00AF16D4" w:rsidRDefault="00000000" w:rsidP="00667FE0">
      <w:pPr>
        <w:spacing w:line="554" w:lineRule="exact"/>
        <w:ind w:firstLineChars="200" w:firstLine="643"/>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b/>
          <w:color w:val="2A2F35"/>
          <w:kern w:val="0"/>
          <w:sz w:val="32"/>
          <w:szCs w:val="32"/>
        </w:rPr>
        <w:t>第十二条</w:t>
      </w:r>
      <w:r>
        <w:rPr>
          <w:rFonts w:ascii="仿宋_GB2312" w:eastAsia="仿宋_GB2312" w:hAnsi="仿宋_GB2312" w:cs="仿宋_GB2312" w:hint="eastAsia"/>
          <w:bCs/>
          <w:color w:val="2A2F35"/>
          <w:kern w:val="0"/>
          <w:sz w:val="32"/>
          <w:szCs w:val="32"/>
        </w:rPr>
        <w:t xml:space="preserve"> </w:t>
      </w:r>
      <w:bookmarkStart w:id="17" w:name="_Hlk211944285"/>
      <w:r>
        <w:rPr>
          <w:rFonts w:ascii="仿宋_GB2312" w:eastAsia="仿宋_GB2312" w:hAnsi="仿宋_GB2312" w:cs="仿宋_GB2312" w:hint="eastAsia"/>
          <w:color w:val="2A2F35"/>
          <w:kern w:val="0"/>
          <w:sz w:val="32"/>
          <w:szCs w:val="32"/>
        </w:rPr>
        <w:t>入选本</w:t>
      </w:r>
      <w:proofErr w:type="gramStart"/>
      <w:r>
        <w:rPr>
          <w:rFonts w:ascii="仿宋_GB2312" w:eastAsia="仿宋_GB2312" w:hAnsi="仿宋_GB2312" w:cs="仿宋_GB2312" w:hint="eastAsia"/>
          <w:color w:val="2A2F35"/>
          <w:kern w:val="0"/>
          <w:sz w:val="32"/>
          <w:szCs w:val="32"/>
        </w:rPr>
        <w:t>硕</w:t>
      </w:r>
      <w:proofErr w:type="gramEnd"/>
      <w:r>
        <w:rPr>
          <w:rFonts w:ascii="仿宋_GB2312" w:eastAsia="仿宋_GB2312" w:hAnsi="仿宋_GB2312" w:cs="仿宋_GB2312" w:hint="eastAsia"/>
          <w:color w:val="2A2F35"/>
          <w:kern w:val="0"/>
          <w:sz w:val="32"/>
          <w:szCs w:val="32"/>
        </w:rPr>
        <w:t>一体化培养的学生，自动获得推荐免试</w:t>
      </w:r>
      <w:r>
        <w:rPr>
          <w:rFonts w:ascii="仿宋_GB2312" w:eastAsia="仿宋_GB2312" w:hAnsi="仿宋_GB2312" w:cs="仿宋_GB2312" w:hint="eastAsia"/>
          <w:color w:val="2A2F35"/>
          <w:kern w:val="0"/>
          <w:sz w:val="32"/>
          <w:szCs w:val="32"/>
        </w:rPr>
        <w:lastRenderedPageBreak/>
        <w:t>研究生资格。入选本</w:t>
      </w:r>
      <w:proofErr w:type="gramStart"/>
      <w:r>
        <w:rPr>
          <w:rFonts w:ascii="仿宋_GB2312" w:eastAsia="仿宋_GB2312" w:hAnsi="仿宋_GB2312" w:cs="仿宋_GB2312" w:hint="eastAsia"/>
          <w:color w:val="2A2F35"/>
          <w:kern w:val="0"/>
          <w:sz w:val="32"/>
          <w:szCs w:val="32"/>
        </w:rPr>
        <w:t>硕</w:t>
      </w:r>
      <w:proofErr w:type="gramEnd"/>
      <w:r>
        <w:rPr>
          <w:rFonts w:ascii="仿宋_GB2312" w:eastAsia="仿宋_GB2312" w:hAnsi="仿宋_GB2312" w:cs="仿宋_GB2312" w:hint="eastAsia"/>
          <w:color w:val="2A2F35"/>
          <w:kern w:val="0"/>
          <w:sz w:val="32"/>
          <w:szCs w:val="32"/>
        </w:rPr>
        <w:t>一体化培养的学生，</w:t>
      </w:r>
      <w:proofErr w:type="gramStart"/>
      <w:r>
        <w:rPr>
          <w:rFonts w:ascii="仿宋_GB2312" w:eastAsia="仿宋_GB2312" w:hAnsi="仿宋_GB2312" w:cs="仿宋_GB2312" w:hint="eastAsia"/>
          <w:color w:val="2A2F35"/>
          <w:kern w:val="0"/>
          <w:sz w:val="32"/>
          <w:szCs w:val="32"/>
        </w:rPr>
        <w:t>放弃本硕一体化</w:t>
      </w:r>
      <w:proofErr w:type="gramEnd"/>
      <w:r>
        <w:rPr>
          <w:rFonts w:ascii="仿宋_GB2312" w:eastAsia="仿宋_GB2312" w:hAnsi="仿宋_GB2312" w:cs="仿宋_GB2312" w:hint="eastAsia"/>
          <w:color w:val="2A2F35"/>
          <w:kern w:val="0"/>
          <w:sz w:val="32"/>
          <w:szCs w:val="32"/>
        </w:rPr>
        <w:t>培养资格的，其推荐免试研究生资格自动取消。</w:t>
      </w:r>
      <w:bookmarkEnd w:id="17"/>
      <w:r>
        <w:rPr>
          <w:rFonts w:ascii="仿宋_GB2312" w:eastAsia="仿宋_GB2312" w:hAnsi="仿宋_GB2312" w:cs="仿宋_GB2312" w:hint="eastAsia"/>
          <w:color w:val="2A2F35"/>
          <w:kern w:val="0"/>
          <w:sz w:val="32"/>
          <w:szCs w:val="32"/>
        </w:rPr>
        <w:t>入选本</w:t>
      </w:r>
      <w:proofErr w:type="gramStart"/>
      <w:r>
        <w:rPr>
          <w:rFonts w:ascii="仿宋_GB2312" w:eastAsia="仿宋_GB2312" w:hAnsi="仿宋_GB2312" w:cs="仿宋_GB2312" w:hint="eastAsia"/>
          <w:color w:val="2A2F35"/>
          <w:kern w:val="0"/>
          <w:sz w:val="32"/>
          <w:szCs w:val="32"/>
        </w:rPr>
        <w:t>硕</w:t>
      </w:r>
      <w:proofErr w:type="gramEnd"/>
      <w:r>
        <w:rPr>
          <w:rFonts w:ascii="仿宋_GB2312" w:eastAsia="仿宋_GB2312" w:hAnsi="仿宋_GB2312" w:cs="仿宋_GB2312" w:hint="eastAsia"/>
          <w:color w:val="2A2F35"/>
          <w:kern w:val="0"/>
          <w:sz w:val="32"/>
          <w:szCs w:val="32"/>
        </w:rPr>
        <w:t>一体化培育但放弃或未入选培养的学生，继续按所在本科专业培养方案培养。</w:t>
      </w:r>
    </w:p>
    <w:p w14:paraId="27C23241" w14:textId="77777777" w:rsidR="00AF16D4" w:rsidRDefault="00000000" w:rsidP="00667FE0">
      <w:pPr>
        <w:snapToGrid w:val="0"/>
        <w:spacing w:line="554" w:lineRule="exact"/>
        <w:jc w:val="center"/>
        <w:rPr>
          <w:rFonts w:ascii="黑体" w:eastAsia="黑体" w:hAnsi="黑体" w:cs="黑体" w:hint="eastAsia"/>
          <w:color w:val="2A2F35"/>
          <w:kern w:val="0"/>
          <w:sz w:val="32"/>
          <w:szCs w:val="32"/>
        </w:rPr>
      </w:pPr>
      <w:r>
        <w:rPr>
          <w:rFonts w:ascii="黑体" w:eastAsia="黑体" w:hAnsi="黑体" w:cs="黑体" w:hint="eastAsia"/>
          <w:color w:val="2A2F35"/>
          <w:kern w:val="0"/>
          <w:sz w:val="32"/>
          <w:szCs w:val="32"/>
        </w:rPr>
        <w:t>第五章 培养</w:t>
      </w:r>
    </w:p>
    <w:p w14:paraId="600EBC48" w14:textId="77777777" w:rsidR="00AF16D4" w:rsidRDefault="00000000" w:rsidP="00667FE0">
      <w:pPr>
        <w:snapToGrid w:val="0"/>
        <w:spacing w:line="554" w:lineRule="exact"/>
        <w:ind w:firstLineChars="200" w:firstLine="643"/>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b/>
          <w:kern w:val="0"/>
          <w:sz w:val="32"/>
          <w:szCs w:val="32"/>
        </w:rPr>
        <w:t>第十三条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color w:val="2A2F35"/>
          <w:kern w:val="0"/>
          <w:sz w:val="32"/>
          <w:szCs w:val="32"/>
        </w:rPr>
        <w:t>学院以本科、硕士研究生阶段培养目标为指引，</w:t>
      </w:r>
      <w:bookmarkStart w:id="18" w:name="OLE_LINK3"/>
      <w:r>
        <w:rPr>
          <w:rFonts w:ascii="仿宋_GB2312" w:eastAsia="仿宋_GB2312" w:hAnsi="仿宋_GB2312" w:cs="仿宋_GB2312" w:hint="eastAsia"/>
          <w:color w:val="2A2F35"/>
          <w:kern w:val="0"/>
          <w:sz w:val="32"/>
          <w:szCs w:val="32"/>
        </w:rPr>
        <w:t>指导学科和相关专业加强顶层设计，优化本科及研究生阶段课程体系，确保知识结构的渐进性和连贯性。</w:t>
      </w:r>
      <w:bookmarkStart w:id="19" w:name="OLE_LINK16"/>
      <w:r>
        <w:rPr>
          <w:rFonts w:ascii="仿宋_GB2312" w:eastAsia="仿宋_GB2312" w:hAnsi="仿宋_GB2312" w:cs="仿宋_GB2312" w:hint="eastAsia"/>
          <w:bCs/>
          <w:color w:val="2A2F35"/>
          <w:kern w:val="0"/>
          <w:sz w:val="32"/>
          <w:szCs w:val="32"/>
        </w:rPr>
        <w:t>本科第七学期开始修读研究生课程，</w:t>
      </w:r>
      <w:r>
        <w:rPr>
          <w:rFonts w:ascii="仿宋_GB2312" w:eastAsia="仿宋_GB2312" w:hAnsi="仿宋_GB2312" w:cs="仿宋_GB2312" w:hint="eastAsia"/>
          <w:color w:val="2A2F35"/>
          <w:kern w:val="0"/>
          <w:sz w:val="32"/>
          <w:szCs w:val="32"/>
        </w:rPr>
        <w:t>鼓励以高阶课程替代低阶课程，实现</w:t>
      </w:r>
      <w:proofErr w:type="gramStart"/>
      <w:r>
        <w:rPr>
          <w:rFonts w:ascii="仿宋_GB2312" w:eastAsia="仿宋_GB2312" w:hAnsi="仿宋_GB2312" w:cs="仿宋_GB2312" w:hint="eastAsia"/>
          <w:color w:val="2A2F35"/>
          <w:kern w:val="0"/>
          <w:sz w:val="32"/>
          <w:szCs w:val="32"/>
        </w:rPr>
        <w:t>不</w:t>
      </w:r>
      <w:proofErr w:type="gramEnd"/>
      <w:r>
        <w:rPr>
          <w:rFonts w:ascii="仿宋_GB2312" w:eastAsia="仿宋_GB2312" w:hAnsi="仿宋_GB2312" w:cs="仿宋_GB2312" w:hint="eastAsia"/>
          <w:color w:val="2A2F35"/>
          <w:kern w:val="0"/>
          <w:sz w:val="32"/>
          <w:szCs w:val="32"/>
        </w:rPr>
        <w:t>同学段课程贯通与衔接。</w:t>
      </w:r>
      <w:bookmarkEnd w:id="18"/>
      <w:bookmarkEnd w:id="19"/>
    </w:p>
    <w:p w14:paraId="3059F9BD" w14:textId="28601AE8" w:rsidR="00AF16D4" w:rsidRDefault="00000000" w:rsidP="00667FE0">
      <w:pPr>
        <w:snapToGrid w:val="0"/>
        <w:spacing w:line="554" w:lineRule="exact"/>
        <w:ind w:firstLineChars="200" w:firstLine="643"/>
        <w:rPr>
          <w:rFonts w:ascii="黑体" w:eastAsia="黑体" w:hAnsi="黑体" w:cs="黑体" w:hint="eastAsia"/>
          <w:color w:val="2A2F35"/>
          <w:kern w:val="0"/>
          <w:sz w:val="32"/>
          <w:szCs w:val="32"/>
        </w:rPr>
      </w:pPr>
      <w:r>
        <w:rPr>
          <w:rFonts w:ascii="仿宋_GB2312" w:eastAsia="仿宋_GB2312" w:hAnsi="仿宋_GB2312" w:cs="仿宋_GB2312" w:hint="eastAsia"/>
          <w:b/>
          <w:bCs/>
          <w:color w:val="2A2F35"/>
          <w:kern w:val="0"/>
          <w:sz w:val="32"/>
          <w:szCs w:val="32"/>
        </w:rPr>
        <w:t xml:space="preserve">第十四条 </w:t>
      </w:r>
      <w:r>
        <w:rPr>
          <w:rFonts w:ascii="仿宋_GB2312" w:eastAsia="仿宋_GB2312" w:hAnsi="仿宋_GB2312" w:cs="仿宋_GB2312" w:hint="eastAsia"/>
          <w:color w:val="2A2F35"/>
          <w:kern w:val="0"/>
          <w:sz w:val="32"/>
          <w:szCs w:val="32"/>
        </w:rPr>
        <w:t>导师应为学生制定本</w:t>
      </w:r>
      <w:proofErr w:type="gramStart"/>
      <w:r>
        <w:rPr>
          <w:rFonts w:ascii="仿宋_GB2312" w:eastAsia="仿宋_GB2312" w:hAnsi="仿宋_GB2312" w:cs="仿宋_GB2312" w:hint="eastAsia"/>
          <w:color w:val="2A2F35"/>
          <w:kern w:val="0"/>
          <w:sz w:val="32"/>
          <w:szCs w:val="32"/>
        </w:rPr>
        <w:t>硕</w:t>
      </w:r>
      <w:proofErr w:type="gramEnd"/>
      <w:r>
        <w:rPr>
          <w:rFonts w:ascii="仿宋_GB2312" w:eastAsia="仿宋_GB2312" w:hAnsi="仿宋_GB2312" w:cs="仿宋_GB2312" w:hint="eastAsia"/>
          <w:color w:val="2A2F35"/>
          <w:kern w:val="0"/>
          <w:sz w:val="32"/>
          <w:szCs w:val="32"/>
        </w:rPr>
        <w:t>贯通的培养计划，</w:t>
      </w:r>
      <w:bookmarkStart w:id="20" w:name="OLE_LINK14"/>
      <w:r>
        <w:rPr>
          <w:rFonts w:ascii="仿宋_GB2312" w:eastAsia="仿宋_GB2312" w:hAnsi="仿宋_GB2312" w:cs="仿宋_GB2312" w:hint="eastAsia"/>
          <w:bCs/>
          <w:color w:val="2A2F35"/>
          <w:kern w:val="0"/>
          <w:sz w:val="32"/>
          <w:szCs w:val="32"/>
        </w:rPr>
        <w:t>鼓励</w:t>
      </w:r>
      <w:proofErr w:type="gramStart"/>
      <w:r>
        <w:rPr>
          <w:rFonts w:ascii="仿宋_GB2312" w:eastAsia="仿宋_GB2312" w:hAnsi="仿宋_GB2312" w:cs="仿宋_GB2312" w:hint="eastAsia"/>
          <w:bCs/>
          <w:color w:val="2A2F35"/>
          <w:kern w:val="0"/>
          <w:sz w:val="32"/>
          <w:szCs w:val="32"/>
        </w:rPr>
        <w:t>将本硕一体化</w:t>
      </w:r>
      <w:proofErr w:type="gramEnd"/>
      <w:r w:rsidR="00E937DB" w:rsidRPr="00E937DB">
        <w:rPr>
          <w:rFonts w:ascii="仿宋_GB2312" w:eastAsia="仿宋_GB2312" w:hAnsi="仿宋_GB2312" w:cs="仿宋_GB2312" w:hint="eastAsia"/>
          <w:bCs/>
          <w:color w:val="2A2F35"/>
          <w:kern w:val="0"/>
          <w:sz w:val="32"/>
          <w:szCs w:val="32"/>
        </w:rPr>
        <w:t>培育</w:t>
      </w:r>
      <w:r>
        <w:rPr>
          <w:rFonts w:ascii="仿宋_GB2312" w:eastAsia="仿宋_GB2312" w:hAnsi="仿宋_GB2312" w:cs="仿宋_GB2312" w:hint="eastAsia"/>
          <w:color w:val="2A2F35"/>
          <w:kern w:val="0"/>
          <w:sz w:val="32"/>
          <w:szCs w:val="32"/>
        </w:rPr>
        <w:t>科研训练项目作为本科生毕业设计（论文）的基础，科学</w:t>
      </w:r>
      <w:proofErr w:type="gramStart"/>
      <w:r>
        <w:rPr>
          <w:rFonts w:ascii="仿宋_GB2312" w:eastAsia="仿宋_GB2312" w:hAnsi="仿宋_GB2312" w:cs="仿宋_GB2312" w:hint="eastAsia"/>
          <w:color w:val="2A2F35"/>
          <w:kern w:val="0"/>
          <w:sz w:val="32"/>
          <w:szCs w:val="32"/>
        </w:rPr>
        <w:t>规划本硕一体化</w:t>
      </w:r>
      <w:proofErr w:type="gramEnd"/>
      <w:r w:rsidR="00E937DB" w:rsidRPr="00E937DB">
        <w:rPr>
          <w:rFonts w:ascii="仿宋_GB2312" w:eastAsia="仿宋_GB2312" w:hAnsi="仿宋_GB2312" w:cs="仿宋_GB2312" w:hint="eastAsia"/>
          <w:color w:val="2A2F35"/>
          <w:kern w:val="0"/>
          <w:sz w:val="32"/>
          <w:szCs w:val="32"/>
        </w:rPr>
        <w:t>培育</w:t>
      </w:r>
      <w:r>
        <w:rPr>
          <w:rFonts w:ascii="仿宋_GB2312" w:eastAsia="仿宋_GB2312" w:hAnsi="仿宋_GB2312" w:cs="仿宋_GB2312" w:hint="eastAsia"/>
          <w:color w:val="2A2F35"/>
          <w:kern w:val="0"/>
          <w:sz w:val="32"/>
          <w:szCs w:val="32"/>
        </w:rPr>
        <w:t>科研训练、本科毕业设计（论文）、</w:t>
      </w:r>
      <w:r>
        <w:rPr>
          <w:rFonts w:ascii="仿宋_GB2312" w:eastAsia="仿宋_GB2312" w:hAnsi="仿宋_GB2312" w:cs="仿宋_GB2312" w:hint="eastAsia"/>
          <w:bCs/>
          <w:color w:val="2A2F35"/>
          <w:kern w:val="0"/>
          <w:sz w:val="32"/>
          <w:szCs w:val="32"/>
        </w:rPr>
        <w:t>硕士研究生科研训练、硕士学位论文或实践成果之间的有序衔接。</w:t>
      </w:r>
      <w:bookmarkEnd w:id="20"/>
    </w:p>
    <w:p w14:paraId="06CE8A80" w14:textId="77777777" w:rsidR="00AF16D4" w:rsidRDefault="00000000" w:rsidP="00667FE0">
      <w:pPr>
        <w:snapToGrid w:val="0"/>
        <w:spacing w:line="554" w:lineRule="exact"/>
        <w:jc w:val="center"/>
        <w:rPr>
          <w:rFonts w:ascii="黑体" w:eastAsia="黑体" w:hAnsi="黑体" w:cs="黑体" w:hint="eastAsia"/>
          <w:color w:val="2A2F35"/>
          <w:kern w:val="0"/>
          <w:sz w:val="32"/>
          <w:szCs w:val="32"/>
        </w:rPr>
      </w:pPr>
      <w:r>
        <w:rPr>
          <w:rFonts w:ascii="黑体" w:eastAsia="黑体" w:hAnsi="黑体" w:cs="黑体" w:hint="eastAsia"/>
          <w:color w:val="2A2F35"/>
          <w:kern w:val="0"/>
          <w:sz w:val="32"/>
          <w:szCs w:val="32"/>
        </w:rPr>
        <w:t>第六章 组织与保障</w:t>
      </w:r>
    </w:p>
    <w:p w14:paraId="3CA404E0" w14:textId="77777777" w:rsidR="00AF16D4" w:rsidRDefault="00000000" w:rsidP="00667FE0">
      <w:pPr>
        <w:snapToGrid w:val="0"/>
        <w:spacing w:line="554" w:lineRule="exact"/>
        <w:ind w:firstLineChars="200" w:firstLine="643"/>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b/>
          <w:bCs/>
          <w:color w:val="2A2F35"/>
          <w:kern w:val="0"/>
          <w:sz w:val="32"/>
          <w:szCs w:val="32"/>
        </w:rPr>
        <w:t xml:space="preserve">第十五条 </w:t>
      </w:r>
      <w:r>
        <w:rPr>
          <w:rFonts w:ascii="仿宋_GB2312" w:eastAsia="仿宋_GB2312" w:hAnsi="仿宋_GB2312" w:cs="仿宋_GB2312" w:hint="eastAsia"/>
          <w:color w:val="2A2F35"/>
          <w:kern w:val="0"/>
          <w:sz w:val="32"/>
          <w:szCs w:val="32"/>
        </w:rPr>
        <w:t>职责分工</w:t>
      </w:r>
    </w:p>
    <w:p w14:paraId="7B5BDDF0" w14:textId="77777777" w:rsidR="00AF16D4" w:rsidRDefault="00000000" w:rsidP="00667FE0">
      <w:pPr>
        <w:snapToGrid w:val="0"/>
        <w:spacing w:line="554" w:lineRule="exact"/>
        <w:ind w:firstLineChars="200" w:firstLine="640"/>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color w:val="2A2F35"/>
          <w:kern w:val="0"/>
          <w:sz w:val="32"/>
          <w:szCs w:val="32"/>
        </w:rPr>
        <w:t>（一）研究生部</w:t>
      </w:r>
      <w:proofErr w:type="gramStart"/>
      <w:r>
        <w:rPr>
          <w:rFonts w:ascii="仿宋_GB2312" w:eastAsia="仿宋_GB2312" w:hAnsi="仿宋_GB2312" w:cs="仿宋_GB2312" w:hint="eastAsia"/>
          <w:color w:val="2A2F35"/>
          <w:kern w:val="0"/>
          <w:sz w:val="32"/>
          <w:szCs w:val="32"/>
        </w:rPr>
        <w:t>为</w:t>
      </w:r>
      <w:bookmarkStart w:id="21" w:name="OLE_LINK4"/>
      <w:r>
        <w:rPr>
          <w:rFonts w:ascii="仿宋_GB2312" w:eastAsia="仿宋_GB2312" w:hAnsi="仿宋_GB2312" w:cs="仿宋_GB2312" w:hint="eastAsia"/>
          <w:color w:val="2A2F35"/>
          <w:kern w:val="0"/>
          <w:sz w:val="32"/>
          <w:szCs w:val="32"/>
        </w:rPr>
        <w:t>本硕一体化</w:t>
      </w:r>
      <w:proofErr w:type="gramEnd"/>
      <w:r>
        <w:rPr>
          <w:rFonts w:ascii="仿宋_GB2312" w:eastAsia="仿宋_GB2312" w:hAnsi="仿宋_GB2312" w:cs="仿宋_GB2312" w:hint="eastAsia"/>
          <w:color w:val="2A2F35"/>
          <w:kern w:val="0"/>
          <w:sz w:val="32"/>
          <w:szCs w:val="32"/>
        </w:rPr>
        <w:t>培育培养工作</w:t>
      </w:r>
      <w:bookmarkEnd w:id="21"/>
      <w:r>
        <w:rPr>
          <w:rFonts w:ascii="仿宋_GB2312" w:eastAsia="仿宋_GB2312" w:hAnsi="仿宋_GB2312" w:cs="仿宋_GB2312" w:hint="eastAsia"/>
          <w:color w:val="2A2F35"/>
          <w:kern w:val="0"/>
          <w:sz w:val="32"/>
          <w:szCs w:val="32"/>
        </w:rPr>
        <w:t>组织实施的牵头单位，会同教务部（创新创业学院）、各相关部门及学院推进</w:t>
      </w:r>
      <w:proofErr w:type="gramStart"/>
      <w:r>
        <w:rPr>
          <w:rFonts w:ascii="仿宋_GB2312" w:eastAsia="仿宋_GB2312" w:hAnsi="仿宋_GB2312" w:cs="仿宋_GB2312" w:hint="eastAsia"/>
          <w:color w:val="2A2F35"/>
          <w:kern w:val="0"/>
          <w:sz w:val="32"/>
          <w:szCs w:val="32"/>
        </w:rPr>
        <w:t>落实本硕一体化</w:t>
      </w:r>
      <w:proofErr w:type="gramEnd"/>
      <w:r>
        <w:rPr>
          <w:rFonts w:ascii="仿宋_GB2312" w:eastAsia="仿宋_GB2312" w:hAnsi="仿宋_GB2312" w:cs="仿宋_GB2312" w:hint="eastAsia"/>
          <w:color w:val="2A2F35"/>
          <w:kern w:val="0"/>
          <w:sz w:val="32"/>
          <w:szCs w:val="32"/>
        </w:rPr>
        <w:t>培育培养工作方案，</w:t>
      </w:r>
      <w:bookmarkStart w:id="22" w:name="OLE_LINK6"/>
      <w:r>
        <w:rPr>
          <w:rFonts w:ascii="仿宋_GB2312" w:eastAsia="仿宋_GB2312" w:hAnsi="仿宋_GB2312" w:cs="仿宋_GB2312" w:hint="eastAsia"/>
          <w:color w:val="2A2F35"/>
          <w:kern w:val="0"/>
          <w:sz w:val="32"/>
          <w:szCs w:val="32"/>
        </w:rPr>
        <w:t>主要确定培养计划指标、复核并公示培养名单、导师资格审核、监督管理等工作。</w:t>
      </w:r>
      <w:bookmarkEnd w:id="22"/>
    </w:p>
    <w:p w14:paraId="0E5E34DB" w14:textId="77777777" w:rsidR="00AF16D4" w:rsidRDefault="00000000" w:rsidP="00667FE0">
      <w:pPr>
        <w:snapToGrid w:val="0"/>
        <w:spacing w:line="554" w:lineRule="exact"/>
        <w:ind w:firstLineChars="200" w:firstLine="640"/>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color w:val="2A2F35"/>
          <w:kern w:val="0"/>
          <w:sz w:val="32"/>
          <w:szCs w:val="32"/>
        </w:rPr>
        <w:t>（二）教务部（创新创业学院）负责与研究生部协同</w:t>
      </w:r>
      <w:proofErr w:type="gramStart"/>
      <w:r>
        <w:rPr>
          <w:rFonts w:ascii="仿宋_GB2312" w:eastAsia="仿宋_GB2312" w:hAnsi="仿宋_GB2312" w:cs="仿宋_GB2312" w:hint="eastAsia"/>
          <w:color w:val="2A2F35"/>
          <w:kern w:val="0"/>
          <w:sz w:val="32"/>
          <w:szCs w:val="32"/>
        </w:rPr>
        <w:t>推动本硕一体</w:t>
      </w:r>
      <w:proofErr w:type="gramEnd"/>
      <w:r>
        <w:rPr>
          <w:rFonts w:ascii="仿宋_GB2312" w:eastAsia="仿宋_GB2312" w:hAnsi="仿宋_GB2312" w:cs="仿宋_GB2312" w:hint="eastAsia"/>
          <w:color w:val="2A2F35"/>
          <w:kern w:val="0"/>
          <w:sz w:val="32"/>
          <w:szCs w:val="32"/>
        </w:rPr>
        <w:t>化工作的组织实施，主要负责科研训练项目管理、复核培育和培养名单、监督管理等工作。</w:t>
      </w:r>
    </w:p>
    <w:p w14:paraId="4F1E61FE" w14:textId="77777777" w:rsidR="00AF16D4" w:rsidRDefault="00000000" w:rsidP="00667FE0">
      <w:pPr>
        <w:snapToGrid w:val="0"/>
        <w:spacing w:line="554" w:lineRule="exact"/>
        <w:ind w:firstLineChars="200" w:firstLine="640"/>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color w:val="2A2F35"/>
          <w:kern w:val="0"/>
          <w:sz w:val="32"/>
          <w:szCs w:val="32"/>
        </w:rPr>
        <w:t>（三）各学院</w:t>
      </w:r>
      <w:proofErr w:type="gramStart"/>
      <w:r>
        <w:rPr>
          <w:rFonts w:ascii="仿宋_GB2312" w:eastAsia="仿宋_GB2312" w:hAnsi="仿宋_GB2312" w:cs="仿宋_GB2312" w:hint="eastAsia"/>
          <w:color w:val="2A2F35"/>
          <w:kern w:val="0"/>
          <w:sz w:val="32"/>
          <w:szCs w:val="32"/>
        </w:rPr>
        <w:t>为本硕一体化</w:t>
      </w:r>
      <w:proofErr w:type="gramEnd"/>
      <w:r>
        <w:rPr>
          <w:rFonts w:ascii="仿宋_GB2312" w:eastAsia="仿宋_GB2312" w:hAnsi="仿宋_GB2312" w:cs="仿宋_GB2312" w:hint="eastAsia"/>
          <w:color w:val="2A2F35"/>
          <w:kern w:val="0"/>
          <w:sz w:val="32"/>
          <w:szCs w:val="32"/>
        </w:rPr>
        <w:t>培育培养工作的具体实施单位，</w:t>
      </w:r>
      <w:proofErr w:type="gramStart"/>
      <w:r>
        <w:rPr>
          <w:rFonts w:ascii="仿宋_GB2312" w:eastAsia="仿宋_GB2312" w:hAnsi="仿宋_GB2312" w:cs="仿宋_GB2312" w:hint="eastAsia"/>
          <w:bCs/>
          <w:color w:val="2A2F35"/>
          <w:kern w:val="0"/>
          <w:sz w:val="32"/>
          <w:szCs w:val="32"/>
        </w:rPr>
        <w:lastRenderedPageBreak/>
        <w:t>成立本硕一体化</w:t>
      </w:r>
      <w:proofErr w:type="gramEnd"/>
      <w:r>
        <w:rPr>
          <w:rFonts w:ascii="仿宋_GB2312" w:eastAsia="仿宋_GB2312" w:hAnsi="仿宋_GB2312" w:cs="仿宋_GB2312" w:hint="eastAsia"/>
          <w:bCs/>
          <w:color w:val="2A2F35"/>
          <w:kern w:val="0"/>
          <w:sz w:val="32"/>
          <w:szCs w:val="32"/>
        </w:rPr>
        <w:t>培养工作小组，</w:t>
      </w:r>
      <w:r>
        <w:rPr>
          <w:rFonts w:ascii="仿宋_GB2312" w:eastAsia="仿宋_GB2312" w:hAnsi="仿宋_GB2312" w:cs="仿宋_GB2312" w:hint="eastAsia"/>
          <w:color w:val="2A2F35"/>
          <w:kern w:val="0"/>
          <w:sz w:val="32"/>
          <w:szCs w:val="32"/>
        </w:rPr>
        <w:t>主要负责制定培育培养选拔实施细则，并开展培育、选拔、培养等工作。</w:t>
      </w:r>
    </w:p>
    <w:p w14:paraId="5BA21C19" w14:textId="09F508C8" w:rsidR="00AF16D4" w:rsidRDefault="00000000" w:rsidP="00667FE0">
      <w:pPr>
        <w:snapToGrid w:val="0"/>
        <w:spacing w:line="554" w:lineRule="exact"/>
        <w:ind w:firstLineChars="200" w:firstLine="643"/>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b/>
          <w:bCs/>
          <w:color w:val="2A2F35"/>
          <w:kern w:val="0"/>
          <w:sz w:val="32"/>
          <w:szCs w:val="32"/>
        </w:rPr>
        <w:t xml:space="preserve">第十六条 </w:t>
      </w:r>
      <w:proofErr w:type="gramStart"/>
      <w:r>
        <w:rPr>
          <w:rFonts w:ascii="仿宋_GB2312" w:eastAsia="仿宋_GB2312" w:hAnsi="仿宋_GB2312" w:cs="仿宋_GB2312" w:hint="eastAsia"/>
          <w:color w:val="2A2F35"/>
          <w:kern w:val="0"/>
          <w:sz w:val="32"/>
          <w:szCs w:val="32"/>
        </w:rPr>
        <w:t>提供本硕一体化</w:t>
      </w:r>
      <w:proofErr w:type="gramEnd"/>
      <w:r w:rsidR="00E937DB">
        <w:rPr>
          <w:rFonts w:ascii="仿宋_GB2312" w:eastAsia="仿宋_GB2312" w:hAnsi="仿宋_GB2312" w:cs="仿宋_GB2312" w:hint="eastAsia"/>
          <w:color w:val="2A2F35"/>
          <w:kern w:val="0"/>
          <w:sz w:val="32"/>
          <w:szCs w:val="32"/>
        </w:rPr>
        <w:t>培育</w:t>
      </w:r>
      <w:r>
        <w:rPr>
          <w:rFonts w:ascii="仿宋_GB2312" w:eastAsia="仿宋_GB2312" w:hAnsi="仿宋_GB2312" w:cs="仿宋_GB2312" w:hint="eastAsia"/>
          <w:color w:val="2A2F35"/>
          <w:kern w:val="0"/>
          <w:sz w:val="32"/>
          <w:szCs w:val="32"/>
        </w:rPr>
        <w:t>科研训练题目的导师应当为指导</w:t>
      </w:r>
      <w:proofErr w:type="gramStart"/>
      <w:r>
        <w:rPr>
          <w:rFonts w:ascii="仿宋_GB2312" w:eastAsia="仿宋_GB2312" w:hAnsi="仿宋_GB2312" w:cs="仿宋_GB2312" w:hint="eastAsia"/>
          <w:color w:val="2A2F35"/>
          <w:kern w:val="0"/>
          <w:sz w:val="32"/>
          <w:szCs w:val="32"/>
        </w:rPr>
        <w:t>的本硕一体化</w:t>
      </w:r>
      <w:proofErr w:type="gramEnd"/>
      <w:r>
        <w:rPr>
          <w:rFonts w:ascii="仿宋_GB2312" w:eastAsia="仿宋_GB2312" w:hAnsi="仿宋_GB2312" w:cs="仿宋_GB2312" w:hint="eastAsia"/>
          <w:color w:val="2A2F35"/>
          <w:kern w:val="0"/>
          <w:sz w:val="32"/>
          <w:szCs w:val="32"/>
        </w:rPr>
        <w:t>培育学生提供必要的科研条件支持，如提供实验防护用品、实验材料、检测条件、科研补助等。学生</w:t>
      </w:r>
      <w:proofErr w:type="gramStart"/>
      <w:r>
        <w:rPr>
          <w:rFonts w:ascii="仿宋_GB2312" w:eastAsia="仿宋_GB2312" w:hAnsi="仿宋_GB2312" w:cs="仿宋_GB2312" w:hint="eastAsia"/>
          <w:color w:val="2A2F35"/>
          <w:kern w:val="0"/>
          <w:sz w:val="32"/>
          <w:szCs w:val="32"/>
        </w:rPr>
        <w:t>进入本硕一体化</w:t>
      </w:r>
      <w:proofErr w:type="gramEnd"/>
      <w:r>
        <w:rPr>
          <w:rFonts w:ascii="仿宋_GB2312" w:eastAsia="仿宋_GB2312" w:hAnsi="仿宋_GB2312" w:cs="仿宋_GB2312" w:hint="eastAsia"/>
          <w:color w:val="2A2F35"/>
          <w:kern w:val="0"/>
          <w:sz w:val="32"/>
          <w:szCs w:val="32"/>
        </w:rPr>
        <w:t>培养阶段后，导师原则上应按学生承担的科研工作量发放助研津贴。</w:t>
      </w:r>
    </w:p>
    <w:p w14:paraId="751CC837" w14:textId="77777777" w:rsidR="00AF16D4" w:rsidRDefault="00000000" w:rsidP="00667FE0">
      <w:pPr>
        <w:snapToGrid w:val="0"/>
        <w:spacing w:line="554"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第十七条</w:t>
      </w:r>
      <w:r>
        <w:rPr>
          <w:rFonts w:ascii="仿宋_GB2312" w:eastAsia="仿宋_GB2312"/>
          <w:b/>
          <w:color w:val="000000"/>
          <w:sz w:val="32"/>
          <w:szCs w:val="32"/>
        </w:rPr>
        <w:t xml:space="preserve"> </w:t>
      </w:r>
      <w:r>
        <w:rPr>
          <w:rFonts w:ascii="仿宋_GB2312" w:eastAsia="仿宋_GB2312" w:hint="eastAsia"/>
          <w:color w:val="000000"/>
          <w:sz w:val="32"/>
          <w:szCs w:val="32"/>
        </w:rPr>
        <w:t>优先推荐入选本</w:t>
      </w:r>
      <w:proofErr w:type="gramStart"/>
      <w:r>
        <w:rPr>
          <w:rFonts w:ascii="仿宋_GB2312" w:eastAsia="仿宋_GB2312" w:hint="eastAsia"/>
          <w:color w:val="000000"/>
          <w:sz w:val="32"/>
          <w:szCs w:val="32"/>
        </w:rPr>
        <w:t>硕</w:t>
      </w:r>
      <w:proofErr w:type="gramEnd"/>
      <w:r>
        <w:rPr>
          <w:rFonts w:ascii="仿宋_GB2312" w:eastAsia="仿宋_GB2312" w:hint="eastAsia"/>
          <w:color w:val="000000"/>
          <w:sz w:val="32"/>
          <w:szCs w:val="32"/>
        </w:rPr>
        <w:t>一体化培育培养的学生申请国家留学基金委公派出国留学项目。</w:t>
      </w:r>
    </w:p>
    <w:p w14:paraId="6C39DDB7" w14:textId="77777777" w:rsidR="00AF16D4" w:rsidRDefault="00000000" w:rsidP="00667FE0">
      <w:pPr>
        <w:snapToGrid w:val="0"/>
        <w:spacing w:line="554"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第</w:t>
      </w:r>
      <w:r>
        <w:rPr>
          <w:rFonts w:ascii="仿宋_GB2312" w:eastAsia="仿宋_GB2312" w:hint="eastAsia"/>
          <w:b/>
          <w:color w:val="000000"/>
          <w:sz w:val="32"/>
          <w:szCs w:val="32"/>
        </w:rPr>
        <w:t>十八</w:t>
      </w:r>
      <w:r>
        <w:rPr>
          <w:rFonts w:ascii="仿宋_GB2312" w:eastAsia="仿宋_GB2312" w:hint="eastAsia"/>
          <w:b/>
          <w:bCs/>
          <w:color w:val="000000"/>
          <w:sz w:val="32"/>
          <w:szCs w:val="32"/>
        </w:rPr>
        <w:t>条</w:t>
      </w:r>
      <w:r>
        <w:rPr>
          <w:rFonts w:ascii="仿宋_GB2312" w:eastAsia="仿宋_GB2312" w:hint="eastAsia"/>
          <w:color w:val="000000"/>
          <w:sz w:val="32"/>
          <w:szCs w:val="32"/>
        </w:rPr>
        <w:t xml:space="preserve"> 研究生部和教务部每两年对学院</w:t>
      </w:r>
      <w:proofErr w:type="gramStart"/>
      <w:r>
        <w:rPr>
          <w:rFonts w:ascii="仿宋_GB2312" w:eastAsia="仿宋_GB2312" w:hint="eastAsia"/>
          <w:color w:val="000000"/>
          <w:sz w:val="32"/>
          <w:szCs w:val="32"/>
        </w:rPr>
        <w:t>完成本硕一体化</w:t>
      </w:r>
      <w:proofErr w:type="gramEnd"/>
      <w:r>
        <w:rPr>
          <w:rFonts w:ascii="仿宋_GB2312" w:eastAsia="仿宋_GB2312" w:hint="eastAsia"/>
          <w:color w:val="000000"/>
          <w:sz w:val="32"/>
          <w:szCs w:val="32"/>
        </w:rPr>
        <w:t>培育培养工作情况进行考核，对导师指导质量进行评估，根据考核评估结果，对学院硕士生招生指标进行奖励或扣减。</w:t>
      </w:r>
    </w:p>
    <w:p w14:paraId="02FB9984" w14:textId="77777777" w:rsidR="00AF16D4" w:rsidRDefault="00000000" w:rsidP="00667FE0">
      <w:pPr>
        <w:snapToGrid w:val="0"/>
        <w:spacing w:line="554" w:lineRule="exact"/>
        <w:ind w:firstLineChars="200" w:firstLine="643"/>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b/>
          <w:bCs/>
          <w:color w:val="2A2F35"/>
          <w:kern w:val="0"/>
          <w:sz w:val="32"/>
          <w:szCs w:val="32"/>
        </w:rPr>
        <w:t>第</w:t>
      </w:r>
      <w:r>
        <w:rPr>
          <w:rFonts w:ascii="仿宋_GB2312" w:eastAsia="仿宋_GB2312" w:hint="eastAsia"/>
          <w:b/>
          <w:color w:val="000000"/>
          <w:sz w:val="32"/>
          <w:szCs w:val="32"/>
        </w:rPr>
        <w:t>十九</w:t>
      </w:r>
      <w:r>
        <w:rPr>
          <w:rFonts w:ascii="仿宋_GB2312" w:eastAsia="仿宋_GB2312" w:hAnsi="仿宋_GB2312" w:cs="仿宋_GB2312" w:hint="eastAsia"/>
          <w:b/>
          <w:bCs/>
          <w:color w:val="2A2F35"/>
          <w:kern w:val="0"/>
          <w:sz w:val="32"/>
          <w:szCs w:val="32"/>
        </w:rPr>
        <w:t xml:space="preserve">条 </w:t>
      </w:r>
      <w:r>
        <w:rPr>
          <w:rFonts w:ascii="仿宋_GB2312" w:eastAsia="仿宋_GB2312" w:hint="eastAsia"/>
          <w:color w:val="000000"/>
          <w:sz w:val="32"/>
          <w:szCs w:val="32"/>
        </w:rPr>
        <w:t>学院应制定本</w:t>
      </w:r>
      <w:proofErr w:type="gramStart"/>
      <w:r>
        <w:rPr>
          <w:rFonts w:ascii="仿宋_GB2312" w:eastAsia="仿宋_GB2312" w:hint="eastAsia"/>
          <w:color w:val="000000"/>
          <w:sz w:val="32"/>
          <w:szCs w:val="32"/>
        </w:rPr>
        <w:t>硕</w:t>
      </w:r>
      <w:proofErr w:type="gramEnd"/>
      <w:r>
        <w:rPr>
          <w:rFonts w:ascii="仿宋_GB2312" w:eastAsia="仿宋_GB2312" w:hint="eastAsia"/>
          <w:color w:val="000000"/>
          <w:sz w:val="32"/>
          <w:szCs w:val="32"/>
        </w:rPr>
        <w:t>一体化培育培养的配套政策，吸引优秀生源，激励硕士生导师积极</w:t>
      </w:r>
      <w:proofErr w:type="gramStart"/>
      <w:r>
        <w:rPr>
          <w:rFonts w:ascii="仿宋_GB2312" w:eastAsia="仿宋_GB2312" w:hint="eastAsia"/>
          <w:color w:val="000000"/>
          <w:sz w:val="32"/>
          <w:szCs w:val="32"/>
        </w:rPr>
        <w:t>投入本硕一体化</w:t>
      </w:r>
      <w:proofErr w:type="gramEnd"/>
      <w:r>
        <w:rPr>
          <w:rFonts w:ascii="仿宋_GB2312" w:eastAsia="仿宋_GB2312" w:hint="eastAsia"/>
          <w:color w:val="000000"/>
          <w:sz w:val="32"/>
          <w:szCs w:val="32"/>
        </w:rPr>
        <w:t>培育培养。</w:t>
      </w:r>
    </w:p>
    <w:p w14:paraId="093CFCF4" w14:textId="77777777" w:rsidR="00AF16D4" w:rsidRDefault="00000000" w:rsidP="00667FE0">
      <w:pPr>
        <w:snapToGrid w:val="0"/>
        <w:spacing w:line="554" w:lineRule="exact"/>
        <w:jc w:val="center"/>
        <w:rPr>
          <w:rFonts w:ascii="黑体" w:eastAsia="黑体" w:hAnsi="黑体" w:cs="黑体" w:hint="eastAsia"/>
          <w:color w:val="2A2F35"/>
          <w:kern w:val="0"/>
          <w:sz w:val="32"/>
          <w:szCs w:val="32"/>
        </w:rPr>
      </w:pPr>
      <w:r>
        <w:rPr>
          <w:rFonts w:ascii="黑体" w:eastAsia="黑体" w:hAnsi="黑体" w:cs="黑体" w:hint="eastAsia"/>
          <w:color w:val="2A2F35"/>
          <w:kern w:val="0"/>
          <w:sz w:val="32"/>
          <w:szCs w:val="32"/>
        </w:rPr>
        <w:t>第七章 附则</w:t>
      </w:r>
    </w:p>
    <w:p w14:paraId="03C0BF44" w14:textId="77777777" w:rsidR="00AF16D4" w:rsidRDefault="00000000" w:rsidP="00667FE0">
      <w:pPr>
        <w:snapToGrid w:val="0"/>
        <w:spacing w:line="554" w:lineRule="exact"/>
        <w:ind w:firstLineChars="200" w:firstLine="643"/>
        <w:rPr>
          <w:rFonts w:ascii="仿宋_GB2312" w:eastAsia="仿宋_GB2312" w:hAnsi="仿宋_GB2312" w:cs="仿宋_GB2312" w:hint="eastAsia"/>
          <w:color w:val="2A2F35"/>
          <w:kern w:val="0"/>
          <w:sz w:val="32"/>
          <w:szCs w:val="32"/>
        </w:rPr>
      </w:pPr>
      <w:r>
        <w:rPr>
          <w:rFonts w:ascii="仿宋_GB2312" w:eastAsia="仿宋_GB2312" w:hAnsi="仿宋_GB2312" w:cs="仿宋_GB2312" w:hint="eastAsia"/>
          <w:b/>
          <w:bCs/>
          <w:color w:val="2A2F35"/>
          <w:kern w:val="0"/>
          <w:sz w:val="32"/>
          <w:szCs w:val="32"/>
        </w:rPr>
        <w:t xml:space="preserve">第二十条 </w:t>
      </w:r>
      <w:r>
        <w:rPr>
          <w:rFonts w:ascii="仿宋_GB2312" w:eastAsia="仿宋_GB2312" w:hAnsi="仿宋_GB2312" w:cs="仿宋_GB2312" w:hint="eastAsia"/>
          <w:color w:val="2A2F35"/>
          <w:kern w:val="0"/>
          <w:sz w:val="32"/>
          <w:szCs w:val="32"/>
        </w:rPr>
        <w:t>本办法经2025年第26次校区校长办公会议审议通过，由研究生部、教务部负责解释。</w:t>
      </w:r>
    </w:p>
    <w:p w14:paraId="147634AA" w14:textId="4057CC05" w:rsidR="00AF16D4" w:rsidRDefault="00000000" w:rsidP="00667FE0">
      <w:pPr>
        <w:snapToGrid w:val="0"/>
        <w:spacing w:line="554"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color w:val="2A2F35"/>
          <w:kern w:val="0"/>
          <w:sz w:val="32"/>
          <w:szCs w:val="32"/>
        </w:rPr>
        <w:t xml:space="preserve">第二十一条 </w:t>
      </w:r>
      <w:r>
        <w:rPr>
          <w:rFonts w:ascii="仿宋_GB2312" w:eastAsia="仿宋_GB2312" w:hAnsi="仿宋_GB2312" w:cs="仿宋_GB2312" w:hint="eastAsia"/>
          <w:color w:val="2A2F35"/>
          <w:kern w:val="0"/>
          <w:sz w:val="32"/>
          <w:szCs w:val="32"/>
        </w:rPr>
        <w:t>本办法自发布之日起施行，原《中国石油大学（北京）克拉玛依校区本研一体化培养实施办法（修订）》（中石大克校区</w:t>
      </w:r>
      <w:proofErr w:type="gramStart"/>
      <w:r w:rsidR="00A622C1">
        <w:rPr>
          <w:rFonts w:ascii="仿宋_GB2312" w:eastAsia="仿宋_GB2312" w:hAnsi="仿宋_GB2312" w:cs="仿宋_GB2312" w:hint="eastAsia"/>
          <w:color w:val="2A2F35"/>
          <w:kern w:val="0"/>
          <w:sz w:val="32"/>
          <w:szCs w:val="32"/>
        </w:rPr>
        <w:t>研</w:t>
      </w:r>
      <w:proofErr w:type="gramEnd"/>
      <w:r>
        <w:rPr>
          <w:rFonts w:ascii="仿宋_GB2312" w:eastAsia="仿宋_GB2312" w:hAnsi="仿宋_GB2312" w:cs="仿宋_GB2312" w:hint="eastAsia"/>
          <w:color w:val="2A2F35"/>
          <w:kern w:val="0"/>
          <w:sz w:val="32"/>
          <w:szCs w:val="32"/>
        </w:rPr>
        <w:t>〔2024〕5号）</w:t>
      </w:r>
      <w:r>
        <w:rPr>
          <w:rFonts w:ascii="仿宋_GB2312" w:eastAsia="仿宋_GB2312" w:hAnsi="仿宋_GB2312" w:cs="仿宋_GB2312" w:hint="eastAsia"/>
          <w:sz w:val="32"/>
          <w:szCs w:val="32"/>
        </w:rPr>
        <w:t>同时废止。</w:t>
      </w:r>
    </w:p>
    <w:p w14:paraId="7F30AE1C" w14:textId="77777777" w:rsidR="00AF16D4" w:rsidRDefault="00AF16D4" w:rsidP="00667FE0">
      <w:pPr>
        <w:snapToGrid w:val="0"/>
        <w:spacing w:line="554" w:lineRule="exact"/>
        <w:jc w:val="center"/>
        <w:rPr>
          <w:rFonts w:ascii="仿宋" w:eastAsia="仿宋" w:hAnsi="仿宋" w:hint="eastAsia"/>
          <w:b/>
          <w:sz w:val="18"/>
          <w:szCs w:val="18"/>
        </w:rPr>
      </w:pPr>
    </w:p>
    <w:sectPr w:rsidR="00AF16D4">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93F3" w14:textId="77777777" w:rsidR="002C0612" w:rsidRDefault="002C0612">
      <w:r>
        <w:separator/>
      </w:r>
    </w:p>
  </w:endnote>
  <w:endnote w:type="continuationSeparator" w:id="0">
    <w:p w14:paraId="526A7C0B" w14:textId="77777777" w:rsidR="002C0612" w:rsidRDefault="002C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814907"/>
    </w:sdtPr>
    <w:sdtEndPr>
      <w:rPr>
        <w:rFonts w:ascii="宋体" w:eastAsia="宋体" w:hAnsi="宋体"/>
        <w:sz w:val="24"/>
        <w:szCs w:val="24"/>
      </w:rPr>
    </w:sdtEndPr>
    <w:sdtContent>
      <w:p w14:paraId="19C04EE0" w14:textId="77777777" w:rsidR="00AF16D4" w:rsidRDefault="00000000">
        <w:pPr>
          <w:pStyle w:val="ad"/>
          <w:jc w:val="center"/>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4</w:t>
        </w:r>
        <w:r>
          <w:rPr>
            <w:rFonts w:ascii="宋体" w:eastAsia="宋体" w:hAnsi="宋体"/>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AE89" w14:textId="77777777" w:rsidR="002C0612" w:rsidRDefault="002C0612">
      <w:r>
        <w:separator/>
      </w:r>
    </w:p>
  </w:footnote>
  <w:footnote w:type="continuationSeparator" w:id="0">
    <w:p w14:paraId="73C0F34E" w14:textId="77777777" w:rsidR="002C0612" w:rsidRDefault="002C0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kYmM2ZjQ5OWNlY2E5MTY1ODIzMGI1MzJjNGQ3YmMifQ=="/>
  </w:docVars>
  <w:rsids>
    <w:rsidRoot w:val="0024517C"/>
    <w:rsid w:val="000017E4"/>
    <w:rsid w:val="00005846"/>
    <w:rsid w:val="00016496"/>
    <w:rsid w:val="00024BBF"/>
    <w:rsid w:val="000270E3"/>
    <w:rsid w:val="0003302A"/>
    <w:rsid w:val="0004063C"/>
    <w:rsid w:val="000601C9"/>
    <w:rsid w:val="00060949"/>
    <w:rsid w:val="0006215A"/>
    <w:rsid w:val="0006672F"/>
    <w:rsid w:val="00067A45"/>
    <w:rsid w:val="00067E46"/>
    <w:rsid w:val="000877D3"/>
    <w:rsid w:val="00092C3B"/>
    <w:rsid w:val="000A53AB"/>
    <w:rsid w:val="000A7805"/>
    <w:rsid w:val="000C1A38"/>
    <w:rsid w:val="000D2D83"/>
    <w:rsid w:val="000E713A"/>
    <w:rsid w:val="000F0041"/>
    <w:rsid w:val="000F7197"/>
    <w:rsid w:val="001005F7"/>
    <w:rsid w:val="00111B8A"/>
    <w:rsid w:val="00120BF5"/>
    <w:rsid w:val="00123E8D"/>
    <w:rsid w:val="00132AEC"/>
    <w:rsid w:val="00134C3B"/>
    <w:rsid w:val="0014254F"/>
    <w:rsid w:val="00145C79"/>
    <w:rsid w:val="001500C6"/>
    <w:rsid w:val="00150D53"/>
    <w:rsid w:val="001538DF"/>
    <w:rsid w:val="0016040D"/>
    <w:rsid w:val="00160E8C"/>
    <w:rsid w:val="00164384"/>
    <w:rsid w:val="00165C8E"/>
    <w:rsid w:val="00171FC1"/>
    <w:rsid w:val="00181B29"/>
    <w:rsid w:val="001A2BE6"/>
    <w:rsid w:val="001A37CA"/>
    <w:rsid w:val="001A7DB4"/>
    <w:rsid w:val="001B195B"/>
    <w:rsid w:val="001C0DDA"/>
    <w:rsid w:val="001C47CF"/>
    <w:rsid w:val="001D16D6"/>
    <w:rsid w:val="001D1C10"/>
    <w:rsid w:val="001D3181"/>
    <w:rsid w:val="001D5B35"/>
    <w:rsid w:val="001E58C2"/>
    <w:rsid w:val="001F340A"/>
    <w:rsid w:val="001F3992"/>
    <w:rsid w:val="001F6996"/>
    <w:rsid w:val="00201D76"/>
    <w:rsid w:val="002120DB"/>
    <w:rsid w:val="00214617"/>
    <w:rsid w:val="00215944"/>
    <w:rsid w:val="00216CC7"/>
    <w:rsid w:val="00224F2D"/>
    <w:rsid w:val="002253E5"/>
    <w:rsid w:val="00231CF4"/>
    <w:rsid w:val="0024032F"/>
    <w:rsid w:val="002431EA"/>
    <w:rsid w:val="0024321A"/>
    <w:rsid w:val="00244EC1"/>
    <w:rsid w:val="0024517C"/>
    <w:rsid w:val="00254933"/>
    <w:rsid w:val="00271EF4"/>
    <w:rsid w:val="002726B1"/>
    <w:rsid w:val="00272CEF"/>
    <w:rsid w:val="00280169"/>
    <w:rsid w:val="002810B0"/>
    <w:rsid w:val="00284A0B"/>
    <w:rsid w:val="0028747A"/>
    <w:rsid w:val="0029010E"/>
    <w:rsid w:val="002A0951"/>
    <w:rsid w:val="002A2104"/>
    <w:rsid w:val="002A46CF"/>
    <w:rsid w:val="002A637F"/>
    <w:rsid w:val="002B008E"/>
    <w:rsid w:val="002B572B"/>
    <w:rsid w:val="002B735D"/>
    <w:rsid w:val="002B76EA"/>
    <w:rsid w:val="002C0612"/>
    <w:rsid w:val="002C3B4A"/>
    <w:rsid w:val="002C6393"/>
    <w:rsid w:val="002D4759"/>
    <w:rsid w:val="002E280B"/>
    <w:rsid w:val="002E45E9"/>
    <w:rsid w:val="002E539C"/>
    <w:rsid w:val="002F145E"/>
    <w:rsid w:val="002F2EC0"/>
    <w:rsid w:val="0032608D"/>
    <w:rsid w:val="003262CC"/>
    <w:rsid w:val="003304DC"/>
    <w:rsid w:val="003337DF"/>
    <w:rsid w:val="003369AE"/>
    <w:rsid w:val="00337533"/>
    <w:rsid w:val="00354E08"/>
    <w:rsid w:val="0037037F"/>
    <w:rsid w:val="00371A2E"/>
    <w:rsid w:val="00373F6C"/>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0613"/>
    <w:rsid w:val="003E351B"/>
    <w:rsid w:val="003E4874"/>
    <w:rsid w:val="003E6016"/>
    <w:rsid w:val="003F0405"/>
    <w:rsid w:val="003F39ED"/>
    <w:rsid w:val="003F617D"/>
    <w:rsid w:val="003F66C6"/>
    <w:rsid w:val="003F7962"/>
    <w:rsid w:val="00400CB0"/>
    <w:rsid w:val="00403AED"/>
    <w:rsid w:val="00410BD4"/>
    <w:rsid w:val="004152F8"/>
    <w:rsid w:val="00415368"/>
    <w:rsid w:val="00416334"/>
    <w:rsid w:val="00422EAD"/>
    <w:rsid w:val="00426F99"/>
    <w:rsid w:val="004520AA"/>
    <w:rsid w:val="0045318E"/>
    <w:rsid w:val="004563D6"/>
    <w:rsid w:val="004610AE"/>
    <w:rsid w:val="00465944"/>
    <w:rsid w:val="00475D8B"/>
    <w:rsid w:val="00487236"/>
    <w:rsid w:val="0049685E"/>
    <w:rsid w:val="004B01E9"/>
    <w:rsid w:val="004C33F8"/>
    <w:rsid w:val="004C48F9"/>
    <w:rsid w:val="004C5999"/>
    <w:rsid w:val="004D0EE8"/>
    <w:rsid w:val="004D1627"/>
    <w:rsid w:val="004D49EF"/>
    <w:rsid w:val="004D698E"/>
    <w:rsid w:val="004F0D20"/>
    <w:rsid w:val="004F2DDB"/>
    <w:rsid w:val="004F2EF3"/>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869A6"/>
    <w:rsid w:val="005879CF"/>
    <w:rsid w:val="005A7541"/>
    <w:rsid w:val="005A7F1F"/>
    <w:rsid w:val="005B34E5"/>
    <w:rsid w:val="005B422A"/>
    <w:rsid w:val="005B6125"/>
    <w:rsid w:val="005D283D"/>
    <w:rsid w:val="005E0669"/>
    <w:rsid w:val="005E3D9A"/>
    <w:rsid w:val="005E4339"/>
    <w:rsid w:val="005E6D60"/>
    <w:rsid w:val="005F0D5C"/>
    <w:rsid w:val="005F2D87"/>
    <w:rsid w:val="005F6190"/>
    <w:rsid w:val="005F7734"/>
    <w:rsid w:val="00613B4F"/>
    <w:rsid w:val="00620F88"/>
    <w:rsid w:val="00626095"/>
    <w:rsid w:val="006274D7"/>
    <w:rsid w:val="00635E23"/>
    <w:rsid w:val="00636E2A"/>
    <w:rsid w:val="00647837"/>
    <w:rsid w:val="00652DD8"/>
    <w:rsid w:val="00656950"/>
    <w:rsid w:val="00657EBE"/>
    <w:rsid w:val="00662964"/>
    <w:rsid w:val="00667FE0"/>
    <w:rsid w:val="00676B8A"/>
    <w:rsid w:val="006817A9"/>
    <w:rsid w:val="006865E2"/>
    <w:rsid w:val="006872C8"/>
    <w:rsid w:val="006A30BF"/>
    <w:rsid w:val="006B14F3"/>
    <w:rsid w:val="006B4630"/>
    <w:rsid w:val="006B5D72"/>
    <w:rsid w:val="006C118A"/>
    <w:rsid w:val="006C2F6B"/>
    <w:rsid w:val="006C4205"/>
    <w:rsid w:val="006D52E9"/>
    <w:rsid w:val="006E17F2"/>
    <w:rsid w:val="006F4929"/>
    <w:rsid w:val="00701357"/>
    <w:rsid w:val="00701D6C"/>
    <w:rsid w:val="007115B4"/>
    <w:rsid w:val="00715B70"/>
    <w:rsid w:val="00715E38"/>
    <w:rsid w:val="00723316"/>
    <w:rsid w:val="00725D73"/>
    <w:rsid w:val="00740089"/>
    <w:rsid w:val="00740E5C"/>
    <w:rsid w:val="007512FD"/>
    <w:rsid w:val="0075354D"/>
    <w:rsid w:val="00757F5D"/>
    <w:rsid w:val="00762E83"/>
    <w:rsid w:val="00767856"/>
    <w:rsid w:val="007728B2"/>
    <w:rsid w:val="00775754"/>
    <w:rsid w:val="00776D83"/>
    <w:rsid w:val="0077774F"/>
    <w:rsid w:val="00782C3A"/>
    <w:rsid w:val="00783E3D"/>
    <w:rsid w:val="00784366"/>
    <w:rsid w:val="007847DB"/>
    <w:rsid w:val="00784C7E"/>
    <w:rsid w:val="00785069"/>
    <w:rsid w:val="007927C0"/>
    <w:rsid w:val="0079459A"/>
    <w:rsid w:val="007B1642"/>
    <w:rsid w:val="007B6FA5"/>
    <w:rsid w:val="007D72BA"/>
    <w:rsid w:val="007E3F16"/>
    <w:rsid w:val="007F0430"/>
    <w:rsid w:val="007F1691"/>
    <w:rsid w:val="007F1F53"/>
    <w:rsid w:val="007F4565"/>
    <w:rsid w:val="008057DA"/>
    <w:rsid w:val="008106A5"/>
    <w:rsid w:val="00812C91"/>
    <w:rsid w:val="008215E7"/>
    <w:rsid w:val="0083333C"/>
    <w:rsid w:val="008350AC"/>
    <w:rsid w:val="008455BD"/>
    <w:rsid w:val="00850098"/>
    <w:rsid w:val="00850B38"/>
    <w:rsid w:val="008541AF"/>
    <w:rsid w:val="008661F1"/>
    <w:rsid w:val="00867B8B"/>
    <w:rsid w:val="0087122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E6FAA"/>
    <w:rsid w:val="008F0BD0"/>
    <w:rsid w:val="008F375C"/>
    <w:rsid w:val="008F41F9"/>
    <w:rsid w:val="008F63DD"/>
    <w:rsid w:val="0091074B"/>
    <w:rsid w:val="009123C2"/>
    <w:rsid w:val="00914F5C"/>
    <w:rsid w:val="009173BB"/>
    <w:rsid w:val="0092500A"/>
    <w:rsid w:val="00934701"/>
    <w:rsid w:val="00944BD0"/>
    <w:rsid w:val="009508CC"/>
    <w:rsid w:val="009529C7"/>
    <w:rsid w:val="009663BD"/>
    <w:rsid w:val="00973BB7"/>
    <w:rsid w:val="0098252A"/>
    <w:rsid w:val="0098787A"/>
    <w:rsid w:val="009901A9"/>
    <w:rsid w:val="00994521"/>
    <w:rsid w:val="00996533"/>
    <w:rsid w:val="009A3507"/>
    <w:rsid w:val="009A5121"/>
    <w:rsid w:val="009B0A26"/>
    <w:rsid w:val="009B1727"/>
    <w:rsid w:val="009C0A72"/>
    <w:rsid w:val="009C29E8"/>
    <w:rsid w:val="009C5C0D"/>
    <w:rsid w:val="009D115C"/>
    <w:rsid w:val="009D4CF5"/>
    <w:rsid w:val="009E06A7"/>
    <w:rsid w:val="009E77D4"/>
    <w:rsid w:val="009F051E"/>
    <w:rsid w:val="00A05BAE"/>
    <w:rsid w:val="00A16CE1"/>
    <w:rsid w:val="00A37C72"/>
    <w:rsid w:val="00A43BEE"/>
    <w:rsid w:val="00A44F00"/>
    <w:rsid w:val="00A50DA9"/>
    <w:rsid w:val="00A52FC8"/>
    <w:rsid w:val="00A53CBC"/>
    <w:rsid w:val="00A54625"/>
    <w:rsid w:val="00A55B7E"/>
    <w:rsid w:val="00A622C1"/>
    <w:rsid w:val="00A873F8"/>
    <w:rsid w:val="00AA280B"/>
    <w:rsid w:val="00AA4CF3"/>
    <w:rsid w:val="00AB4098"/>
    <w:rsid w:val="00AC18E4"/>
    <w:rsid w:val="00AC3DDE"/>
    <w:rsid w:val="00AC3F3A"/>
    <w:rsid w:val="00AC4C8E"/>
    <w:rsid w:val="00AD02B2"/>
    <w:rsid w:val="00AD76D1"/>
    <w:rsid w:val="00AF16D4"/>
    <w:rsid w:val="00AF42E4"/>
    <w:rsid w:val="00B030DA"/>
    <w:rsid w:val="00B07CA3"/>
    <w:rsid w:val="00B10F7B"/>
    <w:rsid w:val="00B14A60"/>
    <w:rsid w:val="00B20729"/>
    <w:rsid w:val="00B23484"/>
    <w:rsid w:val="00B240E9"/>
    <w:rsid w:val="00B24409"/>
    <w:rsid w:val="00B327B3"/>
    <w:rsid w:val="00B35593"/>
    <w:rsid w:val="00B4318F"/>
    <w:rsid w:val="00B432AB"/>
    <w:rsid w:val="00B5101D"/>
    <w:rsid w:val="00B53226"/>
    <w:rsid w:val="00B57CC1"/>
    <w:rsid w:val="00B62D00"/>
    <w:rsid w:val="00B806B3"/>
    <w:rsid w:val="00B81437"/>
    <w:rsid w:val="00B84B70"/>
    <w:rsid w:val="00B85195"/>
    <w:rsid w:val="00B957B2"/>
    <w:rsid w:val="00B96210"/>
    <w:rsid w:val="00B97E44"/>
    <w:rsid w:val="00BA7583"/>
    <w:rsid w:val="00BC26A9"/>
    <w:rsid w:val="00BC5808"/>
    <w:rsid w:val="00BC5836"/>
    <w:rsid w:val="00BC78D5"/>
    <w:rsid w:val="00BD525F"/>
    <w:rsid w:val="00BD66E2"/>
    <w:rsid w:val="00BE0C58"/>
    <w:rsid w:val="00BE2E41"/>
    <w:rsid w:val="00BF1F1B"/>
    <w:rsid w:val="00C02B19"/>
    <w:rsid w:val="00C120FC"/>
    <w:rsid w:val="00C24753"/>
    <w:rsid w:val="00C24DFB"/>
    <w:rsid w:val="00C30383"/>
    <w:rsid w:val="00C34410"/>
    <w:rsid w:val="00C346A0"/>
    <w:rsid w:val="00C36A3F"/>
    <w:rsid w:val="00C46CF3"/>
    <w:rsid w:val="00C47EBA"/>
    <w:rsid w:val="00C5045F"/>
    <w:rsid w:val="00C546A2"/>
    <w:rsid w:val="00C62977"/>
    <w:rsid w:val="00C63395"/>
    <w:rsid w:val="00C63979"/>
    <w:rsid w:val="00C65050"/>
    <w:rsid w:val="00C658EC"/>
    <w:rsid w:val="00C66E87"/>
    <w:rsid w:val="00C72B08"/>
    <w:rsid w:val="00C7371D"/>
    <w:rsid w:val="00C84300"/>
    <w:rsid w:val="00C84C41"/>
    <w:rsid w:val="00C85D40"/>
    <w:rsid w:val="00C87996"/>
    <w:rsid w:val="00C944BB"/>
    <w:rsid w:val="00CA1B44"/>
    <w:rsid w:val="00CB261B"/>
    <w:rsid w:val="00CC1C99"/>
    <w:rsid w:val="00CC6095"/>
    <w:rsid w:val="00CD1D8E"/>
    <w:rsid w:val="00CE45F3"/>
    <w:rsid w:val="00CF2DB7"/>
    <w:rsid w:val="00D05332"/>
    <w:rsid w:val="00D117AA"/>
    <w:rsid w:val="00D11E3E"/>
    <w:rsid w:val="00D174D3"/>
    <w:rsid w:val="00D21BEE"/>
    <w:rsid w:val="00D21DC9"/>
    <w:rsid w:val="00D2204F"/>
    <w:rsid w:val="00D25E36"/>
    <w:rsid w:val="00D26209"/>
    <w:rsid w:val="00D432F0"/>
    <w:rsid w:val="00D43C7A"/>
    <w:rsid w:val="00D5568C"/>
    <w:rsid w:val="00D66AD1"/>
    <w:rsid w:val="00D72031"/>
    <w:rsid w:val="00D75F60"/>
    <w:rsid w:val="00D91118"/>
    <w:rsid w:val="00D918AE"/>
    <w:rsid w:val="00D921EF"/>
    <w:rsid w:val="00D93264"/>
    <w:rsid w:val="00DA1479"/>
    <w:rsid w:val="00DA2B9A"/>
    <w:rsid w:val="00DC0C7B"/>
    <w:rsid w:val="00DC15ED"/>
    <w:rsid w:val="00DC1CAB"/>
    <w:rsid w:val="00DD6C58"/>
    <w:rsid w:val="00DD73BB"/>
    <w:rsid w:val="00DE3174"/>
    <w:rsid w:val="00DF5783"/>
    <w:rsid w:val="00E00113"/>
    <w:rsid w:val="00E148AD"/>
    <w:rsid w:val="00E16836"/>
    <w:rsid w:val="00E203E6"/>
    <w:rsid w:val="00E23DA4"/>
    <w:rsid w:val="00E30438"/>
    <w:rsid w:val="00E337D1"/>
    <w:rsid w:val="00E338C9"/>
    <w:rsid w:val="00E36399"/>
    <w:rsid w:val="00E36B01"/>
    <w:rsid w:val="00E37F86"/>
    <w:rsid w:val="00E438B6"/>
    <w:rsid w:val="00E43C28"/>
    <w:rsid w:val="00E459AE"/>
    <w:rsid w:val="00E46AFA"/>
    <w:rsid w:val="00E46CCA"/>
    <w:rsid w:val="00E676A1"/>
    <w:rsid w:val="00E73CFF"/>
    <w:rsid w:val="00E74C2D"/>
    <w:rsid w:val="00E85810"/>
    <w:rsid w:val="00E8624D"/>
    <w:rsid w:val="00E86ED5"/>
    <w:rsid w:val="00E91FC1"/>
    <w:rsid w:val="00E937DB"/>
    <w:rsid w:val="00E95528"/>
    <w:rsid w:val="00E964FA"/>
    <w:rsid w:val="00EA692E"/>
    <w:rsid w:val="00EB27A9"/>
    <w:rsid w:val="00EB40FE"/>
    <w:rsid w:val="00EB7C4E"/>
    <w:rsid w:val="00EC7A4B"/>
    <w:rsid w:val="00ED219A"/>
    <w:rsid w:val="00ED264F"/>
    <w:rsid w:val="00ED5F05"/>
    <w:rsid w:val="00EE137E"/>
    <w:rsid w:val="00EE1EED"/>
    <w:rsid w:val="00EE3D8F"/>
    <w:rsid w:val="00EE51F2"/>
    <w:rsid w:val="00EF1C02"/>
    <w:rsid w:val="00EF25B1"/>
    <w:rsid w:val="00EF574B"/>
    <w:rsid w:val="00F13EFC"/>
    <w:rsid w:val="00F17ED5"/>
    <w:rsid w:val="00F21602"/>
    <w:rsid w:val="00F438EA"/>
    <w:rsid w:val="00F43C00"/>
    <w:rsid w:val="00F44B3A"/>
    <w:rsid w:val="00F57027"/>
    <w:rsid w:val="00F65A2A"/>
    <w:rsid w:val="00F67D88"/>
    <w:rsid w:val="00F71248"/>
    <w:rsid w:val="00F7465F"/>
    <w:rsid w:val="00F74CE5"/>
    <w:rsid w:val="00F7743D"/>
    <w:rsid w:val="00F77FD8"/>
    <w:rsid w:val="00F913C3"/>
    <w:rsid w:val="00F915C9"/>
    <w:rsid w:val="00F9344A"/>
    <w:rsid w:val="00F96013"/>
    <w:rsid w:val="00FC7442"/>
    <w:rsid w:val="00FD1EAB"/>
    <w:rsid w:val="00FD55B8"/>
    <w:rsid w:val="00FD5FD3"/>
    <w:rsid w:val="00FD5FF3"/>
    <w:rsid w:val="00FE25A3"/>
    <w:rsid w:val="00FE30B8"/>
    <w:rsid w:val="00FE3795"/>
    <w:rsid w:val="00FE3A8D"/>
    <w:rsid w:val="0F9B0A3C"/>
    <w:rsid w:val="10B70CD7"/>
    <w:rsid w:val="3FD85D5B"/>
    <w:rsid w:val="50303C1D"/>
    <w:rsid w:val="574B7843"/>
    <w:rsid w:val="77EB7033"/>
    <w:rsid w:val="7E2B5717"/>
    <w:rsid w:val="7E94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871E"/>
  <w15:docId w15:val="{4B07BFC6-2D59-47BA-A0E2-B55B6E37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1"/>
    <w:qFormat/>
    <w:pPr>
      <w:spacing w:after="120"/>
    </w:pPr>
    <w:rPr>
      <w:rFonts w:ascii="Times New Roman" w:eastAsia="宋体" w:hAnsi="Times New Roman" w:cs="Times New Roman"/>
      <w:szCs w:val="24"/>
    </w:rPr>
  </w:style>
  <w:style w:type="paragraph" w:styleId="a6">
    <w:name w:val="Body Text Indent"/>
    <w:basedOn w:val="a"/>
    <w:link w:val="a7"/>
    <w:qFormat/>
    <w:pPr>
      <w:spacing w:after="120"/>
      <w:ind w:left="420"/>
    </w:pPr>
    <w:rPr>
      <w:rFonts w:ascii="Times New Roman" w:eastAsia="宋体" w:hAnsi="Times New Roman" w:cs="Times New Roman"/>
      <w:szCs w:val="24"/>
    </w:rPr>
  </w:style>
  <w:style w:type="paragraph" w:styleId="a8">
    <w:name w:val="Plain Text"/>
    <w:basedOn w:val="a"/>
    <w:link w:val="10"/>
    <w:qFormat/>
    <w:rPr>
      <w:rFonts w:ascii="宋体" w:eastAsia="宋体" w:hAnsi="Courier New" w:cs="Courier New"/>
      <w:szCs w:val="21"/>
    </w:rPr>
  </w:style>
  <w:style w:type="paragraph" w:styleId="a9">
    <w:name w:val="Date"/>
    <w:basedOn w:val="a"/>
    <w:next w:val="a"/>
    <w:link w:val="aa"/>
    <w:qFormat/>
    <w:pPr>
      <w:widowControl/>
    </w:pPr>
    <w:rPr>
      <w:rFonts w:ascii="仿宋_GB2312" w:eastAsia="仿宋_GB2312" w:hAnsi="Times New Roman" w:cs="Times New Roman"/>
      <w:b/>
      <w:kern w:val="0"/>
      <w:sz w:val="28"/>
      <w:szCs w:val="20"/>
    </w:rPr>
  </w:style>
  <w:style w:type="paragraph" w:styleId="ab">
    <w:name w:val="Balloon Text"/>
    <w:basedOn w:val="a"/>
    <w:link w:val="ac"/>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3"/>
    <w:next w:val="a3"/>
    <w:link w:val="af3"/>
    <w:uiPriority w:val="99"/>
    <w:semiHidden/>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c">
    <w:name w:val="批注框文本 字符"/>
    <w:basedOn w:val="a0"/>
    <w:link w:val="ab"/>
    <w:uiPriority w:val="99"/>
    <w:semiHidden/>
    <w:qFormat/>
    <w:rPr>
      <w:sz w:val="18"/>
      <w:szCs w:val="18"/>
    </w:rPr>
  </w:style>
  <w:style w:type="character" w:customStyle="1" w:styleId="aa">
    <w:name w:val="日期 字符"/>
    <w:basedOn w:val="a0"/>
    <w:link w:val="a9"/>
    <w:qFormat/>
    <w:rPr>
      <w:rFonts w:ascii="仿宋_GB2312" w:eastAsia="仿宋_GB2312" w:hAnsi="Times New Roman" w:cs="Times New Roman"/>
      <w:b/>
      <w:kern w:val="0"/>
      <w:sz w:val="28"/>
      <w:szCs w:val="20"/>
    </w:rPr>
  </w:style>
  <w:style w:type="character" w:customStyle="1" w:styleId="af7">
    <w:name w:val="正文文本 字符"/>
    <w:basedOn w:val="a0"/>
    <w:uiPriority w:val="99"/>
    <w:semiHidden/>
    <w:qFormat/>
  </w:style>
  <w:style w:type="character" w:customStyle="1" w:styleId="1">
    <w:name w:val="正文文本 字符1"/>
    <w:link w:val="a5"/>
    <w:qFormat/>
    <w:rPr>
      <w:rFonts w:ascii="Times New Roman" w:eastAsia="宋体" w:hAnsi="Times New Roman" w:cs="Times New Roman"/>
      <w:szCs w:val="24"/>
    </w:rPr>
  </w:style>
  <w:style w:type="character" w:customStyle="1" w:styleId="a7">
    <w:name w:val="正文文本缩进 字符"/>
    <w:basedOn w:val="a0"/>
    <w:link w:val="a6"/>
    <w:qFormat/>
    <w:rPr>
      <w:rFonts w:ascii="Times New Roman" w:eastAsia="宋体" w:hAnsi="Times New Roman" w:cs="Times New Roman"/>
      <w:szCs w:val="24"/>
    </w:rPr>
  </w:style>
  <w:style w:type="character" w:customStyle="1" w:styleId="CharChar3">
    <w:name w:val="Char Char3"/>
    <w:qFormat/>
    <w:rPr>
      <w:rFonts w:ascii="Times New Roman" w:eastAsia="宋体" w:hAnsi="Times New Roman" w:cs="Times New Roman"/>
      <w:szCs w:val="24"/>
    </w:rPr>
  </w:style>
  <w:style w:type="paragraph" w:styleId="af8">
    <w:name w:val="List Paragraph"/>
    <w:basedOn w:val="a"/>
    <w:qFormat/>
    <w:pPr>
      <w:ind w:firstLineChars="200" w:firstLine="420"/>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
    <w:name w:val="Char"/>
    <w:basedOn w:val="a"/>
    <w:qFormat/>
    <w:rPr>
      <w:rFonts w:ascii="Times New Roman" w:eastAsia="宋体" w:hAnsi="Times New Roman" w:cs="Times New Roman"/>
      <w:szCs w:val="24"/>
    </w:rPr>
  </w:style>
  <w:style w:type="character" w:customStyle="1" w:styleId="Char0">
    <w:name w:val="页眉 Char"/>
    <w:qFormat/>
    <w:rPr>
      <w:kern w:val="2"/>
      <w:sz w:val="18"/>
      <w:szCs w:val="18"/>
    </w:rPr>
  </w:style>
  <w:style w:type="character" w:customStyle="1" w:styleId="Char1">
    <w:name w:val="页脚 Char"/>
    <w:uiPriority w:val="99"/>
    <w:qFormat/>
    <w:rPr>
      <w:kern w:val="2"/>
      <w:sz w:val="18"/>
      <w:szCs w:val="18"/>
    </w:rPr>
  </w:style>
  <w:style w:type="character" w:customStyle="1" w:styleId="style81">
    <w:name w:val="style81"/>
    <w:qFormat/>
    <w:rPr>
      <w:b/>
      <w:bCs/>
      <w:spacing w:val="15"/>
      <w:sz w:val="24"/>
      <w:szCs w:val="24"/>
    </w:rPr>
  </w:style>
  <w:style w:type="character" w:customStyle="1" w:styleId="af9">
    <w:name w:val="纯文本 字符"/>
    <w:basedOn w:val="a0"/>
    <w:uiPriority w:val="99"/>
    <w:semiHidden/>
    <w:qFormat/>
    <w:rPr>
      <w:rFonts w:asciiTheme="minorEastAsia" w:hAnsi="Courier New" w:cs="Courier New"/>
    </w:rPr>
  </w:style>
  <w:style w:type="character" w:customStyle="1" w:styleId="10">
    <w:name w:val="纯文本 字符1"/>
    <w:link w:val="a8"/>
    <w:qFormat/>
    <w:rPr>
      <w:rFonts w:ascii="宋体" w:eastAsia="宋体" w:hAnsi="Courier New" w:cs="Courier New"/>
      <w:szCs w:val="21"/>
    </w:rPr>
  </w:style>
  <w:style w:type="character" w:customStyle="1" w:styleId="a4">
    <w:name w:val="批注文字 字符"/>
    <w:basedOn w:val="a0"/>
    <w:link w:val="a3"/>
    <w:uiPriority w:val="99"/>
    <w:qFormat/>
  </w:style>
  <w:style w:type="character" w:customStyle="1" w:styleId="af3">
    <w:name w:val="批注主题 字符"/>
    <w:basedOn w:val="a4"/>
    <w:link w:val="af2"/>
    <w:uiPriority w:val="99"/>
    <w:semiHidden/>
    <w:qFormat/>
    <w:rPr>
      <w:b/>
      <w:bCs/>
    </w:rPr>
  </w:style>
  <w:style w:type="paragraph" w:customStyle="1" w:styleId="afa">
    <w:name w:val="公文标题"/>
    <w:basedOn w:val="a"/>
    <w:qFormat/>
    <w:rPr>
      <w:rFonts w:ascii="方正小标宋简体" w:eastAsia="方正小标宋简体" w:hAnsi="Times New Roman" w:cs="Times New Roman"/>
      <w:sz w:val="44"/>
      <w:szCs w:val="24"/>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F6F2-D0BA-4891-81E0-316E913C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鹏 翟</cp:lastModifiedBy>
  <cp:revision>6</cp:revision>
  <cp:lastPrinted>2022-04-21T02:17:00Z</cp:lastPrinted>
  <dcterms:created xsi:type="dcterms:W3CDTF">2025-11-13T02:35:00Z</dcterms:created>
  <dcterms:modified xsi:type="dcterms:W3CDTF">2025-11-19T11:17:00Z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eyJoZGlkIjoiMmFmNjI2NzYwYjQxZDU3OGVhY2Q0ZGUwZmM0NjIxNmQiLCJ1c2VySWQiOiIxMTM5NjUyOTIxIn0=</vt:lpwstr>
  </property>
  <property fmtid="{D5CDD505-2E9C-101B-9397-08002B2CF9AE}" pid="3" name="KSOProductBuildVer">
    <vt:lpwstr>2052-12.1.0.23542</vt:lpwstr>
  </property>
  <property fmtid="{D5CDD505-2E9C-101B-9397-08002B2CF9AE}" pid="4" name="ICV">
    <vt:lpwstr>44A34C69E1714F6A8DF484CB9D97E6C1_13</vt:lpwstr>
  </property>
</Properties>
</file>