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1A0D1">
      <w:pPr>
        <w:spacing w:line="360" w:lineRule="auto"/>
        <w:jc w:val="center"/>
        <w:outlineLvl w:val="0"/>
        <w:rPr>
          <w:rFonts w:hint="eastAsia" w:ascii="黑体" w:hAnsi="黑体" w:eastAsia="黑体" w:cs="黑体"/>
          <w:b/>
          <w:bCs/>
          <w:sz w:val="30"/>
          <w:szCs w:val="32"/>
          <w:shd w:val="clear" w:color="auto" w:fill="FFFFFF"/>
        </w:rPr>
      </w:pPr>
      <w:bookmarkStart w:id="0" w:name="OLE_LINK271"/>
      <w:bookmarkStart w:id="1" w:name="OLE_LINK270"/>
      <w:bookmarkStart w:id="2" w:name="OLE_LINK269"/>
      <w:r>
        <w:rPr>
          <w:rFonts w:hint="eastAsia" w:ascii="黑体" w:hAnsi="黑体" w:eastAsia="黑体" w:cs="黑体"/>
          <w:b/>
          <w:bCs/>
          <w:sz w:val="30"/>
          <w:szCs w:val="32"/>
          <w:shd w:val="clear" w:color="auto" w:fill="FFFFFF"/>
        </w:rPr>
        <w:t>公务能力与素养微专业</w:t>
      </w:r>
      <w:r>
        <w:rPr>
          <w:rFonts w:hint="eastAsia" w:ascii="黑体" w:hAnsi="黑体" w:eastAsia="黑体" w:cs="黑体"/>
          <w:b/>
          <w:bCs/>
          <w:sz w:val="30"/>
          <w:szCs w:val="32"/>
          <w:shd w:val="clear" w:color="auto" w:fill="FFFFFF"/>
          <w:lang w:val="en-US" w:eastAsia="zh-CN"/>
        </w:rPr>
        <w:t>2026级</w:t>
      </w:r>
      <w:r>
        <w:rPr>
          <w:rFonts w:hint="eastAsia" w:ascii="黑体" w:hAnsi="黑体" w:eastAsia="黑体" w:cs="黑体"/>
          <w:b/>
          <w:bCs/>
          <w:sz w:val="30"/>
          <w:szCs w:val="32"/>
          <w:shd w:val="clear" w:color="auto" w:fill="FFFFFF"/>
        </w:rPr>
        <w:t>培养方案</w:t>
      </w:r>
    </w:p>
    <w:p w14:paraId="39180265">
      <w:pPr>
        <w:snapToGrid w:val="0"/>
        <w:spacing w:line="360" w:lineRule="auto"/>
        <w:jc w:val="both"/>
        <w:rPr>
          <w:rFonts w:ascii="Times New Roman" w:hAnsi="Times New Roman" w:eastAsia="仿宋" w:cs="Times New Roman"/>
          <w:b/>
          <w:sz w:val="28"/>
          <w:shd w:val="clear" w:color="auto" w:fill="FFFFFF"/>
        </w:rPr>
      </w:pPr>
      <w:r>
        <w:rPr>
          <w:rFonts w:hint="eastAsia" w:ascii="Times New Roman" w:hAnsi="Times New Roman" w:eastAsia="仿宋" w:cs="Times New Roman"/>
          <w:b/>
          <w:sz w:val="28"/>
          <w:shd w:val="clear" w:color="auto" w:fill="FFFFFF"/>
        </w:rPr>
        <w:t>一、专业名称</w:t>
      </w:r>
    </w:p>
    <w:p w14:paraId="21A825EE">
      <w:pPr>
        <w:snapToGrid w:val="0"/>
        <w:spacing w:line="360" w:lineRule="auto"/>
        <w:ind w:firstLine="420" w:firstLineChars="200"/>
        <w:jc w:val="both"/>
        <w:rPr>
          <w:rFonts w:ascii="Times New Roman" w:hAnsi="Times New Roman" w:eastAsia="仿宋" w:cs="Times New Roman"/>
          <w:shd w:val="clear" w:color="auto" w:fill="FFFFFF"/>
        </w:rPr>
      </w:pPr>
      <w:r>
        <w:rPr>
          <w:rFonts w:hint="eastAsia" w:ascii="Times New Roman" w:hAnsi="Times New Roman" w:eastAsia="仿宋"/>
          <w:sz w:val="21"/>
          <w:szCs w:val="21"/>
          <w:shd w:val="clear" w:color="auto" w:fill="FFFFFF" w:themeFill="background1"/>
          <w:lang w:val="en-US" w:eastAsia="zh-CN"/>
        </w:rPr>
        <w:t>公务能力与素养微专业</w:t>
      </w:r>
    </w:p>
    <w:p w14:paraId="2CA73E53">
      <w:pPr>
        <w:snapToGrid w:val="0"/>
        <w:spacing w:line="360" w:lineRule="auto"/>
        <w:jc w:val="both"/>
        <w:rPr>
          <w:rFonts w:ascii="Times New Roman" w:hAnsi="Times New Roman" w:eastAsia="仿宋"/>
          <w:b/>
          <w:sz w:val="28"/>
          <w:szCs w:val="28"/>
          <w:shd w:val="clear" w:color="auto" w:fill="FFFFFF" w:themeFill="background1"/>
        </w:rPr>
      </w:pPr>
      <w:r>
        <w:rPr>
          <w:rFonts w:hint="eastAsia" w:ascii="Times New Roman" w:hAnsi="Times New Roman" w:eastAsia="仿宋"/>
          <w:b/>
          <w:sz w:val="28"/>
          <w:szCs w:val="28"/>
          <w:shd w:val="clear" w:color="auto" w:fill="FFFFFF" w:themeFill="background1"/>
        </w:rPr>
        <w:t>二、专业简介</w:t>
      </w:r>
    </w:p>
    <w:p w14:paraId="49F4F46B">
      <w:pPr>
        <w:snapToGrid w:val="0"/>
        <w:spacing w:line="360" w:lineRule="auto"/>
        <w:ind w:firstLine="420" w:firstLineChars="200"/>
        <w:jc w:val="both"/>
        <w:rPr>
          <w:rFonts w:hint="eastAsia" w:ascii="Times New Roman" w:hAnsi="Times New Roman" w:eastAsia="仿宋"/>
          <w:sz w:val="21"/>
          <w:szCs w:val="21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eastAsia="仿宋"/>
          <w:sz w:val="21"/>
          <w:szCs w:val="21"/>
          <w:shd w:val="clear" w:color="auto" w:fill="FFFFFF" w:themeFill="background1"/>
          <w:lang w:val="en-US" w:eastAsia="zh-CN"/>
        </w:rPr>
        <w:t>在基层治理现代化、党政机关与事业单位人才需求持续增长的背景下，公考、事业单位及国企行政岗位对学生综合素养、应试能力与政务实务能力要求不断提升。校区开设公务能力与素养微专业，面向校区全日制本科生、研究生，以公务员、事业单位、国企行政岗等就业方向为导向，以提升公考应试能力与行政实务能力为核心，融合行政职业能力测验、申论写作、公文处理、政务礼仪、结构化面试等核心内容，开设应试技能、政务实务、面试实训3个模块共6门课程。</w:t>
      </w:r>
    </w:p>
    <w:p w14:paraId="762BD0C8">
      <w:pPr>
        <w:snapToGrid w:val="0"/>
        <w:spacing w:line="360" w:lineRule="auto"/>
        <w:ind w:firstLine="420" w:firstLineChars="200"/>
        <w:jc w:val="both"/>
        <w:rPr>
          <w:rFonts w:hint="eastAsia" w:ascii="Times New Roman" w:hAnsi="Times New Roman" w:eastAsia="仿宋"/>
          <w:szCs w:val="21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eastAsia="仿宋"/>
          <w:sz w:val="21"/>
          <w:szCs w:val="21"/>
          <w:shd w:val="clear" w:color="auto" w:fill="FFFFFF" w:themeFill="background1"/>
          <w:lang w:val="en-US" w:eastAsia="zh-CN"/>
        </w:rPr>
        <w:t>本微专业依托校区文理学院教学资源，组建由校内教师、机关实务导师构成的双师型教学团队，采用系统化课程讲授、案例分析、模拟实训、场景演练等教学模式，帮助学生掌握公考笔试面试核心技巧和党政公文写作规范，使学生具备标准政务礼仪与行政实务处理能力，助力学生提升考公、考编及基层就业竞争力，适配现代化政务岗位需求。</w:t>
      </w:r>
    </w:p>
    <w:p w14:paraId="2F08EA9F">
      <w:pPr>
        <w:numPr>
          <w:ilvl w:val="0"/>
          <w:numId w:val="1"/>
        </w:numPr>
        <w:snapToGrid w:val="0"/>
        <w:spacing w:line="360" w:lineRule="auto"/>
        <w:jc w:val="both"/>
        <w:rPr>
          <w:rFonts w:hint="eastAsia" w:ascii="Times New Roman" w:hAnsi="Times New Roman" w:eastAsia="仿宋"/>
          <w:b/>
          <w:sz w:val="28"/>
          <w:szCs w:val="28"/>
          <w:shd w:val="clear" w:color="auto" w:fill="FFFFFF" w:themeFill="background1"/>
        </w:rPr>
      </w:pPr>
      <w:r>
        <w:rPr>
          <w:rFonts w:hint="eastAsia" w:ascii="Times New Roman" w:hAnsi="Times New Roman" w:eastAsia="仿宋"/>
          <w:b/>
          <w:sz w:val="28"/>
          <w:szCs w:val="28"/>
          <w:shd w:val="clear" w:color="auto" w:fill="FFFFFF" w:themeFill="background1"/>
        </w:rPr>
        <w:t>培养目标</w:t>
      </w:r>
      <w:bookmarkStart w:id="3" w:name="_GoBack"/>
      <w:bookmarkEnd w:id="3"/>
    </w:p>
    <w:p w14:paraId="28118F04">
      <w:pPr>
        <w:snapToGrid w:val="0"/>
        <w:spacing w:line="360" w:lineRule="auto"/>
        <w:ind w:firstLine="422" w:firstLineChars="200"/>
        <w:jc w:val="both"/>
        <w:rPr>
          <w:rFonts w:hint="eastAsia" w:ascii="Times New Roman" w:hAnsi="Times New Roman" w:eastAsia="仿宋"/>
          <w:b/>
          <w:bCs/>
          <w:sz w:val="21"/>
          <w:szCs w:val="21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1"/>
          <w:szCs w:val="21"/>
          <w:shd w:val="clear" w:color="auto" w:fill="FFFFFF" w:themeFill="background1"/>
          <w:lang w:val="en-US" w:eastAsia="zh-CN"/>
        </w:rPr>
        <w:t>1.知识目标</w:t>
      </w:r>
    </w:p>
    <w:p w14:paraId="3A1C568D">
      <w:pPr>
        <w:snapToGrid w:val="0"/>
        <w:spacing w:line="360" w:lineRule="auto"/>
        <w:ind w:firstLine="420" w:firstLineChars="200"/>
        <w:jc w:val="both"/>
        <w:rPr>
          <w:rFonts w:hint="eastAsia" w:ascii="Times New Roman" w:hAnsi="Times New Roman" w:eastAsia="仿宋"/>
          <w:sz w:val="21"/>
          <w:szCs w:val="21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eastAsia="仿宋"/>
          <w:sz w:val="21"/>
          <w:szCs w:val="21"/>
          <w:shd w:val="clear" w:color="auto" w:fill="FFFFFF" w:themeFill="background1"/>
          <w:lang w:val="en-US" w:eastAsia="zh-CN"/>
        </w:rPr>
        <w:t>系统掌握行测、申论、公文处理、政务礼仪等专业知识体系，契合党政机关、事业单位、国企行政管理岗位人才知识需求。</w:t>
      </w:r>
    </w:p>
    <w:p w14:paraId="26A8C903">
      <w:pPr>
        <w:snapToGrid w:val="0"/>
        <w:spacing w:line="360" w:lineRule="auto"/>
        <w:ind w:firstLine="422" w:firstLineChars="200"/>
        <w:jc w:val="both"/>
        <w:rPr>
          <w:rFonts w:hint="eastAsia" w:ascii="Times New Roman" w:hAnsi="Times New Roman" w:eastAsia="仿宋"/>
          <w:b/>
          <w:bCs/>
          <w:sz w:val="21"/>
          <w:szCs w:val="21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1"/>
          <w:szCs w:val="21"/>
          <w:shd w:val="clear" w:color="auto" w:fill="FFFFFF" w:themeFill="background1"/>
          <w:lang w:val="en-US" w:eastAsia="zh-CN"/>
        </w:rPr>
        <w:t>2.技能目标</w:t>
      </w:r>
    </w:p>
    <w:p w14:paraId="534105E9">
      <w:pPr>
        <w:snapToGrid w:val="0"/>
        <w:spacing w:line="360" w:lineRule="auto"/>
        <w:ind w:firstLine="420" w:firstLineChars="200"/>
        <w:jc w:val="both"/>
        <w:rPr>
          <w:rFonts w:hint="eastAsia" w:ascii="Times New Roman" w:hAnsi="Times New Roman" w:eastAsia="仿宋"/>
          <w:sz w:val="21"/>
          <w:szCs w:val="21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eastAsia="仿宋"/>
          <w:sz w:val="21"/>
          <w:szCs w:val="21"/>
          <w:shd w:val="clear" w:color="auto" w:fill="FFFFFF" w:themeFill="background1"/>
          <w:lang w:val="en-US" w:eastAsia="zh-CN"/>
        </w:rPr>
        <w:t>重点提升行政职业能力测验、申论写作、公文处理等核心公考应试技能；具备政务沟通、公务礼仪、会务接待等行政实务能力，适配现代化基层治理与政务服务工作。</w:t>
      </w:r>
    </w:p>
    <w:p w14:paraId="17C9100E">
      <w:pPr>
        <w:snapToGrid w:val="0"/>
        <w:spacing w:line="360" w:lineRule="auto"/>
        <w:ind w:firstLine="422" w:firstLineChars="200"/>
        <w:jc w:val="both"/>
        <w:rPr>
          <w:rFonts w:hint="eastAsia" w:ascii="Times New Roman" w:hAnsi="Times New Roman" w:eastAsia="仿宋"/>
          <w:b/>
          <w:bCs/>
          <w:sz w:val="21"/>
          <w:szCs w:val="21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1"/>
          <w:szCs w:val="21"/>
          <w:shd w:val="clear" w:color="auto" w:fill="FFFFFF" w:themeFill="background1"/>
          <w:lang w:val="en-US" w:eastAsia="zh-CN"/>
        </w:rPr>
        <w:t>3.素养目标</w:t>
      </w:r>
    </w:p>
    <w:p w14:paraId="6DD7C24D">
      <w:pPr>
        <w:snapToGrid w:val="0"/>
        <w:spacing w:line="360" w:lineRule="auto"/>
        <w:ind w:firstLine="420" w:firstLineChars="200"/>
        <w:jc w:val="both"/>
        <w:rPr>
          <w:rFonts w:hint="eastAsia" w:ascii="Times New Roman" w:hAnsi="Times New Roman" w:eastAsia="仿宋"/>
          <w:sz w:val="21"/>
          <w:szCs w:val="21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eastAsia="仿宋"/>
          <w:sz w:val="21"/>
          <w:szCs w:val="21"/>
          <w:shd w:val="clear" w:color="auto" w:fill="FFFFFF" w:themeFill="background1"/>
          <w:lang w:val="en-US" w:eastAsia="zh-CN"/>
        </w:rPr>
        <w:t>培养政治立场坚定、拥有公共精神与服务意识，恪守职业操守、作风严谨务实，具备良好沟通协作与职业综合素养的政务应用型人才。</w:t>
      </w:r>
    </w:p>
    <w:p w14:paraId="21EE0CD3">
      <w:pPr>
        <w:snapToGrid w:val="0"/>
        <w:spacing w:line="360" w:lineRule="auto"/>
        <w:jc w:val="both"/>
        <w:rPr>
          <w:rFonts w:ascii="Times New Roman" w:hAnsi="Times New Roman" w:eastAsia="仿宋"/>
          <w:b/>
          <w:sz w:val="28"/>
          <w:szCs w:val="28"/>
          <w:shd w:val="clear" w:color="auto" w:fill="FFFFFF" w:themeFill="background1"/>
        </w:rPr>
      </w:pPr>
      <w:r>
        <w:rPr>
          <w:rFonts w:hint="eastAsia" w:ascii="Times New Roman" w:hAnsi="Times New Roman" w:eastAsia="仿宋"/>
          <w:b/>
          <w:sz w:val="28"/>
          <w:szCs w:val="28"/>
          <w:shd w:val="clear" w:color="auto" w:fill="FFFFFF" w:themeFill="background1"/>
        </w:rPr>
        <w:t>四、培养要求</w:t>
      </w:r>
    </w:p>
    <w:p w14:paraId="1DFCC858">
      <w:pPr>
        <w:snapToGrid w:val="0"/>
        <w:spacing w:line="360" w:lineRule="auto"/>
        <w:ind w:firstLine="420" w:firstLineChars="200"/>
        <w:jc w:val="both"/>
        <w:rPr>
          <w:rFonts w:hint="eastAsia" w:ascii="Times New Roman" w:hAnsi="Times New Roman" w:eastAsia="仿宋"/>
          <w:sz w:val="21"/>
          <w:szCs w:val="21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eastAsia="仿宋"/>
          <w:sz w:val="21"/>
          <w:szCs w:val="21"/>
          <w:shd w:val="clear" w:color="auto" w:fill="FFFFFF" w:themeFill="background1"/>
          <w:lang w:val="en-US" w:eastAsia="zh-CN"/>
        </w:rPr>
        <w:t>1.树立正确政治价值观，具备公共服务意识、责任担当与职业操守，认同党政机关及基层政务工作职业规范。</w:t>
      </w:r>
    </w:p>
    <w:p w14:paraId="1208C4CF">
      <w:pPr>
        <w:snapToGrid w:val="0"/>
        <w:spacing w:line="360" w:lineRule="auto"/>
        <w:ind w:firstLine="420" w:firstLineChars="200"/>
        <w:jc w:val="both"/>
        <w:rPr>
          <w:rFonts w:hint="eastAsia" w:ascii="Times New Roman" w:hAnsi="Times New Roman" w:eastAsia="仿宋"/>
          <w:sz w:val="21"/>
          <w:szCs w:val="21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eastAsia="仿宋"/>
          <w:sz w:val="21"/>
          <w:szCs w:val="21"/>
          <w:shd w:val="clear" w:color="auto" w:fill="FFFFFF" w:themeFill="background1"/>
          <w:lang w:val="en-US" w:eastAsia="zh-CN"/>
        </w:rPr>
        <w:t>2.精通公务员行测等核心考点与解题技巧，熟练掌握申论各类题型作答逻辑、时政素材运用与规范写作能力。</w:t>
      </w:r>
    </w:p>
    <w:p w14:paraId="7CE6AAFB">
      <w:pPr>
        <w:snapToGrid w:val="0"/>
        <w:spacing w:line="360" w:lineRule="auto"/>
        <w:ind w:firstLine="420" w:firstLineChars="200"/>
        <w:jc w:val="both"/>
        <w:rPr>
          <w:rFonts w:hint="eastAsia" w:ascii="Times New Roman" w:hAnsi="Times New Roman" w:eastAsia="仿宋"/>
          <w:sz w:val="21"/>
          <w:szCs w:val="21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eastAsia="仿宋"/>
          <w:sz w:val="21"/>
          <w:szCs w:val="21"/>
          <w:shd w:val="clear" w:color="auto" w:fill="FFFFFF" w:themeFill="background1"/>
          <w:lang w:val="en-US" w:eastAsia="zh-CN"/>
        </w:rPr>
        <w:t>3.全面掌握党政机关常用公文、事务文书的格式规范、行文规则与写作技法，具备独立撰写、审核、处理公务文书的能力。</w:t>
      </w:r>
    </w:p>
    <w:p w14:paraId="1467B847">
      <w:pPr>
        <w:snapToGrid w:val="0"/>
        <w:spacing w:line="360" w:lineRule="auto"/>
        <w:ind w:firstLine="420" w:firstLineChars="200"/>
        <w:jc w:val="both"/>
        <w:rPr>
          <w:rFonts w:hint="eastAsia" w:ascii="Times New Roman" w:hAnsi="Times New Roman" w:eastAsia="仿宋"/>
          <w:sz w:val="21"/>
          <w:szCs w:val="21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eastAsia="仿宋"/>
          <w:sz w:val="21"/>
          <w:szCs w:val="21"/>
          <w:shd w:val="clear" w:color="auto" w:fill="FFFFFF" w:themeFill="background1"/>
          <w:lang w:val="en-US" w:eastAsia="zh-CN"/>
        </w:rPr>
        <w:t>4.熟练掌握结构化面试各类题型答题思路、临场表达与应变技巧，具备良好语言表达、逻辑思维与临场抗压能力。</w:t>
      </w:r>
    </w:p>
    <w:p w14:paraId="799AFF38">
      <w:pPr>
        <w:snapToGrid w:val="0"/>
        <w:spacing w:line="360" w:lineRule="auto"/>
        <w:ind w:firstLine="420" w:firstLineChars="200"/>
        <w:jc w:val="both"/>
        <w:rPr>
          <w:rFonts w:hint="eastAsia" w:ascii="Times New Roman" w:hAnsi="Times New Roman" w:eastAsia="仿宋"/>
          <w:sz w:val="21"/>
          <w:szCs w:val="21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eastAsia="仿宋"/>
          <w:sz w:val="21"/>
          <w:szCs w:val="21"/>
          <w:shd w:val="clear" w:color="auto" w:fill="FFFFFF" w:themeFill="background1"/>
          <w:lang w:val="en-US" w:eastAsia="zh-CN"/>
        </w:rPr>
        <w:t>5.熟知政务形象、办公接待、会议组织、公务交往等礼仪规范，具备跨场景政务沟通、人际协调与公务处事能力。</w:t>
      </w:r>
    </w:p>
    <w:p w14:paraId="55FBDF88">
      <w:pPr>
        <w:snapToGrid w:val="0"/>
        <w:spacing w:line="360" w:lineRule="auto"/>
        <w:jc w:val="both"/>
        <w:rPr>
          <w:rFonts w:ascii="Times New Roman" w:hAnsi="Times New Roman" w:eastAsia="仿宋"/>
          <w:b/>
          <w:sz w:val="28"/>
          <w:szCs w:val="28"/>
          <w:shd w:val="clear" w:color="auto" w:fill="FFFFFF" w:themeFill="background1"/>
        </w:rPr>
      </w:pPr>
      <w:r>
        <w:rPr>
          <w:rFonts w:hint="eastAsia" w:ascii="Times New Roman" w:hAnsi="Times New Roman" w:eastAsia="仿宋"/>
          <w:b/>
          <w:sz w:val="28"/>
          <w:szCs w:val="28"/>
          <w:shd w:val="clear" w:color="auto" w:fill="FFFFFF" w:themeFill="background1"/>
        </w:rPr>
        <w:t>五、修读年限</w:t>
      </w:r>
    </w:p>
    <w:p w14:paraId="5498B735">
      <w:pPr>
        <w:snapToGrid w:val="0"/>
        <w:spacing w:line="360" w:lineRule="auto"/>
        <w:ind w:firstLine="420" w:firstLineChars="200"/>
        <w:jc w:val="both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基本</w:t>
      </w:r>
      <w:r>
        <w:rPr>
          <w:rFonts w:ascii="Times New Roman" w:hAnsi="Times New Roman" w:eastAsia="仿宋"/>
          <w:szCs w:val="21"/>
          <w:shd w:val="clear" w:color="auto" w:fill="FFFFFF" w:themeFill="background1"/>
        </w:rPr>
        <w:t>修读年限为</w:t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  <w:lang w:val="en-US" w:eastAsia="zh-CN"/>
        </w:rPr>
        <w:t>1.5</w:t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年</w:t>
      </w:r>
      <w:r>
        <w:rPr>
          <w:rFonts w:ascii="Times New Roman" w:hAnsi="Times New Roman" w:eastAsia="仿宋"/>
          <w:szCs w:val="21"/>
          <w:shd w:val="clear" w:color="auto" w:fill="FFFFFF" w:themeFill="background1"/>
        </w:rPr>
        <w:t>。</w:t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主修专业毕业或结业，微专业学业自然终止。</w:t>
      </w:r>
    </w:p>
    <w:p w14:paraId="2D9111A7">
      <w:pPr>
        <w:snapToGrid w:val="0"/>
        <w:spacing w:line="360" w:lineRule="auto"/>
        <w:jc w:val="both"/>
        <w:rPr>
          <w:rFonts w:ascii="Times New Roman" w:hAnsi="Times New Roman" w:eastAsia="仿宋"/>
          <w:b/>
          <w:sz w:val="28"/>
          <w:szCs w:val="28"/>
          <w:shd w:val="clear" w:color="auto" w:fill="FFFFFF" w:themeFill="background1"/>
        </w:rPr>
      </w:pPr>
      <w:r>
        <w:rPr>
          <w:rFonts w:hint="eastAsia" w:ascii="Times New Roman" w:hAnsi="Times New Roman" w:eastAsia="仿宋"/>
          <w:b/>
          <w:sz w:val="28"/>
          <w:szCs w:val="28"/>
          <w:shd w:val="clear" w:color="auto" w:fill="FFFFFF" w:themeFill="background1"/>
        </w:rPr>
        <w:t>六、结业标准</w:t>
      </w:r>
    </w:p>
    <w:p w14:paraId="72823DCD">
      <w:pPr>
        <w:snapToGrid w:val="0"/>
        <w:spacing w:line="360" w:lineRule="auto"/>
        <w:ind w:firstLine="420" w:firstLineChars="200"/>
        <w:jc w:val="both"/>
        <w:rPr>
          <w:rFonts w:ascii="Times New Roman" w:hAnsi="Times New Roman" w:eastAsia="仿宋" w:cs="Times New Roman"/>
          <w:shd w:val="clear" w:color="auto" w:fill="FFFFFF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学生完成微专业培养方案规定的全部内容，成绩合格，达到微专业培养要求的，可获得微专业结业证书。</w:t>
      </w:r>
    </w:p>
    <w:p w14:paraId="692AEFD2">
      <w:pPr>
        <w:widowControl/>
        <w:snapToGrid w:val="0"/>
        <w:spacing w:after="312" w:afterLines="100"/>
        <w:jc w:val="center"/>
        <w:rPr>
          <w:rFonts w:ascii="Times New Roman" w:hAnsi="Times New Roman" w:eastAsia="仿宋" w:cs="Times New Roman"/>
          <w:b/>
          <w:sz w:val="30"/>
          <w:shd w:val="clear" w:color="auto" w:fill="FFFFFF"/>
        </w:rPr>
      </w:pPr>
      <w:r>
        <w:rPr>
          <w:rFonts w:ascii="Times New Roman" w:hAnsi="Times New Roman" w:eastAsia="仿宋" w:cs="Times New Roman"/>
          <w:b/>
          <w:sz w:val="30"/>
          <w:shd w:val="clear" w:color="auto" w:fill="FFFFFF"/>
        </w:rPr>
        <w:br w:type="page"/>
      </w:r>
      <w:r>
        <w:rPr>
          <w:rFonts w:hint="eastAsia" w:ascii="Times New Roman" w:hAnsi="Times New Roman" w:eastAsia="仿宋" w:cs="Times New Roman"/>
          <w:b/>
          <w:sz w:val="30"/>
          <w:shd w:val="clear" w:color="auto" w:fill="FFFFFF"/>
        </w:rPr>
        <w:t>公务能力与素养微专业</w:t>
      </w:r>
      <w:r>
        <w:rPr>
          <w:rFonts w:ascii="Times New Roman" w:hAnsi="Times New Roman" w:eastAsia="仿宋" w:cs="Times New Roman"/>
          <w:b/>
          <w:sz w:val="30"/>
          <w:shd w:val="clear" w:color="auto" w:fill="FFFFFF"/>
        </w:rPr>
        <w:t>培养方案</w:t>
      </w:r>
      <w:r>
        <w:rPr>
          <w:rFonts w:hint="eastAsia" w:ascii="Times New Roman" w:hAnsi="Times New Roman" w:eastAsia="仿宋" w:cs="Times New Roman"/>
          <w:b/>
          <w:sz w:val="30"/>
          <w:shd w:val="clear" w:color="auto" w:fill="FFFFFF"/>
        </w:rPr>
        <w:t>课程安排</w:t>
      </w:r>
    </w:p>
    <w:bookmarkEnd w:id="0"/>
    <w:bookmarkEnd w:id="1"/>
    <w:bookmarkEnd w:id="2"/>
    <w:tbl>
      <w:tblPr>
        <w:tblStyle w:val="9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117"/>
        <w:gridCol w:w="2265"/>
        <w:gridCol w:w="1083"/>
        <w:gridCol w:w="530"/>
        <w:gridCol w:w="530"/>
        <w:gridCol w:w="530"/>
        <w:gridCol w:w="530"/>
        <w:gridCol w:w="530"/>
        <w:gridCol w:w="530"/>
        <w:gridCol w:w="530"/>
      </w:tblGrid>
      <w:tr w14:paraId="0627F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14:paraId="7AE16639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  <w:lang w:val="en-US" w:eastAsia="zh-CN"/>
              </w:rPr>
              <w:t>课程模块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 w14:paraId="487BC1DA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课程代码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14:paraId="129EDF78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课程名称</w:t>
            </w:r>
          </w:p>
        </w:tc>
        <w:tc>
          <w:tcPr>
            <w:tcW w:w="1083" w:type="dxa"/>
            <w:vMerge w:val="restart"/>
            <w:vAlign w:val="center"/>
          </w:tcPr>
          <w:p w14:paraId="17E8B7FF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开课学院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1382AF63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学分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4B969C6B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学时</w:t>
            </w: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14:paraId="703F7507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学时分配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15FF38E6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开课学期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5DE542DB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学分要求</w:t>
            </w:r>
          </w:p>
        </w:tc>
      </w:tr>
      <w:tr w14:paraId="62C8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1275" w:type="dxa"/>
            <w:vMerge w:val="continue"/>
            <w:shd w:val="clear" w:color="auto" w:fill="auto"/>
            <w:vAlign w:val="center"/>
          </w:tcPr>
          <w:p w14:paraId="214DDEC6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17" w:type="dxa"/>
            <w:vMerge w:val="continue"/>
            <w:shd w:val="clear" w:color="auto" w:fill="auto"/>
            <w:vAlign w:val="center"/>
          </w:tcPr>
          <w:p w14:paraId="77DC37D5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 w14:paraId="62702EEF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3" w:type="dxa"/>
            <w:vMerge w:val="continue"/>
          </w:tcPr>
          <w:p w14:paraId="4B3463C8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vMerge w:val="continue"/>
            <w:shd w:val="clear" w:color="auto" w:fill="auto"/>
            <w:vAlign w:val="center"/>
          </w:tcPr>
          <w:p w14:paraId="2D042C44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vMerge w:val="continue"/>
            <w:shd w:val="clear" w:color="auto" w:fill="auto"/>
            <w:vAlign w:val="center"/>
          </w:tcPr>
          <w:p w14:paraId="242F79C3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172F1AD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理论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2C6858F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上机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20F0403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  <w:t>实验实践</w:t>
            </w:r>
          </w:p>
        </w:tc>
        <w:tc>
          <w:tcPr>
            <w:tcW w:w="530" w:type="dxa"/>
            <w:vMerge w:val="continue"/>
            <w:shd w:val="clear" w:color="auto" w:fill="auto"/>
            <w:vAlign w:val="center"/>
          </w:tcPr>
          <w:p w14:paraId="49CCD69B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vMerge w:val="continue"/>
            <w:shd w:val="clear" w:color="auto" w:fill="auto"/>
            <w:vAlign w:val="center"/>
          </w:tcPr>
          <w:p w14:paraId="3B5D57B3"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b/>
                <w:sz w:val="18"/>
                <w:szCs w:val="18"/>
                <w:shd w:val="clear" w:color="auto" w:fill="FFFFFF"/>
              </w:rPr>
            </w:pPr>
          </w:p>
        </w:tc>
      </w:tr>
      <w:tr w14:paraId="342B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14:paraId="6F1F16DD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应试技能模块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87F92DB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160839T083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7D0BE841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行政职业能力测试技能</w:t>
            </w:r>
          </w:p>
        </w:tc>
        <w:tc>
          <w:tcPr>
            <w:tcW w:w="1083" w:type="dxa"/>
            <w:vAlign w:val="center"/>
          </w:tcPr>
          <w:p w14:paraId="504907F8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7CF946A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4CBE4F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F53EEBE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3B45E37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6B5142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5204309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一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6973D792">
            <w:pPr>
              <w:snapToGrid w:val="0"/>
              <w:spacing w:line="312" w:lineRule="auto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14</w:t>
            </w:r>
          </w:p>
        </w:tc>
      </w:tr>
      <w:tr w14:paraId="7E22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1275" w:type="dxa"/>
            <w:vMerge w:val="continue"/>
            <w:shd w:val="clear" w:color="auto" w:fill="auto"/>
            <w:vAlign w:val="center"/>
          </w:tcPr>
          <w:p w14:paraId="3AC5FFE1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B2B50A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160839T084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710F8003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</w:rPr>
              <w:t>申论写作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  <w:lang w:val="en-US" w:eastAsia="zh-CN"/>
              </w:rPr>
              <w:t>训练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6C42C0A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3ACE487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17E858F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21E33DD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8A26B3A">
            <w:pPr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4E0FC66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CD7A6FA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二</w:t>
            </w:r>
          </w:p>
        </w:tc>
        <w:tc>
          <w:tcPr>
            <w:tcW w:w="530" w:type="dxa"/>
            <w:vMerge w:val="continue"/>
            <w:shd w:val="clear" w:color="auto" w:fill="auto"/>
            <w:vAlign w:val="center"/>
          </w:tcPr>
          <w:p w14:paraId="78F7449A">
            <w:pPr>
              <w:snapToGrid w:val="0"/>
              <w:spacing w:line="312" w:lineRule="auto"/>
              <w:jc w:val="center"/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</w:tr>
      <w:tr w14:paraId="18C7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14:paraId="0B8C273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政务实务模块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5C9F65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160839T085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E79CF93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  <w:lang w:val="en-US" w:eastAsia="zh-CN"/>
              </w:rPr>
              <w:t>公文写作实训</w:t>
            </w:r>
          </w:p>
        </w:tc>
        <w:tc>
          <w:tcPr>
            <w:tcW w:w="1083" w:type="dxa"/>
            <w:vAlign w:val="center"/>
          </w:tcPr>
          <w:p w14:paraId="708F2BC3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468181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2265E7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217D2F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0E6FB47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0BEA96A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3E28C9E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一</w:t>
            </w:r>
          </w:p>
        </w:tc>
        <w:tc>
          <w:tcPr>
            <w:tcW w:w="530" w:type="dxa"/>
            <w:vMerge w:val="continue"/>
            <w:shd w:val="clear" w:color="auto" w:fill="auto"/>
            <w:vAlign w:val="center"/>
          </w:tcPr>
          <w:p w14:paraId="06AEA293"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</w:tr>
      <w:tr w14:paraId="437B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1275" w:type="dxa"/>
            <w:vMerge w:val="continue"/>
            <w:shd w:val="clear" w:color="auto" w:fill="auto"/>
            <w:vAlign w:val="center"/>
          </w:tcPr>
          <w:p w14:paraId="2573DC07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1B81DE10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160839T086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7E4A7DF3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18"/>
                <w:szCs w:val="18"/>
                <w:highlight w:val="none"/>
                <w:lang w:val="en-US"/>
              </w:rPr>
              <w:t>政务礼仪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E876FE7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C951FC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CD010E0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43E8A0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9C045A6">
            <w:pPr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9E56846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3B8C58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  <w:t>二</w:t>
            </w:r>
          </w:p>
        </w:tc>
        <w:tc>
          <w:tcPr>
            <w:tcW w:w="530" w:type="dxa"/>
            <w:vMerge w:val="continue"/>
            <w:shd w:val="clear" w:color="auto" w:fill="auto"/>
            <w:vAlign w:val="center"/>
          </w:tcPr>
          <w:p w14:paraId="6092F3BD"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</w:tr>
      <w:tr w14:paraId="09CE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14:paraId="55967B12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面试实训模块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79443A8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160839E001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429F571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1083" w:type="dxa"/>
            <w:vAlign w:val="center"/>
          </w:tcPr>
          <w:p w14:paraId="4A8462BD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6B41B49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08425A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6B83DE6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40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7628AC9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5A0CEA8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7106C91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三</w:t>
            </w:r>
          </w:p>
        </w:tc>
        <w:tc>
          <w:tcPr>
            <w:tcW w:w="530" w:type="dxa"/>
            <w:vMerge w:val="continue"/>
            <w:shd w:val="clear" w:color="auto" w:fill="auto"/>
            <w:vAlign w:val="center"/>
          </w:tcPr>
          <w:p w14:paraId="37347557"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</w:tr>
      <w:tr w14:paraId="31E2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1275" w:type="dxa"/>
            <w:vMerge w:val="continue"/>
            <w:shd w:val="clear" w:color="auto" w:fill="auto"/>
            <w:vAlign w:val="center"/>
          </w:tcPr>
          <w:p w14:paraId="6EE7E51D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22621546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160839E002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1F1E4BF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highlight w:val="none"/>
                <w:lang w:val="en-US" w:eastAsia="zh-CN"/>
              </w:rPr>
              <w:t>实务工作坊</w:t>
            </w:r>
          </w:p>
        </w:tc>
        <w:tc>
          <w:tcPr>
            <w:tcW w:w="1083" w:type="dxa"/>
            <w:vAlign w:val="center"/>
          </w:tcPr>
          <w:p w14:paraId="20E2EA3A">
            <w:pPr>
              <w:snapToGrid w:val="0"/>
              <w:jc w:val="center"/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文理学院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37B1E99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BBFC83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2E9072E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B27D3CA">
            <w:pPr>
              <w:snapToGrid w:val="0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E582417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65BD772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  <w:t>三</w:t>
            </w:r>
          </w:p>
        </w:tc>
        <w:tc>
          <w:tcPr>
            <w:tcW w:w="530" w:type="dxa"/>
            <w:vMerge w:val="continue"/>
            <w:shd w:val="clear" w:color="auto" w:fill="auto"/>
            <w:vAlign w:val="center"/>
          </w:tcPr>
          <w:p w14:paraId="394FA2EB">
            <w:pPr>
              <w:snapToGrid w:val="0"/>
              <w:spacing w:line="312" w:lineRule="auto"/>
              <w:jc w:val="center"/>
              <w:rPr>
                <w:rFonts w:ascii="Times New Roman" w:hAnsi="Times New Roman" w:eastAsia="仿宋" w:cs="Times New Roman"/>
                <w:sz w:val="18"/>
                <w:szCs w:val="18"/>
                <w:shd w:val="clear" w:color="auto" w:fill="FFFFFF"/>
              </w:rPr>
            </w:pPr>
          </w:p>
        </w:tc>
      </w:tr>
      <w:tr w14:paraId="61F53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5740" w:type="dxa"/>
            <w:gridSpan w:val="4"/>
            <w:shd w:val="clear" w:color="auto" w:fill="auto"/>
            <w:vAlign w:val="center"/>
          </w:tcPr>
          <w:p w14:paraId="719C208C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D1F14B3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45DD60B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224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61A75A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A8AD5E4">
            <w:pPr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7AE54AA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904EAA9">
            <w:pPr>
              <w:snapToGrid w:val="0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9A6C155">
            <w:pPr>
              <w:snapToGrid w:val="0"/>
              <w:spacing w:line="312" w:lineRule="auto"/>
              <w:jc w:val="center"/>
              <w:rPr>
                <w:rFonts w:hint="eastAsia" w:ascii="Times New Roman" w:hAnsi="Times New Roman" w:eastAsia="仿宋" w:cs="Times New Roman"/>
                <w:sz w:val="18"/>
                <w:szCs w:val="18"/>
                <w:shd w:val="clear" w:color="auto" w:fill="FFFFFF"/>
                <w:lang w:val="en-US" w:eastAsia="zh-CN"/>
              </w:rPr>
            </w:pPr>
          </w:p>
        </w:tc>
      </w:tr>
    </w:tbl>
    <w:p w14:paraId="03682E79">
      <w:pPr>
        <w:snapToGrid w:val="0"/>
        <w:spacing w:line="360" w:lineRule="auto"/>
        <w:jc w:val="both"/>
        <w:rPr>
          <w:rFonts w:hint="eastAsia" w:ascii="Times New Roman" w:hAnsi="Times New Roman" w:eastAsia="仿宋"/>
          <w:b/>
          <w:bCs/>
          <w:szCs w:val="21"/>
          <w:shd w:val="clear" w:color="auto" w:fill="FFFFFF" w:themeFill="background1"/>
        </w:rPr>
      </w:pPr>
    </w:p>
    <w:p w14:paraId="4E4FA50A">
      <w:pPr>
        <w:snapToGrid w:val="0"/>
        <w:spacing w:line="360" w:lineRule="auto"/>
        <w:jc w:val="both"/>
        <w:rPr>
          <w:rFonts w:ascii="Times New Roman" w:hAnsi="Times New Roman" w:eastAsia="仿宋"/>
          <w:szCs w:val="21"/>
          <w:shd w:val="clear" w:color="auto" w:fill="FFFFFF" w:themeFill="background1"/>
        </w:rPr>
      </w:pPr>
      <w:r>
        <w:rPr>
          <w:rFonts w:hint="eastAsia" w:ascii="Times New Roman" w:hAnsi="Times New Roman" w:eastAsia="仿宋"/>
          <w:b/>
          <w:bCs/>
          <w:szCs w:val="21"/>
          <w:shd w:val="clear" w:color="auto" w:fill="FFFFFF" w:themeFill="background1"/>
        </w:rPr>
        <w:t>课程</w:t>
      </w:r>
      <w:r>
        <w:rPr>
          <w:rFonts w:ascii="Times New Roman" w:hAnsi="Times New Roman" w:eastAsia="仿宋"/>
          <w:b/>
          <w:bCs/>
          <w:szCs w:val="21"/>
          <w:shd w:val="clear" w:color="auto" w:fill="FFFFFF" w:themeFill="background1"/>
        </w:rPr>
        <w:t>简介：</w:t>
      </w:r>
    </w:p>
    <w:p w14:paraId="56518C47">
      <w:pPr>
        <w:spacing w:line="360" w:lineRule="auto"/>
        <w:ind w:firstLine="420" w:firstLineChars="200"/>
        <w:jc w:val="both"/>
        <w:rPr>
          <w:rFonts w:hint="default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课程</w:t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  <w:lang w:val="en-US" w:eastAsia="zh-CN"/>
        </w:rPr>
        <w:t>1</w:t>
      </w:r>
      <w:r>
        <w:rPr>
          <w:rFonts w:hint="eastAsia" w:ascii="Times New Roman" w:hAnsi="Times New Roman" w:eastAsia="仿宋"/>
          <w:szCs w:val="21"/>
          <w:shd w:val="clear" w:color="auto" w:fill="FFFFFF" w:themeFill="background1"/>
        </w:rPr>
        <w:t>：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行政职业能力测试技能</w:t>
      </w:r>
    </w:p>
    <w:p w14:paraId="74E153FF">
      <w:pPr>
        <w:spacing w:line="360" w:lineRule="auto"/>
        <w:ind w:firstLine="420" w:firstLineChars="200"/>
        <w:jc w:val="both"/>
        <w:rPr>
          <w:rFonts w:hint="default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本课程围绕公考行测核心考点与解题方法展开教学，覆盖言语理解、数量关系、判断推理、资料分析、常识判断五大模块，侧重答题技巧、速算方法、时间分配与真题强化训练，全面提升应试速度与正确率，高效备战公务员笔试环节。</w:t>
      </w:r>
    </w:p>
    <w:p w14:paraId="7E5C3684">
      <w:pPr>
        <w:spacing w:line="360" w:lineRule="auto"/>
        <w:ind w:firstLine="420" w:firstLineChars="200"/>
        <w:jc w:val="both"/>
        <w:rPr>
          <w:rFonts w:hint="default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课程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：申论写作训练</w:t>
      </w:r>
    </w:p>
    <w:p w14:paraId="66E21E89">
      <w:pPr>
        <w:spacing w:line="360" w:lineRule="auto"/>
        <w:ind w:firstLine="420" w:firstLineChars="200"/>
        <w:jc w:val="both"/>
        <w:rPr>
          <w:rFonts w:hint="default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本课程专注申论作答能力提升，系统讲授材料阅读、要点提炼、逻辑框架搭建、规范表达与文章写作技巧，针对归纳概括、综合分析、提出对策、应用文、议论文等题型进行专项训练，结合时政热点强化实战写作水平。</w:t>
      </w:r>
    </w:p>
    <w:p w14:paraId="646B1E1B">
      <w:pPr>
        <w:spacing w:line="360" w:lineRule="auto"/>
        <w:ind w:firstLine="420" w:firstLineChars="200"/>
        <w:jc w:val="both"/>
        <w:rPr>
          <w:rFonts w:hint="default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课程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：公文写作实训</w:t>
      </w:r>
    </w:p>
    <w:p w14:paraId="189A5DA5">
      <w:pPr>
        <w:spacing w:line="360" w:lineRule="auto"/>
        <w:ind w:firstLine="420" w:firstLineChars="200"/>
        <w:jc w:val="both"/>
        <w:rPr>
          <w:rFonts w:hint="default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本课程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围绕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党政机关常用公文与事务文书写作，系统讲解通知、请示、报告、函、纪要、总结、讲话稿等文体的格式规范、写作结构与语言要求，以案例精讲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实操修改</w:t>
      </w: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、</w:t>
      </w:r>
      <w:r>
        <w:rPr>
          <w:rFonts w:hint="default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现场演练为主，强化公文撰写与处理能力。</w:t>
      </w:r>
    </w:p>
    <w:p w14:paraId="1713EFD7">
      <w:pPr>
        <w:spacing w:line="360" w:lineRule="auto"/>
        <w:ind w:firstLine="420" w:firstLineChars="200"/>
        <w:jc w:val="both"/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课程4：政务礼仪</w:t>
      </w:r>
    </w:p>
    <w:p w14:paraId="66F98ADD">
      <w:pPr>
        <w:spacing w:line="360" w:lineRule="auto"/>
        <w:ind w:firstLine="420" w:firstLineChars="200"/>
        <w:jc w:val="both"/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本课程围绕公职人员职业形象与公务交往规范，系统讲授政务形象礼仪、办公接待礼仪、会议组织礼仪、公文往来礼仪、沟通协调礼仪等核心内容，通过场景化实训提升学生职业素养与公务交往能力，塑造符合机关单位要求的职业气质与行为规范。</w:t>
      </w:r>
    </w:p>
    <w:p w14:paraId="76C108BE">
      <w:pPr>
        <w:spacing w:line="360" w:lineRule="auto"/>
        <w:ind w:firstLine="420" w:firstLineChars="200"/>
        <w:jc w:val="both"/>
        <w:rPr>
          <w:rFonts w:hint="default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课程5：结构化面试</w:t>
      </w:r>
    </w:p>
    <w:p w14:paraId="5819A504">
      <w:pPr>
        <w:spacing w:line="360" w:lineRule="auto"/>
        <w:ind w:firstLine="420" w:firstLineChars="200"/>
        <w:jc w:val="both"/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本课程围绕公务员、事业单位等公职类招录结构化面试核心要求展开，覆盖综合分析、组织管理、人际沟通、应急应变、自我认知等高频题型，讲解答题逻辑、框架搭建、语言表达与临场技巧，配合模拟演练与点评，全面提升面试应试能力与临场表现水平。</w:t>
      </w:r>
    </w:p>
    <w:p w14:paraId="4A2F2330">
      <w:pPr>
        <w:spacing w:line="360" w:lineRule="auto"/>
        <w:ind w:firstLine="420" w:firstLineChars="200"/>
        <w:jc w:val="both"/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课程6：实务工作坊</w:t>
      </w:r>
    </w:p>
    <w:p w14:paraId="667F3696">
      <w:pPr>
        <w:spacing w:line="360" w:lineRule="auto"/>
        <w:ind w:firstLine="420" w:firstLineChars="200"/>
        <w:jc w:val="both"/>
        <w:rPr>
          <w:rFonts w:hint="default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highlight w:val="none"/>
          <w:lang w:val="en-US" w:eastAsia="zh-CN"/>
        </w:rPr>
        <w:t>本课程特邀政府部门、事业单位一线实务专家授课，系统讲解机关办事规范、日常公务流程与真实政务典型案例。依托社区治理实践、政策实地调研、公共服务方案设计等真实项目载体，引导学生沉浸式参与基层公共事务，以实战实训的方式积累政务工作经验、锤炼公共服务能力、培育政务职业素养，为今后考公、考编及从事基层行政相关工作筑牢实践根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ADE7F5"/>
    <w:multiLevelType w:val="singleLevel"/>
    <w:tmpl w:val="10ADE7F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hNzQ0NjkyNjIxODE2ZGNiNDQ5NGU4ODg0NWNjYjYifQ=="/>
  </w:docVars>
  <w:rsids>
    <w:rsidRoot w:val="00A938C3"/>
    <w:rsid w:val="0000470F"/>
    <w:rsid w:val="000225D5"/>
    <w:rsid w:val="000425E4"/>
    <w:rsid w:val="00044790"/>
    <w:rsid w:val="00075C4A"/>
    <w:rsid w:val="001020C1"/>
    <w:rsid w:val="0016013E"/>
    <w:rsid w:val="00192A98"/>
    <w:rsid w:val="00196623"/>
    <w:rsid w:val="0026303E"/>
    <w:rsid w:val="00285106"/>
    <w:rsid w:val="002F176A"/>
    <w:rsid w:val="002F6EBC"/>
    <w:rsid w:val="00322E9A"/>
    <w:rsid w:val="003C5C26"/>
    <w:rsid w:val="004315A7"/>
    <w:rsid w:val="00432952"/>
    <w:rsid w:val="00497493"/>
    <w:rsid w:val="004B188F"/>
    <w:rsid w:val="004E78B6"/>
    <w:rsid w:val="00573A5D"/>
    <w:rsid w:val="00580795"/>
    <w:rsid w:val="00583877"/>
    <w:rsid w:val="00597791"/>
    <w:rsid w:val="005A5D7E"/>
    <w:rsid w:val="00605325"/>
    <w:rsid w:val="00672AED"/>
    <w:rsid w:val="00674084"/>
    <w:rsid w:val="006820B3"/>
    <w:rsid w:val="006846B9"/>
    <w:rsid w:val="00702E2F"/>
    <w:rsid w:val="007D49C8"/>
    <w:rsid w:val="0080520A"/>
    <w:rsid w:val="0088205D"/>
    <w:rsid w:val="008B0978"/>
    <w:rsid w:val="00957C1B"/>
    <w:rsid w:val="0097631D"/>
    <w:rsid w:val="00976A58"/>
    <w:rsid w:val="00995985"/>
    <w:rsid w:val="009978DE"/>
    <w:rsid w:val="009B5CCD"/>
    <w:rsid w:val="009C0E2B"/>
    <w:rsid w:val="009D424F"/>
    <w:rsid w:val="009E491D"/>
    <w:rsid w:val="00A308C5"/>
    <w:rsid w:val="00A32854"/>
    <w:rsid w:val="00A41520"/>
    <w:rsid w:val="00A91959"/>
    <w:rsid w:val="00A938C3"/>
    <w:rsid w:val="00AA74A3"/>
    <w:rsid w:val="00AC533D"/>
    <w:rsid w:val="00B53780"/>
    <w:rsid w:val="00B61110"/>
    <w:rsid w:val="00B870DF"/>
    <w:rsid w:val="00BA30F8"/>
    <w:rsid w:val="00BB2471"/>
    <w:rsid w:val="00C32087"/>
    <w:rsid w:val="00CF4762"/>
    <w:rsid w:val="00D12763"/>
    <w:rsid w:val="00D14E4C"/>
    <w:rsid w:val="00D67820"/>
    <w:rsid w:val="00D83A0F"/>
    <w:rsid w:val="00DB704B"/>
    <w:rsid w:val="00DD1832"/>
    <w:rsid w:val="00DF207F"/>
    <w:rsid w:val="00E3586A"/>
    <w:rsid w:val="00E526A9"/>
    <w:rsid w:val="00EC3C89"/>
    <w:rsid w:val="00F162EF"/>
    <w:rsid w:val="00F61CD1"/>
    <w:rsid w:val="00F63742"/>
    <w:rsid w:val="00F71035"/>
    <w:rsid w:val="00FE24DE"/>
    <w:rsid w:val="00FE441D"/>
    <w:rsid w:val="00FF700A"/>
    <w:rsid w:val="01867A3E"/>
    <w:rsid w:val="01B42948"/>
    <w:rsid w:val="024912E2"/>
    <w:rsid w:val="027C10FF"/>
    <w:rsid w:val="03E3726C"/>
    <w:rsid w:val="04E62E18"/>
    <w:rsid w:val="071E0F8F"/>
    <w:rsid w:val="07881677"/>
    <w:rsid w:val="07B10BAD"/>
    <w:rsid w:val="07E707E6"/>
    <w:rsid w:val="09061CDB"/>
    <w:rsid w:val="092821FF"/>
    <w:rsid w:val="0A4B7434"/>
    <w:rsid w:val="0A5F5B47"/>
    <w:rsid w:val="0A6B74A2"/>
    <w:rsid w:val="0AFA13CC"/>
    <w:rsid w:val="0BDB3AF8"/>
    <w:rsid w:val="0C7B02EA"/>
    <w:rsid w:val="0D696CDD"/>
    <w:rsid w:val="0DE40111"/>
    <w:rsid w:val="0F531E24"/>
    <w:rsid w:val="0F9A6480"/>
    <w:rsid w:val="144C7FF4"/>
    <w:rsid w:val="16CB087A"/>
    <w:rsid w:val="17732C32"/>
    <w:rsid w:val="17BA0614"/>
    <w:rsid w:val="18893D8F"/>
    <w:rsid w:val="1A551491"/>
    <w:rsid w:val="1A712272"/>
    <w:rsid w:val="1AB211D4"/>
    <w:rsid w:val="1AB71087"/>
    <w:rsid w:val="1CEF5094"/>
    <w:rsid w:val="1D275AD5"/>
    <w:rsid w:val="1D5D57EA"/>
    <w:rsid w:val="1E0565AE"/>
    <w:rsid w:val="1E42335E"/>
    <w:rsid w:val="1E5FB7AA"/>
    <w:rsid w:val="1EC021F7"/>
    <w:rsid w:val="1F3966E5"/>
    <w:rsid w:val="200F1837"/>
    <w:rsid w:val="214E201A"/>
    <w:rsid w:val="21816057"/>
    <w:rsid w:val="23671C82"/>
    <w:rsid w:val="244D65B8"/>
    <w:rsid w:val="250A6257"/>
    <w:rsid w:val="255B6AB3"/>
    <w:rsid w:val="256279B9"/>
    <w:rsid w:val="257D37C2"/>
    <w:rsid w:val="27675BE3"/>
    <w:rsid w:val="27AC7A9A"/>
    <w:rsid w:val="285048C9"/>
    <w:rsid w:val="28C606E7"/>
    <w:rsid w:val="28C72DDD"/>
    <w:rsid w:val="29A841FB"/>
    <w:rsid w:val="2A994305"/>
    <w:rsid w:val="2D74576B"/>
    <w:rsid w:val="2E3563E5"/>
    <w:rsid w:val="2F5E5B1E"/>
    <w:rsid w:val="2F78405C"/>
    <w:rsid w:val="30156E34"/>
    <w:rsid w:val="305605AC"/>
    <w:rsid w:val="307702D6"/>
    <w:rsid w:val="31B77767"/>
    <w:rsid w:val="329D070B"/>
    <w:rsid w:val="32F80DA9"/>
    <w:rsid w:val="3400110E"/>
    <w:rsid w:val="34784F8C"/>
    <w:rsid w:val="35B5220F"/>
    <w:rsid w:val="36BD39F3"/>
    <w:rsid w:val="36EE2865"/>
    <w:rsid w:val="38C70290"/>
    <w:rsid w:val="397D78CA"/>
    <w:rsid w:val="39C2437D"/>
    <w:rsid w:val="39FD5F33"/>
    <w:rsid w:val="3A9C2892"/>
    <w:rsid w:val="3AC32CD9"/>
    <w:rsid w:val="3AFD3D10"/>
    <w:rsid w:val="3BF35061"/>
    <w:rsid w:val="3D9B7F3D"/>
    <w:rsid w:val="3D9E35DF"/>
    <w:rsid w:val="3DBB644C"/>
    <w:rsid w:val="3E6F9B0B"/>
    <w:rsid w:val="3EFF30FC"/>
    <w:rsid w:val="3FD94A70"/>
    <w:rsid w:val="3FEC4515"/>
    <w:rsid w:val="402406BD"/>
    <w:rsid w:val="40B36ECC"/>
    <w:rsid w:val="41400C90"/>
    <w:rsid w:val="415C5AD8"/>
    <w:rsid w:val="41E719A3"/>
    <w:rsid w:val="42CB3072"/>
    <w:rsid w:val="432E01EA"/>
    <w:rsid w:val="44A616A1"/>
    <w:rsid w:val="44F00B6E"/>
    <w:rsid w:val="47D6229D"/>
    <w:rsid w:val="48212D00"/>
    <w:rsid w:val="496B2EB9"/>
    <w:rsid w:val="4A4831FA"/>
    <w:rsid w:val="4A842EC6"/>
    <w:rsid w:val="4AA448D5"/>
    <w:rsid w:val="4E11167E"/>
    <w:rsid w:val="4E4F2DA9"/>
    <w:rsid w:val="4F430152"/>
    <w:rsid w:val="4FCB65B1"/>
    <w:rsid w:val="50B56E39"/>
    <w:rsid w:val="51074293"/>
    <w:rsid w:val="51A1734C"/>
    <w:rsid w:val="52285DEB"/>
    <w:rsid w:val="54164B2F"/>
    <w:rsid w:val="550939D9"/>
    <w:rsid w:val="56F40992"/>
    <w:rsid w:val="59C503C4"/>
    <w:rsid w:val="5DB7596A"/>
    <w:rsid w:val="5E0133B7"/>
    <w:rsid w:val="5E3239C2"/>
    <w:rsid w:val="5F201C6D"/>
    <w:rsid w:val="600429BD"/>
    <w:rsid w:val="612C2AD6"/>
    <w:rsid w:val="61492974"/>
    <w:rsid w:val="625010B8"/>
    <w:rsid w:val="628647C6"/>
    <w:rsid w:val="63FFADBC"/>
    <w:rsid w:val="644C3BBB"/>
    <w:rsid w:val="64BD1FF0"/>
    <w:rsid w:val="64ED7A6D"/>
    <w:rsid w:val="670F4DDF"/>
    <w:rsid w:val="676B07FC"/>
    <w:rsid w:val="68534DEC"/>
    <w:rsid w:val="691A4D8A"/>
    <w:rsid w:val="6983036A"/>
    <w:rsid w:val="69BC4F1C"/>
    <w:rsid w:val="6BC4672D"/>
    <w:rsid w:val="6C30119C"/>
    <w:rsid w:val="6C4B162A"/>
    <w:rsid w:val="6F7F5DDF"/>
    <w:rsid w:val="6F977CB5"/>
    <w:rsid w:val="704A78E6"/>
    <w:rsid w:val="710669D7"/>
    <w:rsid w:val="72060A94"/>
    <w:rsid w:val="73334198"/>
    <w:rsid w:val="735465E8"/>
    <w:rsid w:val="73E536E4"/>
    <w:rsid w:val="74D368A0"/>
    <w:rsid w:val="757A1AA7"/>
    <w:rsid w:val="75E8126A"/>
    <w:rsid w:val="766D44AC"/>
    <w:rsid w:val="76BE6357"/>
    <w:rsid w:val="76C60B73"/>
    <w:rsid w:val="77577E10"/>
    <w:rsid w:val="79DF1E19"/>
    <w:rsid w:val="7A611AE1"/>
    <w:rsid w:val="7D171066"/>
    <w:rsid w:val="7E374ED9"/>
    <w:rsid w:val="7EDBE4E7"/>
    <w:rsid w:val="7FAF34F6"/>
    <w:rsid w:val="BBFEC55E"/>
    <w:rsid w:val="CFF71CB0"/>
    <w:rsid w:val="DAFF5FBD"/>
    <w:rsid w:val="DF7F3D54"/>
    <w:rsid w:val="EFEF0053"/>
    <w:rsid w:val="EFF786CB"/>
    <w:rsid w:val="F737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table" w:customStyle="1" w:styleId="14">
    <w:name w:val="样式1"/>
    <w:basedOn w:val="9"/>
    <w:qFormat/>
    <w:uiPriority w:val="0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">
    <w:name w:val="样式2"/>
    <w:basedOn w:val="9"/>
    <w:qFormat/>
    <w:uiPriority w:val="0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6">
    <w:name w:val="样式3"/>
    <w:basedOn w:val="9"/>
    <w:qFormat/>
    <w:uiPriority w:val="0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7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9">
    <w:name w:val="批注文字 字符"/>
    <w:basedOn w:val="11"/>
    <w:link w:val="3"/>
    <w:semiHidden/>
    <w:qFormat/>
    <w:uiPriority w:val="99"/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</w:rPr>
  </w:style>
  <w:style w:type="character" w:customStyle="1" w:styleId="21">
    <w:name w:val="批注框文本 字符"/>
    <w:basedOn w:val="11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d771d7fb-4a20-4439-8ba7-4fa640d40358</errorID>
      <errorWord>校内</errorWord>
      <group>L1_AI</group>
      <groupName>深度校对</groupName>
      <ability>L2_AI_Word</ability>
      <abilityName>字词纠错</abilityName>
      <candidateList>
        <item>由校内</item>
      </candidateList>
      <explain/>
      <paraID>762BD0C8</paraID>
      <start>19</start>
      <end>22</end>
      <status>modified</status>
      <modifiedWord>由校内</modifiedWord>
      <trackRevisions>true</trackRevisions>
    </reviewItem>
    <reviewItem>
      <errorID>048d8781-0c10-40ad-8b43-bc6d360fe342</errorID>
      <errorWord>。，</errorWord>
      <group>L1_Punc</group>
      <groupName>标点问题</groupName>
      <ability>L2_Punc_CN</ability>
      <abilityName>标点符号检查</abilityName>
      <candidateList>
        <item>。</item>
      </candidateList>
      <explain/>
      <paraID>762BD0C8</paraID>
      <start>77</start>
      <end>78</end>
      <status>modified</status>
      <modifiedWord>。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ef8cfad1-197e-4d0c-a0e4-83ee5095e8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1859</Words>
  <Characters>1944</Characters>
  <Lines>13</Lines>
  <Paragraphs>3</Paragraphs>
  <TotalTime>18</TotalTime>
  <ScaleCrop>false</ScaleCrop>
  <LinksUpToDate>false</LinksUpToDate>
  <CharactersWithSpaces>1944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2023-07-01T16:13:00Z</dcterms:created>
  <dc:creator>李 吉庆</dc:creator>
  <cp:lastModifiedBy>张璐</cp:lastModifiedBy>
  <cp:lastPrinted>2026-06-05T03:49:00Z</cp:lastPrinted>
  <dcterms:modified xsi:type="dcterms:W3CDTF">2026-06-05T08:47:36Z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302D8F39A6B84783B21B9D449D8E3258_13</vt:lpwstr>
  </property>
  <property fmtid="{D5CDD505-2E9C-101B-9397-08002B2CF9AE}" pid="4" name="KSOTemplateDocerSaveRecord">
    <vt:lpwstr>eyJoZGlkIjoiOTE5NTQxMjA0YjE5Mzg0YzA0Mjg4Yzk0NDdhMDVlNzkiLCJ1c2VySWQiOiIxNjU4NTg3MDI3In0=</vt:lpwstr>
  </property>
</Properties>
</file>